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drawings/drawing3.xml" ContentType="application/vnd.openxmlformats-officedocument.drawingml.chartshapes+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drawings/drawing4.xml" ContentType="application/vnd.openxmlformats-officedocument.drawingml.chartshapes+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drawings/drawing5.xml" ContentType="application/vnd.openxmlformats-officedocument.drawingml.chartshapes+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5983" w14:textId="63C59D13" w:rsidR="00EE5BB8" w:rsidRDefault="00EE5BB8" w:rsidP="00EE5BB8">
      <w:pPr>
        <w:pStyle w:val="Heading1"/>
      </w:pPr>
      <w:bookmarkStart w:id="0" w:name="_Toc213852174"/>
      <w:bookmarkStart w:id="1" w:name="_Toc214375636"/>
      <w:r w:rsidRPr="00C6052E">
        <w:t>02</w:t>
      </w:r>
      <w:r w:rsidR="00177848" w:rsidRPr="00C6052E">
        <w:t xml:space="preserve"> </w:t>
      </w:r>
      <w:proofErr w:type="gramStart"/>
      <w:r w:rsidRPr="00C6052E">
        <w:t>Non-financial</w:t>
      </w:r>
      <w:proofErr w:type="gramEnd"/>
      <w:r w:rsidR="00177848" w:rsidRPr="00C6052E">
        <w:t xml:space="preserve"> </w:t>
      </w:r>
      <w:r w:rsidRPr="00C6052E">
        <w:t>performance</w:t>
      </w:r>
      <w:bookmarkEnd w:id="0"/>
      <w:bookmarkEnd w:id="1"/>
    </w:p>
    <w:p w14:paraId="607EC5C3" w14:textId="77777777" w:rsidR="00AC7696" w:rsidRDefault="00AC7696" w:rsidP="00AC7696">
      <w:pPr>
        <w:pStyle w:val="TOCHeading"/>
        <w:rPr>
          <w:lang w:val="en-US"/>
        </w:rPr>
      </w:pPr>
      <w:r>
        <w:rPr>
          <w:lang w:val="en-US"/>
        </w:rPr>
        <w:t>Contents</w:t>
      </w:r>
    </w:p>
    <w:p w14:paraId="77B04723" w14:textId="7EFF88AF" w:rsidR="00AC7696" w:rsidRDefault="00AC7696">
      <w:pPr>
        <w:pStyle w:val="TOC1"/>
        <w:rPr>
          <w:rFonts w:eastAsiaTheme="minorEastAsia"/>
          <w:b w:val="0"/>
          <w:noProof/>
          <w:kern w:val="2"/>
          <w:lang w:eastAsia="en-AU"/>
          <w14:ligatures w14:val="standardContextual"/>
        </w:rPr>
      </w:pPr>
      <w:r>
        <w:rPr>
          <w:lang w:val="en-US"/>
        </w:rPr>
        <w:fldChar w:fldCharType="begin"/>
      </w:r>
      <w:r>
        <w:rPr>
          <w:lang w:val="en-US"/>
        </w:rPr>
        <w:instrText xml:space="preserve"> TOC \o "1-1" \h \z \t "Heading 2,2,Heading 2 Numbered,2" </w:instrText>
      </w:r>
      <w:r>
        <w:rPr>
          <w:lang w:val="en-US"/>
        </w:rPr>
        <w:fldChar w:fldCharType="separate"/>
      </w:r>
      <w:hyperlink w:anchor="_Toc214375636" w:history="1">
        <w:r w:rsidRPr="00503F21">
          <w:rPr>
            <w:rStyle w:val="Hyperlink"/>
            <w:noProof/>
          </w:rPr>
          <w:t>02 Non-financial performance</w:t>
        </w:r>
        <w:r>
          <w:rPr>
            <w:noProof/>
            <w:webHidden/>
          </w:rPr>
          <w:tab/>
        </w:r>
        <w:r>
          <w:rPr>
            <w:noProof/>
            <w:webHidden/>
          </w:rPr>
          <w:fldChar w:fldCharType="begin"/>
        </w:r>
        <w:r>
          <w:rPr>
            <w:noProof/>
            <w:webHidden/>
          </w:rPr>
          <w:instrText xml:space="preserve"> PAGEREF _Toc214375636 \h </w:instrText>
        </w:r>
        <w:r>
          <w:rPr>
            <w:noProof/>
            <w:webHidden/>
          </w:rPr>
        </w:r>
        <w:r>
          <w:rPr>
            <w:noProof/>
            <w:webHidden/>
          </w:rPr>
          <w:fldChar w:fldCharType="separate"/>
        </w:r>
        <w:r>
          <w:rPr>
            <w:noProof/>
            <w:webHidden/>
          </w:rPr>
          <w:t>1</w:t>
        </w:r>
        <w:r>
          <w:rPr>
            <w:noProof/>
            <w:webHidden/>
          </w:rPr>
          <w:fldChar w:fldCharType="end"/>
        </w:r>
      </w:hyperlink>
    </w:p>
    <w:p w14:paraId="40A5FCBB" w14:textId="2279AF24" w:rsidR="00AC7696" w:rsidRDefault="00AC7696">
      <w:pPr>
        <w:pStyle w:val="TOC2"/>
        <w:tabs>
          <w:tab w:val="right" w:leader="dot" w:pos="9629"/>
        </w:tabs>
        <w:rPr>
          <w:rFonts w:eastAsiaTheme="minorEastAsia"/>
          <w:noProof/>
          <w:kern w:val="2"/>
          <w:szCs w:val="24"/>
          <w:lang w:eastAsia="en-AU"/>
          <w14:ligatures w14:val="standardContextual"/>
        </w:rPr>
      </w:pPr>
      <w:hyperlink w:anchor="_Toc214375637" w:history="1">
        <w:r w:rsidRPr="00503F21">
          <w:rPr>
            <w:rStyle w:val="Hyperlink"/>
            <w:noProof/>
          </w:rPr>
          <w:t>Portfolio performance reporting – non-financial</w:t>
        </w:r>
        <w:r>
          <w:rPr>
            <w:noProof/>
            <w:webHidden/>
          </w:rPr>
          <w:tab/>
        </w:r>
        <w:r>
          <w:rPr>
            <w:noProof/>
            <w:webHidden/>
          </w:rPr>
          <w:fldChar w:fldCharType="begin"/>
        </w:r>
        <w:r>
          <w:rPr>
            <w:noProof/>
            <w:webHidden/>
          </w:rPr>
          <w:instrText xml:space="preserve"> PAGEREF _Toc214375637 \h </w:instrText>
        </w:r>
        <w:r>
          <w:rPr>
            <w:noProof/>
            <w:webHidden/>
          </w:rPr>
        </w:r>
        <w:r>
          <w:rPr>
            <w:noProof/>
            <w:webHidden/>
          </w:rPr>
          <w:fldChar w:fldCharType="separate"/>
        </w:r>
        <w:r>
          <w:rPr>
            <w:noProof/>
            <w:webHidden/>
          </w:rPr>
          <w:t>2</w:t>
        </w:r>
        <w:r>
          <w:rPr>
            <w:noProof/>
            <w:webHidden/>
          </w:rPr>
          <w:fldChar w:fldCharType="end"/>
        </w:r>
      </w:hyperlink>
    </w:p>
    <w:p w14:paraId="7017EA27" w14:textId="3ADD64E1" w:rsidR="00AC7696" w:rsidRPr="00AC7696" w:rsidRDefault="00AC7696" w:rsidP="00AC7696">
      <w:r>
        <w:rPr>
          <w:lang w:val="en-US"/>
        </w:rPr>
        <w:fldChar w:fldCharType="end"/>
      </w:r>
    </w:p>
    <w:p w14:paraId="5AE93B19" w14:textId="77777777" w:rsidR="00AC7696" w:rsidRDefault="00AC7696" w:rsidP="00AC7696">
      <w:bookmarkStart w:id="2" w:name="_Toc213852175"/>
      <w:bookmarkStart w:id="3" w:name="_Toc214375637"/>
      <w:r>
        <w:br w:type="page"/>
      </w:r>
    </w:p>
    <w:p w14:paraId="0995C4F8" w14:textId="092E93D0" w:rsidR="00EE5BB8" w:rsidRPr="00C6052E" w:rsidRDefault="00EE5BB8" w:rsidP="00EE5BB8">
      <w:pPr>
        <w:pStyle w:val="Heading2"/>
      </w:pPr>
      <w:r w:rsidRPr="00C6052E">
        <w:lastRenderedPageBreak/>
        <w:t>Portfolio</w:t>
      </w:r>
      <w:r w:rsidR="00177848" w:rsidRPr="00C6052E">
        <w:t xml:space="preserve"> </w:t>
      </w:r>
      <w:r w:rsidRPr="00C6052E">
        <w:t>performance</w:t>
      </w:r>
      <w:r w:rsidR="00177848" w:rsidRPr="00C6052E">
        <w:t xml:space="preserve"> </w:t>
      </w:r>
      <w:r w:rsidRPr="00C6052E">
        <w:t>reporting</w:t>
      </w:r>
      <w:r w:rsidR="00177848" w:rsidRPr="00C6052E">
        <w:t xml:space="preserve"> </w:t>
      </w:r>
      <w:r w:rsidRPr="00C6052E">
        <w:t>–</w:t>
      </w:r>
      <w:r w:rsidR="00177848" w:rsidRPr="00C6052E">
        <w:t xml:space="preserve"> </w:t>
      </w:r>
      <w:r w:rsidRPr="00C6052E">
        <w:t>non-financial</w:t>
      </w:r>
      <w:bookmarkEnd w:id="2"/>
      <w:bookmarkEnd w:id="3"/>
    </w:p>
    <w:p w14:paraId="51B2116B" w14:textId="2F711689" w:rsidR="00EE5BB8" w:rsidRPr="00C6052E" w:rsidRDefault="00EE5BB8" w:rsidP="00EE5BB8">
      <w:bookmarkStart w:id="4" w:name="_Hlk174630116"/>
      <w:bookmarkStart w:id="5" w:name="_Toc152067221"/>
      <w:bookmarkEnd w:id="4"/>
      <w:r w:rsidRPr="00C6052E">
        <w:t>As</w:t>
      </w:r>
      <w:r w:rsidR="00177848" w:rsidRPr="00C6052E">
        <w:t xml:space="preserve"> </w:t>
      </w:r>
      <w:proofErr w:type="gramStart"/>
      <w:r w:rsidRPr="00C6052E">
        <w:t>at</w:t>
      </w:r>
      <w:proofErr w:type="gramEnd"/>
      <w:r w:rsidR="00177848" w:rsidRPr="00C6052E">
        <w:t xml:space="preserve"> </w:t>
      </w:r>
      <w:r w:rsidRPr="00C6052E">
        <w:t>30</w:t>
      </w:r>
      <w:r w:rsidR="00177848" w:rsidRPr="00C6052E">
        <w:t xml:space="preserve"> </w:t>
      </w:r>
      <w:r w:rsidRPr="00C6052E">
        <w:t>June</w:t>
      </w:r>
      <w:r w:rsidR="00177848" w:rsidRPr="00C6052E">
        <w:t xml:space="preserve"> </w:t>
      </w:r>
      <w:r w:rsidRPr="00C6052E">
        <w:t>2025,</w:t>
      </w:r>
      <w:r w:rsidR="00177848" w:rsidRPr="00C6052E">
        <w:t xml:space="preserve"> </w:t>
      </w:r>
      <w:r w:rsidRPr="00C6052E">
        <w:t>DJSIR</w:t>
      </w:r>
      <w:r w:rsidR="00177848" w:rsidRPr="00C6052E">
        <w:t xml:space="preserve"> </w:t>
      </w:r>
      <w:r w:rsidRPr="00C6052E">
        <w:t>had</w:t>
      </w:r>
      <w:r w:rsidR="00177848" w:rsidRPr="00C6052E">
        <w:t xml:space="preserve"> </w:t>
      </w:r>
      <w:r w:rsidRPr="00C6052E">
        <w:t>142</w:t>
      </w:r>
      <w:r w:rsidR="00177848" w:rsidRPr="00C6052E">
        <w:t xml:space="preserve"> </w:t>
      </w:r>
      <w:r w:rsidRPr="00C6052E">
        <w:t>non-cost</w:t>
      </w:r>
      <w:r w:rsidR="00177848" w:rsidRPr="00C6052E">
        <w:t xml:space="preserve"> </w:t>
      </w:r>
      <w:r w:rsidRPr="00C6052E">
        <w:t>output</w:t>
      </w:r>
      <w:r w:rsidR="00177848" w:rsidRPr="00C6052E">
        <w:t xml:space="preserve"> </w:t>
      </w:r>
      <w:r w:rsidRPr="00C6052E">
        <w:t>performance</w:t>
      </w:r>
      <w:r w:rsidR="00177848" w:rsidRPr="00C6052E">
        <w:t xml:space="preserve"> </w:t>
      </w:r>
      <w:r w:rsidRPr="00C6052E">
        <w:t>measures,</w:t>
      </w:r>
      <w:r w:rsidR="00177848" w:rsidRPr="00C6052E">
        <w:t xml:space="preserve"> </w:t>
      </w:r>
      <w:r w:rsidRPr="00C6052E">
        <w:t>published</w:t>
      </w:r>
      <w:r w:rsidR="00177848" w:rsidRPr="00C6052E">
        <w:t xml:space="preserve"> </w:t>
      </w:r>
      <w:r w:rsidRPr="00C6052E">
        <w:t>in</w:t>
      </w:r>
      <w:r w:rsidR="00177848" w:rsidRPr="00C6052E">
        <w:t xml:space="preserve"> </w:t>
      </w:r>
      <w:r w:rsidRPr="00C6052E">
        <w:t>the</w:t>
      </w:r>
      <w:r w:rsidR="00177848" w:rsidRPr="00C6052E">
        <w:t xml:space="preserve"> </w:t>
      </w:r>
      <w:r w:rsidRPr="00C6052E">
        <w:t>2024–25</w:t>
      </w:r>
      <w:r w:rsidR="00177848" w:rsidRPr="00C6052E">
        <w:t xml:space="preserve"> </w:t>
      </w:r>
      <w:r w:rsidRPr="00C6052E">
        <w:t>Budget</w:t>
      </w:r>
      <w:r w:rsidR="00177848" w:rsidRPr="00C6052E">
        <w:t xml:space="preserve"> </w:t>
      </w:r>
      <w:r w:rsidRPr="00C6052E">
        <w:t>Papers.</w:t>
      </w:r>
    </w:p>
    <w:p w14:paraId="37531FF8" w14:textId="5CE43B1B" w:rsidR="00EE5BB8" w:rsidRPr="00C6052E" w:rsidRDefault="00EE5BB8" w:rsidP="00EE5BB8">
      <w:r w:rsidRPr="00C6052E">
        <w:t>The</w:t>
      </w:r>
      <w:r w:rsidR="00177848" w:rsidRPr="00C6052E">
        <w:t xml:space="preserve"> </w:t>
      </w:r>
      <w:r w:rsidRPr="00C6052E">
        <w:t>department</w:t>
      </w:r>
      <w:r w:rsidR="00177848" w:rsidRPr="00C6052E">
        <w:t xml:space="preserve"> </w:t>
      </w:r>
      <w:r w:rsidRPr="00C6052E">
        <w:t>met</w:t>
      </w:r>
      <w:r w:rsidR="00177848" w:rsidRPr="00C6052E">
        <w:t xml:space="preserve"> </w:t>
      </w:r>
      <w:r w:rsidRPr="00C6052E">
        <w:t>or</w:t>
      </w:r>
      <w:r w:rsidR="00177848" w:rsidRPr="00C6052E">
        <w:t xml:space="preserve"> </w:t>
      </w:r>
      <w:r w:rsidRPr="00C6052E">
        <w:t>exceeded</w:t>
      </w:r>
      <w:r w:rsidR="00177848" w:rsidRPr="00C6052E">
        <w:t xml:space="preserve"> </w:t>
      </w:r>
      <w:r w:rsidRPr="00C6052E">
        <w:t>77%</w:t>
      </w:r>
      <w:r w:rsidR="00177848" w:rsidRPr="00C6052E">
        <w:t xml:space="preserve"> </w:t>
      </w:r>
      <w:r w:rsidRPr="00C6052E">
        <w:t>(109</w:t>
      </w:r>
      <w:r w:rsidR="00177848" w:rsidRPr="00C6052E">
        <w:t xml:space="preserve"> </w:t>
      </w:r>
      <w:r w:rsidRPr="00C6052E">
        <w:t>measures)</w:t>
      </w:r>
      <w:r w:rsidR="00177848" w:rsidRPr="00C6052E">
        <w:t xml:space="preserve"> </w:t>
      </w:r>
      <w:r w:rsidRPr="00C6052E">
        <w:t>of</w:t>
      </w:r>
      <w:r w:rsidR="00177848" w:rsidRPr="00C6052E">
        <w:t xml:space="preserve"> </w:t>
      </w:r>
      <w:r w:rsidRPr="00C6052E">
        <w:t>the</w:t>
      </w:r>
      <w:r w:rsidR="00177848" w:rsidRPr="00C6052E">
        <w:t xml:space="preserve"> </w:t>
      </w:r>
      <w:r w:rsidRPr="00C6052E">
        <w:t>2024–25</w:t>
      </w:r>
      <w:r w:rsidR="00177848" w:rsidRPr="00C6052E">
        <w:t xml:space="preserve"> </w:t>
      </w:r>
      <w:r w:rsidRPr="00C6052E">
        <w:t>output</w:t>
      </w:r>
      <w:r w:rsidR="00177848" w:rsidRPr="00C6052E">
        <w:t xml:space="preserve"> </w:t>
      </w:r>
      <w:r w:rsidRPr="00C6052E">
        <w:t>performance</w:t>
      </w:r>
      <w:r w:rsidR="00177848" w:rsidRPr="00C6052E">
        <w:t xml:space="preserve"> </w:t>
      </w:r>
      <w:r w:rsidRPr="00C6052E">
        <w:t>measure</w:t>
      </w:r>
      <w:r w:rsidR="00177848" w:rsidRPr="00C6052E">
        <w:t xml:space="preserve"> </w:t>
      </w:r>
      <w:r w:rsidRPr="00C6052E">
        <w:t>targets,</w:t>
      </w:r>
      <w:r w:rsidR="00177848" w:rsidRPr="00C6052E">
        <w:t xml:space="preserve"> </w:t>
      </w:r>
      <w:r w:rsidRPr="00C6052E">
        <w:t>while</w:t>
      </w:r>
      <w:r w:rsidR="00177848" w:rsidRPr="00C6052E">
        <w:t xml:space="preserve"> </w:t>
      </w:r>
      <w:r w:rsidRPr="00C6052E">
        <w:t>22%</w:t>
      </w:r>
      <w:r w:rsidR="00177848" w:rsidRPr="00C6052E">
        <w:t xml:space="preserve"> </w:t>
      </w:r>
      <w:r w:rsidRPr="00C6052E">
        <w:t>(32</w:t>
      </w:r>
      <w:r w:rsidR="00177848" w:rsidRPr="00C6052E">
        <w:t xml:space="preserve"> </w:t>
      </w:r>
      <w:r w:rsidRPr="00C6052E">
        <w:t>measures)</w:t>
      </w:r>
      <w:r w:rsidR="00177848" w:rsidRPr="00C6052E">
        <w:t xml:space="preserve"> </w:t>
      </w:r>
      <w:r w:rsidRPr="00C6052E">
        <w:t>of</w:t>
      </w:r>
      <w:r w:rsidR="00177848" w:rsidRPr="00C6052E">
        <w:t xml:space="preserve"> </w:t>
      </w:r>
      <w:r w:rsidRPr="00C6052E">
        <w:t>performance</w:t>
      </w:r>
      <w:r w:rsidR="00177848" w:rsidRPr="00C6052E">
        <w:t xml:space="preserve"> </w:t>
      </w:r>
      <w:r w:rsidRPr="00C6052E">
        <w:t>measures</w:t>
      </w:r>
      <w:r w:rsidR="00177848" w:rsidRPr="00C6052E">
        <w:t xml:space="preserve"> </w:t>
      </w:r>
      <w:r w:rsidRPr="00C6052E">
        <w:t>did</w:t>
      </w:r>
      <w:r w:rsidR="00177848" w:rsidRPr="00C6052E">
        <w:t xml:space="preserve"> </w:t>
      </w:r>
      <w:r w:rsidRPr="00C6052E">
        <w:t>not</w:t>
      </w:r>
      <w:r w:rsidR="00177848" w:rsidRPr="00C6052E">
        <w:t xml:space="preserve"> </w:t>
      </w:r>
      <w:r w:rsidRPr="00C6052E">
        <w:t>meet</w:t>
      </w:r>
      <w:r w:rsidR="00177848" w:rsidRPr="00C6052E">
        <w:t xml:space="preserve"> </w:t>
      </w:r>
      <w:r w:rsidRPr="00C6052E">
        <w:t>their</w:t>
      </w:r>
      <w:r w:rsidR="00177848" w:rsidRPr="00C6052E">
        <w:t xml:space="preserve"> </w:t>
      </w:r>
      <w:r w:rsidRPr="00C6052E">
        <w:t>targets.</w:t>
      </w:r>
      <w:r w:rsidR="00177848" w:rsidRPr="00C6052E">
        <w:t xml:space="preserve"> </w:t>
      </w:r>
      <w:r w:rsidRPr="00C6052E">
        <w:t>One</w:t>
      </w:r>
      <w:r w:rsidR="00177848" w:rsidRPr="00C6052E">
        <w:t xml:space="preserve"> </w:t>
      </w:r>
      <w:r w:rsidRPr="00C6052E">
        <w:t>measure</w:t>
      </w:r>
      <w:r w:rsidR="00177848" w:rsidRPr="00C6052E">
        <w:t xml:space="preserve"> </w:t>
      </w:r>
      <w:r w:rsidRPr="00C6052E">
        <w:t>did</w:t>
      </w:r>
      <w:r w:rsidR="00177848" w:rsidRPr="00C6052E">
        <w:t xml:space="preserve"> </w:t>
      </w:r>
      <w:r w:rsidRPr="00C6052E">
        <w:t>not</w:t>
      </w:r>
      <w:r w:rsidR="00177848" w:rsidRPr="00C6052E">
        <w:t xml:space="preserve"> </w:t>
      </w:r>
      <w:r w:rsidRPr="00C6052E">
        <w:t>have</w:t>
      </w:r>
      <w:r w:rsidR="00177848" w:rsidRPr="00C6052E">
        <w:t xml:space="preserve"> </w:t>
      </w:r>
      <w:r w:rsidRPr="00C6052E">
        <w:t>a</w:t>
      </w:r>
      <w:r w:rsidR="00177848" w:rsidRPr="00C6052E">
        <w:t xml:space="preserve"> </w:t>
      </w:r>
      <w:r w:rsidRPr="00C6052E">
        <w:t>2024–25</w:t>
      </w:r>
      <w:r w:rsidR="00177848" w:rsidRPr="00C6052E">
        <w:t xml:space="preserve"> </w:t>
      </w:r>
      <w:r w:rsidRPr="00C6052E">
        <w:t>target</w:t>
      </w:r>
      <w:r w:rsidR="00177848" w:rsidRPr="00C6052E">
        <w:t xml:space="preserve"> </w:t>
      </w:r>
      <w:r w:rsidRPr="00C6052E">
        <w:t>as</w:t>
      </w:r>
      <w:r w:rsidR="00177848" w:rsidRPr="00C6052E">
        <w:t xml:space="preserve"> </w:t>
      </w:r>
      <w:r w:rsidRPr="00C6052E">
        <w:t>it</w:t>
      </w:r>
      <w:r w:rsidR="00177848" w:rsidRPr="00C6052E">
        <w:t xml:space="preserve"> </w:t>
      </w:r>
      <w:r w:rsidRPr="00C6052E">
        <w:t>was</w:t>
      </w:r>
      <w:r w:rsidR="00177848" w:rsidRPr="00C6052E">
        <w:t xml:space="preserve"> </w:t>
      </w:r>
      <w:r w:rsidRPr="00C6052E">
        <w:t>proposed</w:t>
      </w:r>
      <w:r w:rsidR="00177848" w:rsidRPr="00C6052E">
        <w:t xml:space="preserve"> </w:t>
      </w:r>
      <w:r w:rsidRPr="00C6052E">
        <w:t>to</w:t>
      </w:r>
      <w:r w:rsidR="00177848" w:rsidRPr="00C6052E">
        <w:t xml:space="preserve"> </w:t>
      </w:r>
      <w:r w:rsidRPr="00C6052E">
        <w:t>be</w:t>
      </w:r>
      <w:r w:rsidR="00177848" w:rsidRPr="00C6052E">
        <w:t xml:space="preserve"> </w:t>
      </w:r>
      <w:r w:rsidRPr="00C6052E">
        <w:t>discontinued</w:t>
      </w:r>
      <w:r w:rsidR="00177848" w:rsidRPr="00C6052E">
        <w:t xml:space="preserve"> </w:t>
      </w:r>
      <w:r w:rsidRPr="00C6052E">
        <w:t>but</w:t>
      </w:r>
      <w:r w:rsidR="00177848" w:rsidRPr="00C6052E">
        <w:t xml:space="preserve"> </w:t>
      </w:r>
      <w:r w:rsidRPr="00C6052E">
        <w:t>then</w:t>
      </w:r>
      <w:r w:rsidR="00177848" w:rsidRPr="00C6052E">
        <w:t xml:space="preserve"> </w:t>
      </w:r>
      <w:r w:rsidRPr="00C6052E">
        <w:t>reinstated</w:t>
      </w:r>
      <w:r w:rsidR="00177848" w:rsidRPr="00C6052E">
        <w:t xml:space="preserve"> </w:t>
      </w:r>
      <w:r w:rsidRPr="00C6052E">
        <w:t>on</w:t>
      </w:r>
      <w:r w:rsidR="00177848" w:rsidRPr="00C6052E">
        <w:t xml:space="preserve"> </w:t>
      </w:r>
      <w:r w:rsidRPr="00C6052E">
        <w:t>the</w:t>
      </w:r>
      <w:r w:rsidR="00177848" w:rsidRPr="00C6052E">
        <w:t xml:space="preserve"> </w:t>
      </w:r>
      <w:r w:rsidRPr="00C6052E">
        <w:t>recommendation</w:t>
      </w:r>
      <w:r w:rsidR="00177848" w:rsidRPr="00C6052E">
        <w:t xml:space="preserve"> </w:t>
      </w:r>
      <w:r w:rsidRPr="00C6052E">
        <w:t>of</w:t>
      </w:r>
      <w:r w:rsidR="00177848" w:rsidRPr="00C6052E">
        <w:t xml:space="preserve"> </w:t>
      </w:r>
      <w:r w:rsidRPr="00C6052E">
        <w:t>the</w:t>
      </w:r>
      <w:r w:rsidR="00177848" w:rsidRPr="00C6052E">
        <w:t xml:space="preserve"> </w:t>
      </w:r>
      <w:r w:rsidRPr="00C6052E">
        <w:t>Public</w:t>
      </w:r>
      <w:r w:rsidR="00177848" w:rsidRPr="00C6052E">
        <w:t xml:space="preserve"> </w:t>
      </w:r>
      <w:r w:rsidRPr="00C6052E">
        <w:t>Accounts</w:t>
      </w:r>
      <w:r w:rsidR="00177848" w:rsidRPr="00C6052E">
        <w:t xml:space="preserve"> </w:t>
      </w:r>
      <w:r w:rsidRPr="00C6052E">
        <w:t>and</w:t>
      </w:r>
      <w:r w:rsidR="00177848" w:rsidRPr="00C6052E">
        <w:t xml:space="preserve"> </w:t>
      </w:r>
      <w:r w:rsidRPr="00C6052E">
        <w:t>Estimates</w:t>
      </w:r>
      <w:r w:rsidR="00177848" w:rsidRPr="00C6052E">
        <w:t xml:space="preserve"> </w:t>
      </w:r>
      <w:r w:rsidRPr="00C6052E">
        <w:t>Committee</w:t>
      </w:r>
      <w:r w:rsidR="00177848" w:rsidRPr="00C6052E">
        <w:t xml:space="preserve"> </w:t>
      </w:r>
      <w:r w:rsidRPr="00C6052E">
        <w:t>following</w:t>
      </w:r>
      <w:r w:rsidR="00177848" w:rsidRPr="00C6052E">
        <w:t xml:space="preserve"> </w:t>
      </w:r>
      <w:r w:rsidRPr="00C6052E">
        <w:t>publication</w:t>
      </w:r>
      <w:r w:rsidR="00177848" w:rsidRPr="00C6052E">
        <w:t xml:space="preserve"> </w:t>
      </w:r>
      <w:r w:rsidRPr="00C6052E">
        <w:t>of</w:t>
      </w:r>
      <w:r w:rsidR="00177848" w:rsidRPr="00C6052E">
        <w:t xml:space="preserve"> </w:t>
      </w:r>
      <w:r w:rsidRPr="00C6052E">
        <w:t>the</w:t>
      </w:r>
      <w:r w:rsidR="00177848" w:rsidRPr="00C6052E">
        <w:t xml:space="preserve"> </w:t>
      </w:r>
      <w:r w:rsidRPr="00C6052E">
        <w:t>2024–25</w:t>
      </w:r>
      <w:r w:rsidR="00177848" w:rsidRPr="00C6052E">
        <w:t xml:space="preserve"> </w:t>
      </w:r>
      <w:r w:rsidRPr="00C6052E">
        <w:t>State</w:t>
      </w:r>
      <w:r w:rsidR="00177848" w:rsidRPr="00C6052E">
        <w:t xml:space="preserve"> </w:t>
      </w:r>
      <w:r w:rsidRPr="00C6052E">
        <w:t>Budget.</w:t>
      </w:r>
    </w:p>
    <w:p w14:paraId="0AFE4EBB" w14:textId="7CCE04D6" w:rsidR="00EE5BB8" w:rsidRPr="00C6052E" w:rsidRDefault="00EE5BB8" w:rsidP="0028635E">
      <w:pPr>
        <w:pStyle w:val="Normalbeforebullets"/>
      </w:pPr>
      <w:r w:rsidRPr="00C6052E">
        <w:t>The</w:t>
      </w:r>
      <w:r w:rsidR="00177848" w:rsidRPr="00C6052E">
        <w:t xml:space="preserve"> </w:t>
      </w:r>
      <w:r w:rsidRPr="00C6052E">
        <w:t>portfolio</w:t>
      </w:r>
      <w:r w:rsidR="00177848" w:rsidRPr="00C6052E">
        <w:t xml:space="preserve"> </w:t>
      </w:r>
      <w:r w:rsidRPr="00C6052E">
        <w:t>performance</w:t>
      </w:r>
      <w:r w:rsidR="00177848" w:rsidRPr="00C6052E">
        <w:t xml:space="preserve"> </w:t>
      </w:r>
      <w:r w:rsidRPr="00C6052E">
        <w:t>reporting</w:t>
      </w:r>
      <w:r w:rsidR="00177848" w:rsidRPr="00C6052E">
        <w:t xml:space="preserve"> </w:t>
      </w:r>
      <w:r w:rsidRPr="00C6052E">
        <w:t>–</w:t>
      </w:r>
      <w:r w:rsidR="00177848" w:rsidRPr="00C6052E">
        <w:t xml:space="preserve"> </w:t>
      </w:r>
      <w:r w:rsidRPr="00C6052E">
        <w:t>non-financial</w:t>
      </w:r>
      <w:r w:rsidR="00177848" w:rsidRPr="00C6052E">
        <w:t xml:space="preserve"> </w:t>
      </w:r>
      <w:r w:rsidRPr="00C6052E">
        <w:t>section</w:t>
      </w:r>
      <w:r w:rsidR="00177848" w:rsidRPr="00C6052E">
        <w:t xml:space="preserve"> </w:t>
      </w:r>
      <w:r w:rsidRPr="00C6052E">
        <w:t>includes</w:t>
      </w:r>
      <w:r w:rsidR="00177848" w:rsidRPr="00C6052E">
        <w:t xml:space="preserve"> </w:t>
      </w:r>
      <w:r w:rsidRPr="00C6052E">
        <w:t>the:</w:t>
      </w:r>
    </w:p>
    <w:p w14:paraId="591F030C" w14:textId="17BE1810" w:rsidR="00EE5BB8" w:rsidRPr="00C6052E" w:rsidRDefault="00EE5BB8" w:rsidP="00EE5BB8">
      <w:pPr>
        <w:pStyle w:val="Bullet1"/>
        <w:numPr>
          <w:ilvl w:val="0"/>
          <w:numId w:val="1"/>
        </w:numPr>
        <w:spacing w:line="278" w:lineRule="auto"/>
        <w:ind w:left="284" w:hanging="284"/>
        <w:rPr>
          <w:lang w:val="en-AU"/>
        </w:rPr>
      </w:pPr>
      <w:r w:rsidRPr="00C6052E">
        <w:rPr>
          <w:lang w:val="en-AU"/>
        </w:rPr>
        <w:t>Report</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progress</w:t>
      </w:r>
      <w:r w:rsidR="00177848" w:rsidRPr="00C6052E">
        <w:rPr>
          <w:lang w:val="en-AU"/>
        </w:rPr>
        <w:t xml:space="preserve"> </w:t>
      </w:r>
      <w:r w:rsidRPr="00C6052E">
        <w:rPr>
          <w:lang w:val="en-AU"/>
        </w:rPr>
        <w:t>towards</w:t>
      </w:r>
      <w:r w:rsidR="00177848" w:rsidRPr="00C6052E">
        <w:rPr>
          <w:lang w:val="en-AU"/>
        </w:rPr>
        <w:t xml:space="preserve"> </w:t>
      </w:r>
      <w:r w:rsidRPr="00C6052E">
        <w:rPr>
          <w:lang w:val="en-AU"/>
        </w:rPr>
        <w:t>achieving</w:t>
      </w:r>
      <w:r w:rsidR="00177848" w:rsidRPr="00C6052E">
        <w:rPr>
          <w:lang w:val="en-AU"/>
        </w:rPr>
        <w:t xml:space="preserve"> </w:t>
      </w:r>
      <w:r w:rsidRPr="00C6052E">
        <w:rPr>
          <w:lang w:val="en-AU"/>
        </w:rPr>
        <w:t>objectives,</w:t>
      </w:r>
      <w:r w:rsidR="00177848" w:rsidRPr="00C6052E">
        <w:rPr>
          <w:lang w:val="en-AU"/>
        </w:rPr>
        <w:t xml:space="preserve"> </w:t>
      </w:r>
      <w:r w:rsidRPr="00C6052E">
        <w:rPr>
          <w:lang w:val="en-AU"/>
        </w:rPr>
        <w:t>incorporating</w:t>
      </w:r>
      <w:r w:rsidR="00177848" w:rsidRPr="00C6052E">
        <w:rPr>
          <w:lang w:val="en-AU"/>
        </w:rPr>
        <w:t xml:space="preserve"> </w:t>
      </w:r>
      <w:r w:rsidRPr="00C6052E">
        <w:rPr>
          <w:lang w:val="en-AU"/>
        </w:rPr>
        <w:t>key</w:t>
      </w:r>
      <w:r w:rsidR="00177848" w:rsidRPr="00C6052E">
        <w:rPr>
          <w:lang w:val="en-AU"/>
        </w:rPr>
        <w:t xml:space="preserve"> </w:t>
      </w:r>
      <w:r w:rsidRPr="00C6052E">
        <w:rPr>
          <w:lang w:val="en-AU"/>
        </w:rPr>
        <w:t>initiatives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projects</w:t>
      </w:r>
    </w:p>
    <w:p w14:paraId="15C4B628" w14:textId="1DC9D769" w:rsidR="00EE5BB8" w:rsidRPr="00C6052E" w:rsidRDefault="00EE5BB8" w:rsidP="00EE5BB8">
      <w:pPr>
        <w:pStyle w:val="Bullet1last"/>
        <w:numPr>
          <w:ilvl w:val="0"/>
          <w:numId w:val="1"/>
        </w:numPr>
        <w:spacing w:line="278" w:lineRule="auto"/>
        <w:ind w:left="284" w:hanging="284"/>
        <w:rPr>
          <w:lang w:val="en-AU"/>
        </w:rPr>
      </w:pPr>
      <w:r w:rsidRPr="00C6052E">
        <w:rPr>
          <w:lang w:val="en-AU"/>
        </w:rPr>
        <w:t>Report</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performance</w:t>
      </w:r>
      <w:r w:rsidR="00177848" w:rsidRPr="00C6052E">
        <w:rPr>
          <w:lang w:val="en-AU"/>
        </w:rPr>
        <w:t xml:space="preserve"> </w:t>
      </w:r>
      <w:r w:rsidRPr="00C6052E">
        <w:rPr>
          <w:lang w:val="en-AU"/>
        </w:rPr>
        <w:t>against</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performance</w:t>
      </w:r>
      <w:r w:rsidR="00177848" w:rsidRPr="00C6052E">
        <w:rPr>
          <w:lang w:val="en-AU"/>
        </w:rPr>
        <w:t xml:space="preserve"> </w:t>
      </w:r>
      <w:r w:rsidRPr="00C6052E">
        <w:rPr>
          <w:lang w:val="en-AU"/>
        </w:rPr>
        <w:t>measures.</w:t>
      </w:r>
    </w:p>
    <w:p w14:paraId="368CEB5B" w14:textId="4305950B" w:rsidR="00EE5BB8" w:rsidRPr="00C6052E" w:rsidRDefault="00EE5BB8" w:rsidP="00EE5BB8">
      <w:r w:rsidRPr="00C6052E">
        <w:t>The</w:t>
      </w:r>
      <w:r w:rsidR="00177848" w:rsidRPr="00C6052E">
        <w:t xml:space="preserve"> </w:t>
      </w:r>
      <w:r w:rsidRPr="00C6052E">
        <w:t>below</w:t>
      </w:r>
      <w:r w:rsidR="00177848" w:rsidRPr="00C6052E">
        <w:t xml:space="preserve"> </w:t>
      </w:r>
      <w:r w:rsidRPr="00C6052E">
        <w:t>table</w:t>
      </w:r>
      <w:r w:rsidR="00177848" w:rsidRPr="00C6052E">
        <w:t xml:space="preserve"> </w:t>
      </w:r>
      <w:r w:rsidRPr="00C6052E">
        <w:t>summarises</w:t>
      </w:r>
      <w:r w:rsidR="00177848" w:rsidRPr="00C6052E">
        <w:t xml:space="preserve"> </w:t>
      </w:r>
      <w:r w:rsidRPr="00C6052E">
        <w:t>the</w:t>
      </w:r>
      <w:r w:rsidR="00177848" w:rsidRPr="00C6052E">
        <w:t xml:space="preserve"> </w:t>
      </w:r>
      <w:r w:rsidRPr="00C6052E">
        <w:t>department’s</w:t>
      </w:r>
      <w:r w:rsidR="00177848" w:rsidRPr="00C6052E">
        <w:t xml:space="preserve"> </w:t>
      </w:r>
      <w:r w:rsidRPr="00C6052E">
        <w:t>objectives,</w:t>
      </w:r>
      <w:r w:rsidR="00177848" w:rsidRPr="00C6052E">
        <w:t xml:space="preserve"> </w:t>
      </w:r>
      <w:r w:rsidRPr="00C6052E">
        <w:t>indicators</w:t>
      </w:r>
      <w:r w:rsidR="00177848" w:rsidRPr="00C6052E">
        <w:t xml:space="preserve"> </w:t>
      </w:r>
      <w:r w:rsidRPr="00C6052E">
        <w:t>and</w:t>
      </w:r>
      <w:r w:rsidR="00177848" w:rsidRPr="00C6052E">
        <w:t xml:space="preserve"> </w:t>
      </w:r>
      <w:r w:rsidRPr="00C6052E">
        <w:t>outputs</w:t>
      </w:r>
      <w:r w:rsidR="00177848" w:rsidRPr="00C6052E">
        <w:t xml:space="preserve"> </w:t>
      </w:r>
      <w:r w:rsidRPr="00C6052E">
        <w:t>for</w:t>
      </w:r>
      <w:r w:rsidR="00177848" w:rsidRPr="00C6052E">
        <w:t xml:space="preserve"> </w:t>
      </w:r>
      <w:r w:rsidRPr="00C6052E">
        <w:t>2024–25.</w:t>
      </w:r>
    </w:p>
    <w:p w14:paraId="572DDF32" w14:textId="4AB8B7B9" w:rsidR="00EE5BB8" w:rsidRPr="00C6052E" w:rsidRDefault="00EE5BB8" w:rsidP="00EE5BB8">
      <w:pPr>
        <w:pStyle w:val="TableHeading"/>
      </w:pPr>
      <w:r w:rsidRPr="00C6052E">
        <w:t>Departmental</w:t>
      </w:r>
      <w:r w:rsidR="00177848" w:rsidRPr="00C6052E">
        <w:t xml:space="preserve"> </w:t>
      </w:r>
      <w:r w:rsidRPr="00C6052E">
        <w:t>objectives,</w:t>
      </w:r>
      <w:r w:rsidR="00177848" w:rsidRPr="00C6052E">
        <w:t xml:space="preserve"> </w:t>
      </w:r>
      <w:r w:rsidRPr="00C6052E">
        <w:t>indicators</w:t>
      </w:r>
      <w:r w:rsidR="00177848" w:rsidRPr="00C6052E">
        <w:t xml:space="preserve"> </w:t>
      </w:r>
      <w:r w:rsidRPr="00C6052E">
        <w:t>and</w:t>
      </w:r>
      <w:r w:rsidR="00177848" w:rsidRPr="00C6052E">
        <w:t xml:space="preserve"> </w:t>
      </w:r>
      <w:r w:rsidRPr="00C6052E">
        <w:t>linked</w:t>
      </w:r>
      <w:r w:rsidR="00177848" w:rsidRPr="00C6052E">
        <w:t xml:space="preserve"> </w:t>
      </w:r>
      <w:r w:rsidRPr="00C6052E">
        <w:t>outputs</w:t>
      </w:r>
    </w:p>
    <w:tbl>
      <w:tblPr>
        <w:tblStyle w:val="TableGrid"/>
        <w:tblW w:w="5000" w:type="pct"/>
        <w:tblLook w:val="04E0" w:firstRow="1" w:lastRow="1" w:firstColumn="1" w:lastColumn="0" w:noHBand="0" w:noVBand="1"/>
      </w:tblPr>
      <w:tblGrid>
        <w:gridCol w:w="2506"/>
        <w:gridCol w:w="4487"/>
        <w:gridCol w:w="2636"/>
      </w:tblGrid>
      <w:tr w:rsidR="00EE5BB8" w:rsidRPr="00C6052E" w14:paraId="63A363B5" w14:textId="77777777" w:rsidTr="0063097D">
        <w:trPr>
          <w:cantSplit/>
          <w:tblHeader/>
        </w:trPr>
        <w:tc>
          <w:tcPr>
            <w:tcW w:w="1301" w:type="pct"/>
            <w:hideMark/>
          </w:tcPr>
          <w:p w14:paraId="15D8528A" w14:textId="11E6125A" w:rsidR="00EE5BB8" w:rsidRPr="00C6052E" w:rsidRDefault="00EE5BB8" w:rsidP="0063097D">
            <w:pPr>
              <w:pStyle w:val="TableColumnHeading"/>
              <w:rPr>
                <w:lang w:val="en-AU"/>
              </w:rPr>
            </w:pPr>
            <w:bookmarkStart w:id="6" w:name="TableColumnHeadings_6"/>
            <w:bookmarkEnd w:id="6"/>
            <w:r w:rsidRPr="00C6052E">
              <w:rPr>
                <w:lang w:val="en-AU"/>
              </w:rPr>
              <w:t>Departmental</w:t>
            </w:r>
            <w:r w:rsidR="00177848" w:rsidRPr="00C6052E">
              <w:rPr>
                <w:lang w:val="en-AU"/>
              </w:rPr>
              <w:t xml:space="preserve"> </w:t>
            </w:r>
            <w:r w:rsidRPr="00C6052E">
              <w:rPr>
                <w:lang w:val="en-AU"/>
              </w:rPr>
              <w:t>objectives</w:t>
            </w:r>
          </w:p>
        </w:tc>
        <w:tc>
          <w:tcPr>
            <w:tcW w:w="2330" w:type="pct"/>
            <w:hideMark/>
          </w:tcPr>
          <w:p w14:paraId="26E335A7" w14:textId="77777777" w:rsidR="00EE5BB8" w:rsidRPr="00C6052E" w:rsidRDefault="00EE5BB8" w:rsidP="0063097D">
            <w:pPr>
              <w:pStyle w:val="TableColumnHeading"/>
              <w:rPr>
                <w:lang w:val="en-AU"/>
              </w:rPr>
            </w:pPr>
            <w:r w:rsidRPr="00C6052E">
              <w:rPr>
                <w:lang w:val="en-AU"/>
              </w:rPr>
              <w:t>Indicators</w:t>
            </w:r>
          </w:p>
        </w:tc>
        <w:tc>
          <w:tcPr>
            <w:tcW w:w="1369" w:type="pct"/>
            <w:hideMark/>
          </w:tcPr>
          <w:p w14:paraId="758E0003" w14:textId="77777777" w:rsidR="00EE5BB8" w:rsidRPr="00C6052E" w:rsidRDefault="00EE5BB8" w:rsidP="0063097D">
            <w:pPr>
              <w:pStyle w:val="TableColumnHeading"/>
              <w:rPr>
                <w:lang w:val="en-AU"/>
              </w:rPr>
            </w:pPr>
            <w:r w:rsidRPr="00C6052E">
              <w:rPr>
                <w:lang w:val="en-AU"/>
              </w:rPr>
              <w:t>Outputs</w:t>
            </w:r>
          </w:p>
        </w:tc>
      </w:tr>
      <w:tr w:rsidR="00EE5BB8" w:rsidRPr="00C6052E" w14:paraId="73A5EF61" w14:textId="77777777" w:rsidTr="0063097D">
        <w:trPr>
          <w:cantSplit/>
        </w:trPr>
        <w:tc>
          <w:tcPr>
            <w:tcW w:w="1301" w:type="pct"/>
            <w:hideMark/>
          </w:tcPr>
          <w:p w14:paraId="0E34F0E5" w14:textId="5303D08A" w:rsidR="00EE5BB8" w:rsidRPr="00C6052E" w:rsidRDefault="00EE5BB8" w:rsidP="0063097D">
            <w:pPr>
              <w:pStyle w:val="TableCopy"/>
              <w:rPr>
                <w:lang w:val="en-AU"/>
              </w:rPr>
            </w:pPr>
            <w:r w:rsidRPr="00C6052E">
              <w:rPr>
                <w:lang w:val="en-AU"/>
              </w:rPr>
              <w:t>Create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maintain</w:t>
            </w:r>
            <w:r w:rsidR="00177848" w:rsidRPr="00C6052E">
              <w:rPr>
                <w:lang w:val="en-AU"/>
              </w:rPr>
              <w:t xml:space="preserve"> </w:t>
            </w:r>
            <w:r w:rsidRPr="00C6052E">
              <w:rPr>
                <w:lang w:val="en-AU"/>
              </w:rPr>
              <w:t>jobs</w:t>
            </w:r>
          </w:p>
        </w:tc>
        <w:tc>
          <w:tcPr>
            <w:tcW w:w="2330" w:type="pct"/>
            <w:hideMark/>
          </w:tcPr>
          <w:p w14:paraId="200A4860" w14:textId="01C6BF28" w:rsidR="00EE5BB8" w:rsidRPr="00C6052E" w:rsidRDefault="00EE5BB8" w:rsidP="0063097D">
            <w:pPr>
              <w:pStyle w:val="TableBullet"/>
              <w:rPr>
                <w:lang w:val="en-AU"/>
              </w:rPr>
            </w:pPr>
            <w:r w:rsidRPr="00C6052E">
              <w:rPr>
                <w:lang w:val="en-AU"/>
              </w:rPr>
              <w:t>People</w:t>
            </w:r>
            <w:r w:rsidR="00177848" w:rsidRPr="00C6052E">
              <w:rPr>
                <w:lang w:val="en-AU"/>
              </w:rPr>
              <w:t xml:space="preserve"> </w:t>
            </w:r>
            <w:r w:rsidRPr="00C6052E">
              <w:rPr>
                <w:lang w:val="en-AU"/>
              </w:rPr>
              <w:t>employed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w:t>
            </w:r>
          </w:p>
        </w:tc>
        <w:tc>
          <w:tcPr>
            <w:tcW w:w="1369" w:type="pct"/>
            <w:hideMark/>
          </w:tcPr>
          <w:p w14:paraId="458753C8" w14:textId="77777777" w:rsidR="00EE5BB8" w:rsidRPr="00C6052E" w:rsidRDefault="00EE5BB8" w:rsidP="0063097D">
            <w:pPr>
              <w:pStyle w:val="TableBullet"/>
              <w:rPr>
                <w:lang w:val="en-AU"/>
              </w:rPr>
            </w:pPr>
            <w:r w:rsidRPr="00C6052E">
              <w:rPr>
                <w:lang w:val="en-AU"/>
              </w:rPr>
              <w:t>Jobs</w:t>
            </w:r>
          </w:p>
        </w:tc>
      </w:tr>
      <w:tr w:rsidR="00EE5BB8" w:rsidRPr="00C6052E" w14:paraId="79EE3B69" w14:textId="77777777" w:rsidTr="0063097D">
        <w:trPr>
          <w:cantSplit/>
        </w:trPr>
        <w:tc>
          <w:tcPr>
            <w:tcW w:w="1301" w:type="pct"/>
            <w:hideMark/>
          </w:tcPr>
          <w:p w14:paraId="3FDD4045" w14:textId="71ACDC88" w:rsidR="00EE5BB8" w:rsidRPr="00C6052E" w:rsidRDefault="00EE5BB8" w:rsidP="0063097D">
            <w:pPr>
              <w:pStyle w:val="TableCopy"/>
              <w:rPr>
                <w:lang w:val="en-AU"/>
              </w:rPr>
            </w:pPr>
            <w:r w:rsidRPr="00C6052E">
              <w:rPr>
                <w:lang w:val="en-AU"/>
              </w:rPr>
              <w:t>Foster</w:t>
            </w:r>
            <w:r w:rsidR="00177848" w:rsidRPr="00C6052E">
              <w:rPr>
                <w:lang w:val="en-AU"/>
              </w:rPr>
              <w:t xml:space="preserve"> </w:t>
            </w:r>
            <w:r w:rsidRPr="00C6052E">
              <w:rPr>
                <w:lang w:val="en-AU"/>
              </w:rPr>
              <w:t>a</w:t>
            </w:r>
            <w:r w:rsidR="00177848" w:rsidRPr="00C6052E">
              <w:rPr>
                <w:lang w:val="en-AU"/>
              </w:rPr>
              <w:t xml:space="preserve"> </w:t>
            </w:r>
            <w:r w:rsidRPr="00C6052E">
              <w:rPr>
                <w:lang w:val="en-AU"/>
              </w:rPr>
              <w:t>competitive</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environment</w:t>
            </w:r>
          </w:p>
        </w:tc>
        <w:tc>
          <w:tcPr>
            <w:tcW w:w="2330" w:type="pct"/>
            <w:hideMark/>
          </w:tcPr>
          <w:p w14:paraId="25F75D6D" w14:textId="6286F76B" w:rsidR="00EE5BB8" w:rsidRPr="00C6052E" w:rsidRDefault="00EE5BB8" w:rsidP="0063097D">
            <w:pPr>
              <w:pStyle w:val="TableBullet"/>
              <w:rPr>
                <w:lang w:val="en-AU"/>
              </w:rPr>
            </w:pPr>
            <w:r w:rsidRPr="00C6052E">
              <w:rPr>
                <w:lang w:val="en-AU"/>
              </w:rPr>
              <w:t>Change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real</w:t>
            </w:r>
            <w:r w:rsidR="00177848" w:rsidRPr="00C6052E">
              <w:rPr>
                <w:lang w:val="en-AU"/>
              </w:rPr>
              <w:t xml:space="preserve"> </w:t>
            </w:r>
            <w:r w:rsidRPr="00C6052E">
              <w:rPr>
                <w:lang w:val="en-AU"/>
              </w:rPr>
              <w:t>gross</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product</w:t>
            </w:r>
          </w:p>
          <w:p w14:paraId="1DC7E795" w14:textId="25CA2B72" w:rsidR="00EE5BB8" w:rsidRPr="00C6052E" w:rsidRDefault="00EE5BB8" w:rsidP="0063097D">
            <w:pPr>
              <w:pStyle w:val="TableBullet"/>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employing</w:t>
            </w:r>
            <w:r w:rsidR="00177848" w:rsidRPr="00C6052E">
              <w:rPr>
                <w:lang w:val="en-AU"/>
              </w:rPr>
              <w:t xml:space="preserve"> </w:t>
            </w:r>
            <w:r w:rsidRPr="00C6052E">
              <w:rPr>
                <w:lang w:val="en-AU"/>
              </w:rPr>
              <w:t>businesses</w:t>
            </w:r>
          </w:p>
        </w:tc>
        <w:tc>
          <w:tcPr>
            <w:tcW w:w="1369" w:type="pct"/>
          </w:tcPr>
          <w:p w14:paraId="190BEF76" w14:textId="1F1F1DDC" w:rsidR="00EE5BB8" w:rsidRPr="00C6052E" w:rsidRDefault="00EE5BB8" w:rsidP="0063097D">
            <w:pPr>
              <w:pStyle w:val="TableBullet"/>
              <w:rPr>
                <w:lang w:val="en-AU"/>
              </w:rPr>
            </w:pPr>
            <w:r w:rsidRPr="00C6052E">
              <w:rPr>
                <w:lang w:val="en-AU"/>
              </w:rPr>
              <w:t>Industry,</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Medical</w:t>
            </w:r>
            <w:r w:rsidR="00177848" w:rsidRPr="00C6052E">
              <w:rPr>
                <w:lang w:val="en-AU"/>
              </w:rPr>
              <w:t xml:space="preserve"> </w:t>
            </w:r>
            <w:r w:rsidRPr="00C6052E">
              <w:rPr>
                <w:lang w:val="en-AU"/>
              </w:rPr>
              <w:t>Research</w:t>
            </w:r>
          </w:p>
        </w:tc>
      </w:tr>
      <w:tr w:rsidR="00EE5BB8" w:rsidRPr="00C6052E" w14:paraId="6E5A4196" w14:textId="77777777" w:rsidTr="0063097D">
        <w:trPr>
          <w:cantSplit/>
        </w:trPr>
        <w:tc>
          <w:tcPr>
            <w:tcW w:w="1301" w:type="pct"/>
            <w:hideMark/>
          </w:tcPr>
          <w:p w14:paraId="436A182A" w14:textId="5F9D5F46" w:rsidR="00EE5BB8" w:rsidRPr="00C6052E" w:rsidRDefault="00EE5BB8" w:rsidP="0063097D">
            <w:pPr>
              <w:pStyle w:val="TableCopy"/>
              <w:rPr>
                <w:lang w:val="en-AU"/>
              </w:rPr>
            </w:pPr>
            <w:r w:rsidRPr="00C6052E">
              <w:rPr>
                <w:lang w:val="en-AU"/>
              </w:rPr>
              <w:t>Economic</w:t>
            </w:r>
            <w:r w:rsidR="00177848" w:rsidRPr="00C6052E">
              <w:rPr>
                <w:lang w:val="en-AU"/>
              </w:rPr>
              <w:t xml:space="preserve"> </w:t>
            </w:r>
            <w:r w:rsidRPr="00C6052E">
              <w:rPr>
                <w:lang w:val="en-AU"/>
              </w:rPr>
              <w:t>growth</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trade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attraction</w:t>
            </w:r>
          </w:p>
        </w:tc>
        <w:tc>
          <w:tcPr>
            <w:tcW w:w="2330" w:type="pct"/>
            <w:hideMark/>
          </w:tcPr>
          <w:p w14:paraId="582DE82F" w14:textId="153AE420" w:rsidR="00EE5BB8" w:rsidRPr="00C6052E" w:rsidRDefault="00EE5BB8" w:rsidP="0063097D">
            <w:pPr>
              <w:pStyle w:val="TableBullet"/>
              <w:rPr>
                <w:lang w:val="en-AU"/>
              </w:rPr>
            </w:pPr>
            <w:r w:rsidRPr="00C6052E">
              <w:rPr>
                <w:lang w:val="en-AU"/>
              </w:rPr>
              <w:t>Export</w:t>
            </w:r>
            <w:r w:rsidR="00177848" w:rsidRPr="00C6052E">
              <w:rPr>
                <w:lang w:val="en-AU"/>
              </w:rPr>
              <w:t xml:space="preserve"> </w:t>
            </w:r>
            <w:r w:rsidRPr="00C6052E">
              <w:rPr>
                <w:lang w:val="en-AU"/>
              </w:rPr>
              <w:t>sales</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programs</w:t>
            </w:r>
          </w:p>
          <w:p w14:paraId="7431469C" w14:textId="0F85F31A" w:rsidR="00EE5BB8" w:rsidRPr="00C6052E" w:rsidRDefault="00EE5BB8" w:rsidP="0063097D">
            <w:pPr>
              <w:pStyle w:val="TableBullet"/>
              <w:rPr>
                <w:lang w:val="en-AU"/>
              </w:rPr>
            </w:pPr>
            <w:r w:rsidRPr="00C6052E">
              <w:rPr>
                <w:lang w:val="en-AU"/>
              </w:rPr>
              <w:t>Victoria’s</w:t>
            </w:r>
            <w:r w:rsidR="00177848" w:rsidRPr="00C6052E">
              <w:rPr>
                <w:lang w:val="en-AU"/>
              </w:rPr>
              <w:t xml:space="preserve"> </w:t>
            </w:r>
            <w:r w:rsidRPr="00C6052E">
              <w:rPr>
                <w:lang w:val="en-AU"/>
              </w:rPr>
              <w:t>share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student</w:t>
            </w:r>
            <w:r w:rsidR="00177848" w:rsidRPr="00C6052E">
              <w:rPr>
                <w:lang w:val="en-AU"/>
              </w:rPr>
              <w:t xml:space="preserve"> </w:t>
            </w:r>
            <w:r w:rsidRPr="00C6052E">
              <w:rPr>
                <w:lang w:val="en-AU"/>
              </w:rPr>
              <w:t>enrolments</w:t>
            </w:r>
          </w:p>
          <w:p w14:paraId="216ED253" w14:textId="5CE3DEE3" w:rsidR="00EE5BB8" w:rsidRPr="00C6052E" w:rsidRDefault="00EE5BB8" w:rsidP="0063097D">
            <w:pPr>
              <w:pStyle w:val="TableBullet"/>
              <w:rPr>
                <w:lang w:val="en-AU"/>
              </w:rPr>
            </w:pPr>
            <w:r w:rsidRPr="00C6052E">
              <w:rPr>
                <w:lang w:val="en-AU"/>
              </w:rPr>
              <w:t>Jobs,</w:t>
            </w:r>
            <w:r w:rsidR="00177848" w:rsidRPr="00C6052E">
              <w:rPr>
                <w:lang w:val="en-AU"/>
              </w:rPr>
              <w:t xml:space="preserve"> </w:t>
            </w:r>
            <w:r w:rsidRPr="00C6052E">
              <w:rPr>
                <w:lang w:val="en-AU"/>
              </w:rPr>
              <w:t>wages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research</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spending</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p>
        </w:tc>
        <w:tc>
          <w:tcPr>
            <w:tcW w:w="1369" w:type="pct"/>
            <w:hideMark/>
          </w:tcPr>
          <w:p w14:paraId="3387732D" w14:textId="241E3030" w:rsidR="00EE5BB8" w:rsidRPr="00C6052E" w:rsidRDefault="00EE5BB8" w:rsidP="0063097D">
            <w:pPr>
              <w:pStyle w:val="TableBullet"/>
              <w:rPr>
                <w:lang w:val="en-AU"/>
              </w:rPr>
            </w:pPr>
            <w:r w:rsidRPr="00C6052E">
              <w:rPr>
                <w:lang w:val="en-AU"/>
              </w:rPr>
              <w:t>Trade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Investment</w:t>
            </w:r>
          </w:p>
        </w:tc>
      </w:tr>
      <w:tr w:rsidR="00EE5BB8" w:rsidRPr="00C6052E" w14:paraId="593B3EA5" w14:textId="77777777" w:rsidTr="0063097D">
        <w:trPr>
          <w:cantSplit/>
        </w:trPr>
        <w:tc>
          <w:tcPr>
            <w:tcW w:w="1301" w:type="pct"/>
            <w:hideMark/>
          </w:tcPr>
          <w:p w14:paraId="17931932" w14:textId="1F62F03B" w:rsidR="00EE5BB8" w:rsidRPr="00C6052E" w:rsidRDefault="00EE5BB8" w:rsidP="0063097D">
            <w:pPr>
              <w:pStyle w:val="TableCopy"/>
              <w:rPr>
                <w:lang w:val="en-AU"/>
              </w:rPr>
            </w:pPr>
            <w:r w:rsidRPr="00C6052E">
              <w:rPr>
                <w:lang w:val="en-AU"/>
              </w:rPr>
              <w:t>Build</w:t>
            </w:r>
            <w:r w:rsidR="00177848" w:rsidRPr="00C6052E">
              <w:rPr>
                <w:lang w:val="en-AU"/>
              </w:rPr>
              <w:t xml:space="preserve"> </w:t>
            </w:r>
            <w:r w:rsidRPr="00C6052E">
              <w:rPr>
                <w:lang w:val="en-AU"/>
              </w:rPr>
              <w:t>prosperous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liveable</w:t>
            </w:r>
            <w:r w:rsidR="00177848" w:rsidRPr="00C6052E">
              <w:rPr>
                <w:lang w:val="en-AU"/>
              </w:rPr>
              <w:t xml:space="preserve"> </w:t>
            </w:r>
            <w:r w:rsidRPr="00C6052E">
              <w:rPr>
                <w:lang w:val="en-AU"/>
              </w:rPr>
              <w:t>regions,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manage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promote</w:t>
            </w:r>
            <w:r w:rsidR="00177848" w:rsidRPr="00C6052E">
              <w:rPr>
                <w:lang w:val="en-AU"/>
              </w:rPr>
              <w:t xml:space="preserve"> </w:t>
            </w:r>
            <w:r w:rsidRPr="00C6052E">
              <w:rPr>
                <w:lang w:val="en-AU"/>
              </w:rPr>
              <w:t>outdoor</w:t>
            </w:r>
            <w:r w:rsidR="00177848" w:rsidRPr="00C6052E">
              <w:rPr>
                <w:lang w:val="en-AU"/>
              </w:rPr>
              <w:t xml:space="preserve"> </w:t>
            </w:r>
            <w:r w:rsidRPr="00C6052E">
              <w:rPr>
                <w:lang w:val="en-AU"/>
              </w:rPr>
              <w:t>recreation</w:t>
            </w:r>
          </w:p>
        </w:tc>
        <w:tc>
          <w:tcPr>
            <w:tcW w:w="2330" w:type="pct"/>
            <w:hideMark/>
          </w:tcPr>
          <w:p w14:paraId="013A56D4" w14:textId="5EB8B957" w:rsidR="00EE5BB8" w:rsidRPr="00C6052E" w:rsidRDefault="00EE5BB8" w:rsidP="0063097D">
            <w:pPr>
              <w:pStyle w:val="TableBullet"/>
              <w:rPr>
                <w:lang w:val="en-AU"/>
              </w:rPr>
            </w:pPr>
            <w:r w:rsidRPr="00C6052E">
              <w:rPr>
                <w:lang w:val="en-AU"/>
              </w:rPr>
              <w:t>Jobs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p>
          <w:p w14:paraId="3621B751" w14:textId="4A43C143" w:rsidR="00EE5BB8" w:rsidRPr="00C6052E" w:rsidRDefault="00EE5BB8" w:rsidP="0063097D">
            <w:pPr>
              <w:pStyle w:val="TableBullet"/>
              <w:rPr>
                <w:lang w:val="en-AU"/>
              </w:rPr>
            </w:pPr>
            <w:r w:rsidRPr="00C6052E">
              <w:rPr>
                <w:lang w:val="en-AU"/>
              </w:rPr>
              <w:t>Projects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activities</w:t>
            </w:r>
            <w:r w:rsidR="00177848" w:rsidRPr="00C6052E">
              <w:rPr>
                <w:lang w:val="en-AU"/>
              </w:rPr>
              <w:t xml:space="preserve"> </w:t>
            </w:r>
            <w:r w:rsidRPr="00C6052E">
              <w:rPr>
                <w:lang w:val="en-AU"/>
              </w:rPr>
              <w:t>delivered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community</w:t>
            </w:r>
            <w:r w:rsidR="00177848" w:rsidRPr="00C6052E">
              <w:rPr>
                <w:lang w:val="en-AU"/>
              </w:rPr>
              <w:t xml:space="preserve"> </w:t>
            </w:r>
            <w:r w:rsidRPr="00C6052E">
              <w:rPr>
                <w:lang w:val="en-AU"/>
              </w:rPr>
              <w:t>outcomes</w:t>
            </w:r>
          </w:p>
          <w:p w14:paraId="46827006" w14:textId="098B0657" w:rsidR="00EE5BB8" w:rsidRPr="00C6052E" w:rsidRDefault="00EE5BB8" w:rsidP="0063097D">
            <w:pPr>
              <w:pStyle w:val="TableBullet"/>
              <w:rPr>
                <w:lang w:val="en-AU"/>
              </w:rPr>
            </w:pPr>
            <w:r w:rsidRPr="00C6052E">
              <w:rPr>
                <w:lang w:val="en-AU"/>
              </w:rPr>
              <w:t>Sustainability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assessed</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stocks</w:t>
            </w:r>
          </w:p>
          <w:p w14:paraId="15107411" w14:textId="26354E7C" w:rsidR="00EE5BB8" w:rsidRPr="00C6052E" w:rsidRDefault="00EE5BB8" w:rsidP="0063097D">
            <w:pPr>
              <w:pStyle w:val="TableBullet"/>
              <w:rPr>
                <w:lang w:val="en-AU"/>
              </w:rPr>
            </w:pPr>
            <w:r w:rsidRPr="00C6052E">
              <w:rPr>
                <w:lang w:val="en-AU"/>
              </w:rPr>
              <w:t>Improved</w:t>
            </w:r>
            <w:r w:rsidR="00177848" w:rsidRPr="00C6052E">
              <w:rPr>
                <w:lang w:val="en-AU"/>
              </w:rPr>
              <w:t xml:space="preserve"> </w:t>
            </w:r>
            <w:r w:rsidRPr="00C6052E">
              <w:rPr>
                <w:lang w:val="en-AU"/>
              </w:rPr>
              <w:t>recreational</w:t>
            </w:r>
            <w:r w:rsidR="00177848" w:rsidRPr="00C6052E">
              <w:rPr>
                <w:lang w:val="en-AU"/>
              </w:rPr>
              <w:t xml:space="preserve"> </w:t>
            </w:r>
            <w:r w:rsidRPr="00C6052E">
              <w:rPr>
                <w:lang w:val="en-AU"/>
              </w:rPr>
              <w:t>fishing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boating</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facilities</w:t>
            </w:r>
          </w:p>
        </w:tc>
        <w:tc>
          <w:tcPr>
            <w:tcW w:w="1369" w:type="pct"/>
            <w:hideMark/>
          </w:tcPr>
          <w:p w14:paraId="33417A81" w14:textId="60789475" w:rsidR="00EE5BB8" w:rsidRPr="00C6052E" w:rsidRDefault="00EE5BB8" w:rsidP="0063097D">
            <w:pPr>
              <w:pStyle w:val="TableBullet"/>
              <w:rPr>
                <w:lang w:val="en-AU"/>
              </w:rPr>
            </w:pPr>
            <w:r w:rsidRPr="00C6052E">
              <w:rPr>
                <w:lang w:val="en-AU"/>
              </w:rPr>
              <w:t>Fishing,</w:t>
            </w:r>
            <w:r w:rsidR="00177848" w:rsidRPr="00C6052E">
              <w:rPr>
                <w:lang w:val="en-AU"/>
              </w:rPr>
              <w:t xml:space="preserve"> </w:t>
            </w:r>
            <w:r w:rsidRPr="00C6052E">
              <w:rPr>
                <w:lang w:val="en-AU"/>
              </w:rPr>
              <w:t>Boating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Game</w:t>
            </w:r>
            <w:r w:rsidR="00177848" w:rsidRPr="00C6052E">
              <w:rPr>
                <w:lang w:val="en-AU"/>
              </w:rPr>
              <w:t xml:space="preserve"> </w:t>
            </w:r>
            <w:r w:rsidRPr="00C6052E">
              <w:rPr>
                <w:lang w:val="en-AU"/>
              </w:rPr>
              <w:t>Management</w:t>
            </w:r>
          </w:p>
          <w:p w14:paraId="720587E5" w14:textId="28F30062" w:rsidR="00EE5BB8" w:rsidRPr="00C6052E" w:rsidRDefault="00EE5BB8" w:rsidP="0063097D">
            <w:pPr>
              <w:pStyle w:val="TableBullet"/>
              <w:rPr>
                <w:lang w:val="en-AU"/>
              </w:rPr>
            </w:pPr>
            <w:r w:rsidRPr="00C6052E">
              <w:rPr>
                <w:lang w:val="en-AU"/>
              </w:rPr>
              <w:t>Regional</w:t>
            </w:r>
            <w:r w:rsidR="00177848" w:rsidRPr="00C6052E">
              <w:rPr>
                <w:lang w:val="en-AU"/>
              </w:rPr>
              <w:t xml:space="preserve"> </w:t>
            </w:r>
            <w:r w:rsidRPr="00C6052E">
              <w:rPr>
                <w:lang w:val="en-AU"/>
              </w:rPr>
              <w:t>Development</w:t>
            </w:r>
          </w:p>
        </w:tc>
      </w:tr>
      <w:tr w:rsidR="00EE5BB8" w:rsidRPr="00C6052E" w14:paraId="27486FAB" w14:textId="77777777" w:rsidTr="0063097D">
        <w:trPr>
          <w:cantSplit/>
        </w:trPr>
        <w:tc>
          <w:tcPr>
            <w:tcW w:w="1301" w:type="pct"/>
            <w:hideMark/>
          </w:tcPr>
          <w:p w14:paraId="50DF33DB" w14:textId="10386196" w:rsidR="00EE5BB8" w:rsidRPr="00C6052E" w:rsidRDefault="00EE5BB8" w:rsidP="0063097D">
            <w:pPr>
              <w:pStyle w:val="TableCopy"/>
              <w:rPr>
                <w:lang w:val="en-AU"/>
              </w:rPr>
            </w:pPr>
            <w:r w:rsidRPr="00C6052E">
              <w:rPr>
                <w:lang w:val="en-AU"/>
              </w:rPr>
              <w:lastRenderedPageBreak/>
              <w:t>Grow</w:t>
            </w:r>
            <w:r w:rsidR="00177848" w:rsidRPr="00C6052E">
              <w:rPr>
                <w:lang w:val="en-AU"/>
              </w:rPr>
              <w:t xml:space="preserve"> </w:t>
            </w:r>
            <w:r w:rsidRPr="00C6052E">
              <w:rPr>
                <w:lang w:val="en-AU"/>
              </w:rPr>
              <w:t>vibrant,</w:t>
            </w:r>
            <w:r w:rsidR="00177848" w:rsidRPr="00C6052E">
              <w:rPr>
                <w:lang w:val="en-AU"/>
              </w:rPr>
              <w:t xml:space="preserve"> </w:t>
            </w:r>
            <w:r w:rsidRPr="00C6052E">
              <w:rPr>
                <w:lang w:val="en-AU"/>
              </w:rPr>
              <w:t>active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creative</w:t>
            </w:r>
            <w:r w:rsidR="00177848" w:rsidRPr="00C6052E">
              <w:rPr>
                <w:lang w:val="en-AU"/>
              </w:rPr>
              <w:t xml:space="preserve"> </w:t>
            </w:r>
            <w:r w:rsidRPr="00C6052E">
              <w:rPr>
                <w:lang w:val="en-AU"/>
              </w:rPr>
              <w:t>communities</w:t>
            </w:r>
          </w:p>
        </w:tc>
        <w:tc>
          <w:tcPr>
            <w:tcW w:w="2330" w:type="pct"/>
            <w:hideMark/>
          </w:tcPr>
          <w:p w14:paraId="1DD53253" w14:textId="1F54817A" w:rsidR="00EE5BB8" w:rsidRPr="00C6052E" w:rsidRDefault="00EE5BB8" w:rsidP="0063097D">
            <w:pPr>
              <w:pStyle w:val="TableBullet"/>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agencies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funded</w:t>
            </w:r>
            <w:r w:rsidR="00177848" w:rsidRPr="00C6052E">
              <w:rPr>
                <w:lang w:val="en-AU"/>
              </w:rPr>
              <w:t xml:space="preserve"> </w:t>
            </w:r>
            <w:r w:rsidRPr="00C6052E">
              <w:rPr>
                <w:lang w:val="en-AU"/>
              </w:rPr>
              <w:t>major</w:t>
            </w:r>
            <w:r w:rsidR="00177848" w:rsidRPr="00C6052E">
              <w:rPr>
                <w:lang w:val="en-AU"/>
              </w:rPr>
              <w:t xml:space="preserve"> </w:t>
            </w:r>
            <w:r w:rsidRPr="00C6052E">
              <w:rPr>
                <w:lang w:val="en-AU"/>
              </w:rPr>
              <w:t>performing</w:t>
            </w:r>
            <w:r w:rsidR="00177848" w:rsidRPr="00C6052E">
              <w:rPr>
                <w:lang w:val="en-AU"/>
              </w:rPr>
              <w:t xml:space="preserve"> </w:t>
            </w:r>
            <w:r w:rsidRPr="00C6052E">
              <w:rPr>
                <w:lang w:val="en-AU"/>
              </w:rPr>
              <w:t>arts</w:t>
            </w:r>
            <w:r w:rsidR="00177848" w:rsidRPr="00C6052E">
              <w:rPr>
                <w:lang w:val="en-AU"/>
              </w:rPr>
              <w:t xml:space="preserve"> </w:t>
            </w:r>
            <w:r w:rsidRPr="00C6052E">
              <w:rPr>
                <w:lang w:val="en-AU"/>
              </w:rPr>
              <w:t>organisations</w:t>
            </w:r>
          </w:p>
          <w:p w14:paraId="16F864DC" w14:textId="1D1016FF" w:rsidR="00EE5BB8" w:rsidRPr="00C6052E" w:rsidRDefault="00EE5BB8" w:rsidP="0063097D">
            <w:pPr>
              <w:pStyle w:val="TableBullet"/>
              <w:rPr>
                <w:lang w:val="en-AU"/>
              </w:rPr>
            </w:pPr>
            <w:r w:rsidRPr="00C6052E">
              <w:rPr>
                <w:lang w:val="en-AU"/>
              </w:rPr>
              <w:t>Employment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sector</w:t>
            </w:r>
          </w:p>
          <w:p w14:paraId="52420311" w14:textId="029F5158" w:rsidR="00EE5BB8" w:rsidRPr="00C6052E" w:rsidRDefault="00EE5BB8" w:rsidP="0063097D">
            <w:pPr>
              <w:pStyle w:val="TableBullet"/>
              <w:rPr>
                <w:lang w:val="en-AU"/>
              </w:rPr>
            </w:pPr>
            <w:r w:rsidRPr="00C6052E">
              <w:rPr>
                <w:lang w:val="en-AU"/>
              </w:rPr>
              <w:t>Employment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Visitor</w:t>
            </w:r>
            <w:r w:rsidR="00177848" w:rsidRPr="00C6052E">
              <w:rPr>
                <w:lang w:val="en-AU"/>
              </w:rPr>
              <w:t xml:space="preserve"> </w:t>
            </w:r>
            <w:r w:rsidRPr="00C6052E">
              <w:rPr>
                <w:lang w:val="en-AU"/>
              </w:rPr>
              <w:t>Economy</w:t>
            </w:r>
            <w:r w:rsidR="00177848" w:rsidRPr="00C6052E">
              <w:rPr>
                <w:lang w:val="en-AU"/>
              </w:rPr>
              <w:t xml:space="preserve"> </w:t>
            </w:r>
            <w:r w:rsidRPr="00C6052E">
              <w:rPr>
                <w:lang w:val="en-AU"/>
              </w:rPr>
              <w:t>sector</w:t>
            </w:r>
          </w:p>
          <w:p w14:paraId="497C9764" w14:textId="3DBD34AA" w:rsidR="00EE5BB8" w:rsidRPr="00C6052E" w:rsidRDefault="00EE5BB8" w:rsidP="0063097D">
            <w:pPr>
              <w:pStyle w:val="TableBullet"/>
              <w:rPr>
                <w:lang w:val="en-AU"/>
              </w:rPr>
            </w:pPr>
            <w:r w:rsidRPr="00C6052E">
              <w:rPr>
                <w:lang w:val="en-AU"/>
              </w:rPr>
              <w:t>Tourists</w:t>
            </w:r>
            <w:r w:rsidR="00177848" w:rsidRPr="00C6052E">
              <w:rPr>
                <w:lang w:val="en-AU"/>
              </w:rPr>
              <w:t xml:space="preserve"> </w:t>
            </w:r>
            <w:r w:rsidRPr="00C6052E">
              <w:rPr>
                <w:lang w:val="en-AU"/>
              </w:rPr>
              <w:t>attracted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Victoria</w:t>
            </w:r>
          </w:p>
          <w:p w14:paraId="4BC8A69A" w14:textId="42375092" w:rsidR="00EE5BB8" w:rsidRPr="00C6052E" w:rsidRDefault="00EE5BB8" w:rsidP="0063097D">
            <w:pPr>
              <w:pStyle w:val="TableBullet"/>
              <w:rPr>
                <w:lang w:val="en-AU"/>
              </w:rPr>
            </w:pPr>
            <w:r w:rsidRPr="00C6052E">
              <w:rPr>
                <w:lang w:val="en-AU"/>
              </w:rPr>
              <w:t>Increase</w:t>
            </w:r>
            <w:r w:rsidR="00177848" w:rsidRPr="00C6052E">
              <w:rPr>
                <w:lang w:val="en-AU"/>
              </w:rPr>
              <w:t xml:space="preserve"> </w:t>
            </w:r>
            <w:r w:rsidRPr="00C6052E">
              <w:rPr>
                <w:lang w:val="en-AU"/>
              </w:rPr>
              <w:t>rates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community</w:t>
            </w:r>
            <w:r w:rsidR="00177848" w:rsidRPr="00C6052E">
              <w:rPr>
                <w:lang w:val="en-AU"/>
              </w:rPr>
              <w:t xml:space="preserve"> </w:t>
            </w:r>
            <w:r w:rsidRPr="00C6052E">
              <w:rPr>
                <w:lang w:val="en-AU"/>
              </w:rPr>
              <w:t>engagement,</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participation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sport,</w:t>
            </w:r>
            <w:r w:rsidR="00177848" w:rsidRPr="00C6052E">
              <w:rPr>
                <w:lang w:val="en-AU"/>
              </w:rPr>
              <w:t xml:space="preserve"> </w:t>
            </w:r>
            <w:r w:rsidRPr="00C6052E">
              <w:rPr>
                <w:lang w:val="en-AU"/>
              </w:rPr>
              <w:t>recreation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cultural</w:t>
            </w:r>
            <w:r w:rsidR="00177848" w:rsidRPr="00C6052E">
              <w:rPr>
                <w:lang w:val="en-AU"/>
              </w:rPr>
              <w:t xml:space="preserve"> </w:t>
            </w:r>
            <w:r w:rsidRPr="00C6052E">
              <w:rPr>
                <w:lang w:val="en-AU"/>
              </w:rPr>
              <w:t>activities</w:t>
            </w:r>
          </w:p>
        </w:tc>
        <w:tc>
          <w:tcPr>
            <w:tcW w:w="1369" w:type="pct"/>
            <w:hideMark/>
          </w:tcPr>
          <w:p w14:paraId="6BAC4287" w14:textId="1FF8C41F" w:rsidR="00EE5BB8" w:rsidRPr="00C6052E" w:rsidRDefault="00EE5BB8" w:rsidP="0063097D">
            <w:pPr>
              <w:pStyle w:val="TableBullet"/>
              <w:rPr>
                <w:lang w:val="en-AU"/>
              </w:rPr>
            </w:pP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Access,</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Innovation</w:t>
            </w:r>
          </w:p>
          <w:p w14:paraId="4A81140D" w14:textId="5D039C8E" w:rsidR="00EE5BB8" w:rsidRPr="00C6052E" w:rsidRDefault="00EE5BB8" w:rsidP="0063097D">
            <w:pPr>
              <w:pStyle w:val="TableBullet"/>
              <w:rPr>
                <w:lang w:val="en-AU"/>
              </w:rPr>
            </w:pP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Portfolio</w:t>
            </w:r>
            <w:r w:rsidR="00177848" w:rsidRPr="00C6052E">
              <w:rPr>
                <w:lang w:val="en-AU"/>
              </w:rPr>
              <w:t xml:space="preserve"> </w:t>
            </w:r>
            <w:r w:rsidRPr="00C6052E">
              <w:rPr>
                <w:lang w:val="en-AU"/>
              </w:rPr>
              <w:t>Agencies</w:t>
            </w:r>
          </w:p>
          <w:p w14:paraId="54EB1CD9" w14:textId="368499C1" w:rsidR="00EE5BB8" w:rsidRPr="00C6052E" w:rsidRDefault="00EE5BB8" w:rsidP="0063097D">
            <w:pPr>
              <w:pStyle w:val="TableBullet"/>
              <w:rPr>
                <w:lang w:val="en-AU"/>
              </w:rPr>
            </w:pPr>
            <w:r w:rsidRPr="00C6052E">
              <w:rPr>
                <w:lang w:val="en-AU"/>
              </w:rPr>
              <w:t>Cultural</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Facilities</w:t>
            </w:r>
          </w:p>
          <w:p w14:paraId="5ABEA0C6" w14:textId="36CC3436" w:rsidR="00EE5BB8" w:rsidRPr="00C6052E" w:rsidRDefault="00EE5BB8" w:rsidP="0063097D">
            <w:pPr>
              <w:pStyle w:val="TableBullet"/>
              <w:rPr>
                <w:lang w:val="en-AU"/>
              </w:rPr>
            </w:pPr>
            <w:r w:rsidRPr="00C6052E">
              <w:rPr>
                <w:lang w:val="en-AU"/>
              </w:rPr>
              <w:t>Sport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Recreation</w:t>
            </w:r>
          </w:p>
          <w:p w14:paraId="5E2AB401" w14:textId="70B4E7A6" w:rsidR="00EE5BB8" w:rsidRPr="00C6052E" w:rsidRDefault="00EE5BB8" w:rsidP="0063097D">
            <w:pPr>
              <w:pStyle w:val="TableBullet"/>
              <w:rPr>
                <w:lang w:val="en-AU"/>
              </w:rPr>
            </w:pPr>
            <w:r w:rsidRPr="00C6052E">
              <w:rPr>
                <w:lang w:val="en-AU"/>
              </w:rPr>
              <w:t>Tourism</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Major</w:t>
            </w:r>
            <w:r w:rsidR="00177848" w:rsidRPr="00C6052E">
              <w:rPr>
                <w:lang w:val="en-AU"/>
              </w:rPr>
              <w:t xml:space="preserve"> </w:t>
            </w:r>
            <w:r w:rsidRPr="00C6052E">
              <w:rPr>
                <w:lang w:val="en-AU"/>
              </w:rPr>
              <w:t>Events</w:t>
            </w:r>
          </w:p>
        </w:tc>
      </w:tr>
      <w:tr w:rsidR="00EE5BB8" w:rsidRPr="00C6052E" w14:paraId="61B9E8F4" w14:textId="77777777" w:rsidTr="0063097D">
        <w:trPr>
          <w:cantSplit/>
        </w:trPr>
        <w:tc>
          <w:tcPr>
            <w:tcW w:w="1301" w:type="pct"/>
            <w:hideMark/>
          </w:tcPr>
          <w:p w14:paraId="20F0BCC7" w14:textId="09F472C9" w:rsidR="00EE5BB8" w:rsidRPr="00C6052E" w:rsidRDefault="00EE5BB8" w:rsidP="0063097D">
            <w:pPr>
              <w:pStyle w:val="TableCopy"/>
              <w:rPr>
                <w:lang w:val="en-AU"/>
              </w:rPr>
            </w:pPr>
            <w:r w:rsidRPr="00C6052E">
              <w:rPr>
                <w:lang w:val="en-AU"/>
              </w:rPr>
              <w:t>Deliver</w:t>
            </w:r>
            <w:r w:rsidR="00177848" w:rsidRPr="00C6052E">
              <w:rPr>
                <w:lang w:val="en-AU"/>
              </w:rPr>
              <w:t xml:space="preserve"> </w:t>
            </w:r>
            <w:r w:rsidRPr="00C6052E">
              <w:rPr>
                <w:lang w:val="en-AU"/>
              </w:rPr>
              <w:t>high-quality</w:t>
            </w:r>
            <w:r w:rsidR="00177848" w:rsidRPr="00C6052E">
              <w:rPr>
                <w:lang w:val="en-AU"/>
              </w:rPr>
              <w:t xml:space="preserve"> </w:t>
            </w:r>
            <w:r w:rsidRPr="00C6052E">
              <w:rPr>
                <w:lang w:val="en-AU"/>
              </w:rPr>
              <w:t>training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skills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meet</w:t>
            </w:r>
            <w:r w:rsidR="00177848" w:rsidRPr="00C6052E">
              <w:rPr>
                <w:lang w:val="en-AU"/>
              </w:rPr>
              <w:t xml:space="preserve"> </w:t>
            </w:r>
            <w:r w:rsidRPr="00C6052E">
              <w:rPr>
                <w:lang w:val="en-AU"/>
              </w:rPr>
              <w:t>industry</w:t>
            </w:r>
            <w:r w:rsidR="00177848" w:rsidRPr="00C6052E">
              <w:rPr>
                <w:lang w:val="en-AU"/>
              </w:rPr>
              <w:t xml:space="preserve"> </w:t>
            </w:r>
            <w:r w:rsidRPr="00C6052E">
              <w:rPr>
                <w:lang w:val="en-AU"/>
              </w:rPr>
              <w:t>needs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a</w:t>
            </w:r>
            <w:r w:rsidR="00177848" w:rsidRPr="00C6052E">
              <w:rPr>
                <w:lang w:val="en-AU"/>
              </w:rPr>
              <w:t xml:space="preserve"> </w:t>
            </w:r>
            <w:r w:rsidRPr="00C6052E">
              <w:rPr>
                <w:lang w:val="en-AU"/>
              </w:rPr>
              <w:t>growing</w:t>
            </w:r>
            <w:r w:rsidR="00177848" w:rsidRPr="00C6052E">
              <w:rPr>
                <w:lang w:val="en-AU"/>
              </w:rPr>
              <w:t xml:space="preserve"> </w:t>
            </w:r>
            <w:r w:rsidRPr="00C6052E">
              <w:rPr>
                <w:lang w:val="en-AU"/>
              </w:rPr>
              <w:t>economy</w:t>
            </w:r>
          </w:p>
        </w:tc>
        <w:tc>
          <w:tcPr>
            <w:tcW w:w="2330" w:type="pct"/>
            <w:hideMark/>
          </w:tcPr>
          <w:p w14:paraId="4E86E6F9" w14:textId="0085DA8B" w:rsidR="00EE5BB8" w:rsidRPr="00C6052E" w:rsidRDefault="00EE5BB8" w:rsidP="0063097D">
            <w:pPr>
              <w:pStyle w:val="TableBullet"/>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training</w:t>
            </w:r>
          </w:p>
          <w:p w14:paraId="2857BFA4" w14:textId="583F45CB" w:rsidR="00EE5BB8" w:rsidRPr="00C6052E" w:rsidRDefault="00EE5BB8" w:rsidP="0063097D">
            <w:pPr>
              <w:pStyle w:val="TableBullet"/>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improved</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status</w:t>
            </w:r>
            <w:r w:rsidR="00177848" w:rsidRPr="00C6052E">
              <w:rPr>
                <w:lang w:val="en-AU"/>
              </w:rPr>
              <w:t xml:space="preserve"> </w:t>
            </w:r>
            <w:r w:rsidRPr="00C6052E">
              <w:rPr>
                <w:lang w:val="en-AU"/>
              </w:rPr>
              <w:t>after</w:t>
            </w:r>
            <w:r w:rsidR="00177848" w:rsidRPr="00C6052E">
              <w:rPr>
                <w:lang w:val="en-AU"/>
              </w:rPr>
              <w:t xml:space="preserve"> </w:t>
            </w:r>
            <w:r w:rsidRPr="00C6052E">
              <w:rPr>
                <w:lang w:val="en-AU"/>
              </w:rPr>
              <w:t>training</w:t>
            </w:r>
          </w:p>
          <w:p w14:paraId="495FC09B" w14:textId="0C6247EE" w:rsidR="00EE5BB8" w:rsidRPr="00C6052E" w:rsidRDefault="00EE5BB8" w:rsidP="0063097D">
            <w:pPr>
              <w:pStyle w:val="TableBullet"/>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who</w:t>
            </w:r>
            <w:r w:rsidR="00177848" w:rsidRPr="00C6052E">
              <w:rPr>
                <w:lang w:val="en-AU"/>
              </w:rPr>
              <w:t xml:space="preserve"> </w:t>
            </w:r>
            <w:r w:rsidRPr="00C6052E">
              <w:rPr>
                <w:lang w:val="en-AU"/>
              </w:rPr>
              <w:t>achieved</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main</w:t>
            </w:r>
            <w:r w:rsidR="00177848" w:rsidRPr="00C6052E">
              <w:rPr>
                <w:lang w:val="en-AU"/>
              </w:rPr>
              <w:t xml:space="preserve"> </w:t>
            </w:r>
            <w:r w:rsidRPr="00C6052E">
              <w:rPr>
                <w:lang w:val="en-AU"/>
              </w:rPr>
              <w:t>reason</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training</w:t>
            </w:r>
          </w:p>
        </w:tc>
        <w:tc>
          <w:tcPr>
            <w:tcW w:w="1369" w:type="pct"/>
            <w:hideMark/>
          </w:tcPr>
          <w:p w14:paraId="796CE5D4" w14:textId="3EBC25E1" w:rsidR="00EE5BB8" w:rsidRPr="00C6052E" w:rsidRDefault="00EE5BB8" w:rsidP="0063097D">
            <w:pPr>
              <w:pStyle w:val="TableBullet"/>
              <w:rPr>
                <w:lang w:val="en-AU"/>
              </w:rPr>
            </w:pPr>
            <w:r w:rsidRPr="00C6052E">
              <w:rPr>
                <w:lang w:val="en-AU"/>
              </w:rPr>
              <w:t>Training,</w:t>
            </w:r>
            <w:r w:rsidR="00177848" w:rsidRPr="00C6052E">
              <w:rPr>
                <w:lang w:val="en-AU"/>
              </w:rPr>
              <w:t xml:space="preserve"> </w:t>
            </w:r>
            <w:r w:rsidRPr="00C6052E">
              <w:rPr>
                <w:lang w:val="en-AU"/>
              </w:rPr>
              <w:t>Higher</w:t>
            </w:r>
            <w:r w:rsidR="00177848" w:rsidRPr="00C6052E">
              <w:rPr>
                <w:lang w:val="en-AU"/>
              </w:rPr>
              <w:t xml:space="preserve"> </w:t>
            </w:r>
            <w:r w:rsidRPr="00C6052E">
              <w:rPr>
                <w:lang w:val="en-AU"/>
              </w:rPr>
              <w:t>Education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Workforce</w:t>
            </w:r>
            <w:r w:rsidR="00177848" w:rsidRPr="00C6052E">
              <w:rPr>
                <w:lang w:val="en-AU"/>
              </w:rPr>
              <w:t xml:space="preserve"> </w:t>
            </w:r>
            <w:r w:rsidRPr="00C6052E">
              <w:rPr>
                <w:lang w:val="en-AU"/>
              </w:rPr>
              <w:t>Development</w:t>
            </w:r>
          </w:p>
        </w:tc>
      </w:tr>
    </w:tbl>
    <w:p w14:paraId="342ACB0F" w14:textId="77777777" w:rsidR="00EE5BB8" w:rsidRPr="00C6052E" w:rsidRDefault="00EE5BB8" w:rsidP="00EE5BB8"/>
    <w:p w14:paraId="68BCBFEF" w14:textId="6BD65DFB" w:rsidR="00EE5BB8" w:rsidRPr="00C6052E" w:rsidRDefault="00EE5BB8" w:rsidP="00EE5BB8">
      <w:pPr>
        <w:pStyle w:val="Heading3"/>
      </w:pPr>
      <w:r w:rsidRPr="00C6052E">
        <w:t>Objective</w:t>
      </w:r>
      <w:r w:rsidR="00177848" w:rsidRPr="00C6052E">
        <w:t xml:space="preserve"> </w:t>
      </w:r>
      <w:r w:rsidRPr="00C6052E">
        <w:t>1:</w:t>
      </w:r>
      <w:r w:rsidR="00177848" w:rsidRPr="00C6052E">
        <w:t xml:space="preserve"> </w:t>
      </w:r>
      <w:r w:rsidRPr="00C6052E">
        <w:t>Create</w:t>
      </w:r>
      <w:r w:rsidR="00177848" w:rsidRPr="00C6052E">
        <w:t xml:space="preserve"> </w:t>
      </w:r>
      <w:r w:rsidRPr="00C6052E">
        <w:t>and</w:t>
      </w:r>
      <w:r w:rsidR="00177848" w:rsidRPr="00C6052E">
        <w:t xml:space="preserve"> </w:t>
      </w:r>
      <w:r w:rsidRPr="00C6052E">
        <w:t>maintain</w:t>
      </w:r>
      <w:r w:rsidR="00177848" w:rsidRPr="00C6052E">
        <w:t xml:space="preserve"> </w:t>
      </w:r>
      <w:r w:rsidRPr="00C6052E">
        <w:t>jobs</w:t>
      </w:r>
    </w:p>
    <w:p w14:paraId="2C1C2A96" w14:textId="56C6CAFF"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secure</w:t>
      </w:r>
      <w:r w:rsidR="00177848" w:rsidRPr="00C6052E">
        <w:t xml:space="preserve"> </w:t>
      </w:r>
      <w:r w:rsidRPr="00C6052E">
        <w:t>a</w:t>
      </w:r>
      <w:r w:rsidR="00177848" w:rsidRPr="00C6052E">
        <w:t xml:space="preserve"> </w:t>
      </w:r>
      <w:r w:rsidRPr="00C6052E">
        <w:t>growing,</w:t>
      </w:r>
      <w:r w:rsidR="00177848" w:rsidRPr="00C6052E">
        <w:t xml:space="preserve"> </w:t>
      </w:r>
      <w:r w:rsidRPr="00C6052E">
        <w:t>sustainable</w:t>
      </w:r>
      <w:r w:rsidR="00177848" w:rsidRPr="00C6052E">
        <w:t xml:space="preserve"> </w:t>
      </w:r>
      <w:r w:rsidRPr="00C6052E">
        <w:t>and</w:t>
      </w:r>
      <w:r w:rsidR="00177848" w:rsidRPr="00C6052E">
        <w:t xml:space="preserve"> </w:t>
      </w:r>
      <w:r w:rsidRPr="00C6052E">
        <w:t>equitable</w:t>
      </w:r>
      <w:r w:rsidR="00177848" w:rsidRPr="00C6052E">
        <w:t xml:space="preserve"> </w:t>
      </w:r>
      <w:r w:rsidRPr="00C6052E">
        <w:t>jobs</w:t>
      </w:r>
      <w:r w:rsidR="00177848" w:rsidRPr="00C6052E">
        <w:t xml:space="preserve"> </w:t>
      </w:r>
      <w:r w:rsidRPr="00C6052E">
        <w:t>market</w:t>
      </w:r>
      <w:r w:rsidR="00177848" w:rsidRPr="00C6052E">
        <w:t xml:space="preserve"> </w:t>
      </w:r>
      <w:r w:rsidRPr="00C6052E">
        <w:t>for</w:t>
      </w:r>
      <w:r w:rsidR="00177848" w:rsidRPr="00C6052E">
        <w:t xml:space="preserve"> </w:t>
      </w:r>
      <w:r w:rsidRPr="00C6052E">
        <w:t>all</w:t>
      </w:r>
      <w:r w:rsidR="00177848" w:rsidRPr="00C6052E">
        <w:t xml:space="preserve"> </w:t>
      </w:r>
      <w:r w:rsidRPr="00C6052E">
        <w:t>Victorians</w:t>
      </w:r>
      <w:r w:rsidR="00177848" w:rsidRPr="00C6052E">
        <w:t xml:space="preserve"> </w:t>
      </w:r>
      <w:r w:rsidRPr="00C6052E">
        <w:t>by</w:t>
      </w:r>
      <w:r w:rsidR="00177848" w:rsidRPr="00C6052E">
        <w:t xml:space="preserve"> </w:t>
      </w:r>
      <w:r w:rsidRPr="00C6052E">
        <w:t>working</w:t>
      </w:r>
      <w:r w:rsidR="00177848" w:rsidRPr="00C6052E">
        <w:t xml:space="preserve"> </w:t>
      </w:r>
      <w:r w:rsidRPr="00C6052E">
        <w:t>with</w:t>
      </w:r>
      <w:r w:rsidR="00177848" w:rsidRPr="00C6052E">
        <w:t xml:space="preserve"> </w:t>
      </w:r>
      <w:r w:rsidRPr="00C6052E">
        <w:t>businesses</w:t>
      </w:r>
      <w:r w:rsidR="00177848" w:rsidRPr="00C6052E">
        <w:t xml:space="preserve"> </w:t>
      </w:r>
      <w:r w:rsidRPr="00C6052E">
        <w:t>to</w:t>
      </w:r>
      <w:r w:rsidR="00177848" w:rsidRPr="00C6052E">
        <w:t xml:space="preserve"> </w:t>
      </w:r>
      <w:r w:rsidRPr="00C6052E">
        <w:t>increase</w:t>
      </w:r>
      <w:r w:rsidR="00177848" w:rsidRPr="00C6052E">
        <w:t xml:space="preserve"> </w:t>
      </w:r>
      <w:r w:rsidRPr="00C6052E">
        <w:t>job</w:t>
      </w:r>
      <w:r w:rsidR="00177848" w:rsidRPr="00C6052E">
        <w:t xml:space="preserve"> </w:t>
      </w:r>
      <w:r w:rsidRPr="00C6052E">
        <w:t>opportunities,</w:t>
      </w:r>
      <w:r w:rsidR="00177848" w:rsidRPr="00C6052E">
        <w:t xml:space="preserve"> </w:t>
      </w:r>
      <w:r w:rsidRPr="00C6052E">
        <w:t>support</w:t>
      </w:r>
      <w:r w:rsidR="00177848" w:rsidRPr="00C6052E">
        <w:t xml:space="preserve"> </w:t>
      </w:r>
      <w:r w:rsidRPr="00C6052E">
        <w:t>people</w:t>
      </w:r>
      <w:r w:rsidR="00177848" w:rsidRPr="00C6052E">
        <w:t xml:space="preserve"> </w:t>
      </w:r>
      <w:r w:rsidRPr="00C6052E">
        <w:t>into</w:t>
      </w:r>
      <w:r w:rsidR="00177848" w:rsidRPr="00C6052E">
        <w:t xml:space="preserve"> </w:t>
      </w:r>
      <w:r w:rsidRPr="00C6052E">
        <w:t>meaningful</w:t>
      </w:r>
      <w:r w:rsidR="00177848" w:rsidRPr="00C6052E">
        <w:t xml:space="preserve"> </w:t>
      </w:r>
      <w:r w:rsidRPr="00C6052E">
        <w:t>and</w:t>
      </w:r>
      <w:r w:rsidR="00177848" w:rsidRPr="00C6052E">
        <w:t xml:space="preserve"> </w:t>
      </w:r>
      <w:r w:rsidRPr="00C6052E">
        <w:t>secure</w:t>
      </w:r>
      <w:r w:rsidR="00177848" w:rsidRPr="00C6052E">
        <w:t xml:space="preserve"> </w:t>
      </w:r>
      <w:r w:rsidRPr="00C6052E">
        <w:t>employment,</w:t>
      </w:r>
      <w:r w:rsidR="00177848" w:rsidRPr="00C6052E">
        <w:t xml:space="preserve"> </w:t>
      </w:r>
      <w:r w:rsidRPr="00C6052E">
        <w:t>and</w:t>
      </w:r>
      <w:r w:rsidR="00177848" w:rsidRPr="00C6052E">
        <w:t xml:space="preserve"> </w:t>
      </w:r>
      <w:r w:rsidRPr="00C6052E">
        <w:t>attract</w:t>
      </w:r>
      <w:r w:rsidR="00177848" w:rsidRPr="00C6052E">
        <w:t xml:space="preserve"> </w:t>
      </w:r>
      <w:r w:rsidRPr="00C6052E">
        <w:t>the</w:t>
      </w:r>
      <w:r w:rsidR="00177848" w:rsidRPr="00C6052E">
        <w:t xml:space="preserve"> </w:t>
      </w:r>
      <w:r w:rsidRPr="00C6052E">
        <w:t>investment</w:t>
      </w:r>
      <w:r w:rsidR="00177848" w:rsidRPr="00C6052E">
        <w:t xml:space="preserve"> </w:t>
      </w:r>
      <w:r w:rsidRPr="00C6052E">
        <w:t>and</w:t>
      </w:r>
      <w:r w:rsidR="00177848" w:rsidRPr="00C6052E">
        <w:t xml:space="preserve"> </w:t>
      </w:r>
      <w:r w:rsidRPr="00C6052E">
        <w:t>talent</w:t>
      </w:r>
      <w:r w:rsidR="00177848" w:rsidRPr="00C6052E">
        <w:t xml:space="preserve"> </w:t>
      </w:r>
      <w:r w:rsidRPr="00C6052E">
        <w:t>needed</w:t>
      </w:r>
      <w:r w:rsidR="00177848" w:rsidRPr="00C6052E">
        <w:t xml:space="preserve"> </w:t>
      </w:r>
      <w:r w:rsidRPr="00C6052E">
        <w:t>to</w:t>
      </w:r>
      <w:r w:rsidR="00177848" w:rsidRPr="00C6052E">
        <w:t xml:space="preserve"> </w:t>
      </w:r>
      <w:r w:rsidRPr="00C6052E">
        <w:t>foster</w:t>
      </w:r>
      <w:r w:rsidR="00177848" w:rsidRPr="00C6052E">
        <w:t xml:space="preserve"> </w:t>
      </w:r>
      <w:r w:rsidRPr="00C6052E">
        <w:t>job</w:t>
      </w:r>
      <w:r w:rsidR="00177848" w:rsidRPr="00C6052E">
        <w:t xml:space="preserve"> </w:t>
      </w:r>
      <w:r w:rsidRPr="00C6052E">
        <w:t>growth.</w:t>
      </w:r>
    </w:p>
    <w:p w14:paraId="4F9A9282" w14:textId="1E5DA0A8" w:rsidR="00EE5BB8" w:rsidRPr="00C6052E" w:rsidRDefault="00EE5BB8" w:rsidP="00EE5BB8">
      <w:pPr>
        <w:pStyle w:val="Heading4"/>
      </w:pPr>
      <w:r w:rsidRPr="00C6052E">
        <w:t>Progress</w:t>
      </w:r>
      <w:r w:rsidR="00177848" w:rsidRPr="00C6052E">
        <w:t xml:space="preserve"> </w:t>
      </w:r>
      <w:r w:rsidRPr="00C6052E">
        <w:t>towards</w:t>
      </w:r>
      <w:r w:rsidR="00177848" w:rsidRPr="00C6052E">
        <w:t xml:space="preserve"> </w:t>
      </w:r>
      <w:r w:rsidRPr="00C6052E">
        <w:t>achieving</w:t>
      </w:r>
      <w:r w:rsidR="00177848" w:rsidRPr="00C6052E">
        <w:t xml:space="preserve"> </w:t>
      </w:r>
      <w:r w:rsidRPr="00C6052E">
        <w:t>this</w:t>
      </w:r>
      <w:r w:rsidR="00177848" w:rsidRPr="00C6052E">
        <w:t xml:space="preserve"> </w:t>
      </w:r>
      <w:r w:rsidRPr="00C6052E">
        <w:t>objective</w:t>
      </w:r>
    </w:p>
    <w:p w14:paraId="77F37325" w14:textId="3753EADC" w:rsidR="00EE5BB8" w:rsidRPr="00C6052E" w:rsidRDefault="00EE5BB8" w:rsidP="0028635E">
      <w:pPr>
        <w:pStyle w:val="Normalbeforebullets"/>
      </w:pPr>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reported</w:t>
      </w:r>
      <w:r w:rsidR="00177848" w:rsidRPr="00C6052E">
        <w:t xml:space="preserve"> </w:t>
      </w:r>
      <w:r w:rsidRPr="00C6052E">
        <w:t>progress</w:t>
      </w:r>
      <w:r w:rsidR="00177848" w:rsidRPr="00C6052E">
        <w:t xml:space="preserve"> </w:t>
      </w:r>
      <w:r w:rsidRPr="00C6052E">
        <w:t>against</w:t>
      </w:r>
      <w:r w:rsidR="00177848" w:rsidRPr="00C6052E">
        <w:t xml:space="preserve"> </w:t>
      </w:r>
      <w:r w:rsidRPr="00C6052E">
        <w:t>this</w:t>
      </w:r>
      <w:r w:rsidR="00177848" w:rsidRPr="00C6052E">
        <w:t xml:space="preserve"> </w:t>
      </w:r>
      <w:r w:rsidRPr="00C6052E">
        <w:t>objective</w:t>
      </w:r>
      <w:r w:rsidR="00177848" w:rsidRPr="00C6052E">
        <w:t xml:space="preserve"> </w:t>
      </w:r>
      <w:r w:rsidRPr="00C6052E">
        <w:t>using</w:t>
      </w:r>
      <w:r w:rsidR="00177848" w:rsidRPr="00C6052E">
        <w:t xml:space="preserve"> </w:t>
      </w:r>
      <w:r w:rsidRPr="00C6052E">
        <w:t>the</w:t>
      </w:r>
      <w:r w:rsidR="00177848" w:rsidRPr="00C6052E">
        <w:t xml:space="preserve"> </w:t>
      </w:r>
      <w:r w:rsidRPr="00C6052E">
        <w:t>following</w:t>
      </w:r>
      <w:r w:rsidR="00177848" w:rsidRPr="00C6052E">
        <w:t xml:space="preserve"> </w:t>
      </w:r>
      <w:r w:rsidRPr="00C6052E">
        <w:t>objective</w:t>
      </w:r>
      <w:r w:rsidR="00177848" w:rsidRPr="00C6052E">
        <w:t xml:space="preserve"> </w:t>
      </w:r>
      <w:r w:rsidRPr="00C6052E">
        <w:t>indicators</w:t>
      </w:r>
      <w:r w:rsidR="00177848" w:rsidRPr="00C6052E">
        <w:t xml:space="preserve"> </w:t>
      </w:r>
      <w:r w:rsidRPr="00C6052E">
        <w:t>and</w:t>
      </w:r>
      <w:r w:rsidR="00177848" w:rsidRPr="00C6052E">
        <w:t xml:space="preserve"> </w:t>
      </w:r>
      <w:r w:rsidRPr="00C6052E">
        <w:t>outputs:</w:t>
      </w:r>
    </w:p>
    <w:p w14:paraId="51953E30" w14:textId="40B665D1" w:rsidR="00EE5BB8" w:rsidRPr="00C6052E" w:rsidRDefault="00EE5BB8" w:rsidP="00EE5BB8">
      <w:pPr>
        <w:pStyle w:val="Heading5"/>
        <w:numPr>
          <w:ilvl w:val="0"/>
          <w:numId w:val="0"/>
        </w:numPr>
      </w:pPr>
      <w:r w:rsidRPr="00C6052E">
        <w:t>Objective</w:t>
      </w:r>
      <w:r w:rsidR="00177848" w:rsidRPr="00C6052E">
        <w:t xml:space="preserve"> </w:t>
      </w:r>
      <w:r w:rsidRPr="00C6052E">
        <w:t>Indicators</w:t>
      </w:r>
    </w:p>
    <w:p w14:paraId="657F9911" w14:textId="3F898C59" w:rsidR="00EE5BB8" w:rsidRPr="00C6052E" w:rsidRDefault="00EE5BB8" w:rsidP="00EE5BB8">
      <w:pPr>
        <w:pStyle w:val="Bullet1"/>
        <w:numPr>
          <w:ilvl w:val="0"/>
          <w:numId w:val="1"/>
        </w:numPr>
        <w:spacing w:line="278" w:lineRule="auto"/>
        <w:ind w:left="284" w:hanging="284"/>
        <w:rPr>
          <w:lang w:val="en-AU"/>
        </w:rPr>
      </w:pPr>
      <w:r w:rsidRPr="00C6052E">
        <w:rPr>
          <w:lang w:val="en-AU"/>
        </w:rPr>
        <w:t>People</w:t>
      </w:r>
      <w:r w:rsidR="00177848" w:rsidRPr="00C6052E">
        <w:rPr>
          <w:lang w:val="en-AU"/>
        </w:rPr>
        <w:t xml:space="preserve"> </w:t>
      </w:r>
      <w:r w:rsidRPr="00C6052E">
        <w:rPr>
          <w:lang w:val="en-AU"/>
        </w:rPr>
        <w:t>employed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w:t>
      </w:r>
    </w:p>
    <w:p w14:paraId="6B201503" w14:textId="77777777" w:rsidR="00EE5BB8" w:rsidRPr="00C6052E" w:rsidRDefault="00EE5BB8" w:rsidP="00EE5BB8">
      <w:pPr>
        <w:pStyle w:val="Heading5"/>
        <w:numPr>
          <w:ilvl w:val="0"/>
          <w:numId w:val="0"/>
        </w:numPr>
      </w:pPr>
      <w:r w:rsidRPr="00C6052E">
        <w:t>Outputs</w:t>
      </w:r>
    </w:p>
    <w:p w14:paraId="48D30D40" w14:textId="77777777" w:rsidR="00EE5BB8" w:rsidRPr="00C6052E" w:rsidRDefault="00EE5BB8" w:rsidP="00EE5BB8">
      <w:pPr>
        <w:pStyle w:val="Bullet1"/>
        <w:numPr>
          <w:ilvl w:val="0"/>
          <w:numId w:val="1"/>
        </w:numPr>
        <w:spacing w:line="278" w:lineRule="auto"/>
        <w:ind w:left="284" w:hanging="284"/>
        <w:rPr>
          <w:lang w:val="en-AU"/>
        </w:rPr>
      </w:pPr>
      <w:r w:rsidRPr="00C6052E">
        <w:rPr>
          <w:lang w:val="en-AU"/>
        </w:rPr>
        <w:t>Jobs</w:t>
      </w:r>
    </w:p>
    <w:p w14:paraId="63B01F26" w14:textId="07027B7B" w:rsidR="00EE5BB8" w:rsidRPr="00C6052E" w:rsidRDefault="00EE5BB8" w:rsidP="00EE5BB8">
      <w:pPr>
        <w:pStyle w:val="Heading3"/>
      </w:pPr>
      <w:r w:rsidRPr="00C6052E">
        <w:t>Indicator:</w:t>
      </w:r>
      <w:r w:rsidR="00177848" w:rsidRPr="00C6052E">
        <w:t xml:space="preserve"> </w:t>
      </w:r>
      <w:r w:rsidRPr="00C6052E">
        <w:t>People</w:t>
      </w:r>
      <w:r w:rsidR="00177848" w:rsidRPr="00C6052E">
        <w:t xml:space="preserve"> </w:t>
      </w:r>
      <w:r w:rsidRPr="00C6052E">
        <w:t>employed</w:t>
      </w:r>
      <w:r w:rsidR="00177848" w:rsidRPr="00C6052E">
        <w:t xml:space="preserve"> </w:t>
      </w:r>
      <w:r w:rsidRPr="00C6052E">
        <w:t>in</w:t>
      </w:r>
      <w:r w:rsidR="00177848" w:rsidRPr="00C6052E">
        <w:t xml:space="preserve"> </w:t>
      </w:r>
      <w:r w:rsidRPr="00C6052E">
        <w:t>Victoria</w:t>
      </w:r>
    </w:p>
    <w:p w14:paraId="76A7D8E8" w14:textId="0581E6A7" w:rsidR="00EE5BB8" w:rsidRPr="00C6052E" w:rsidRDefault="00EE5BB8" w:rsidP="00EE5BB8">
      <w:pPr>
        <w:pStyle w:val="TableHeading"/>
      </w:pPr>
      <w:r w:rsidRPr="00C6052E">
        <w:t>Table</w:t>
      </w:r>
      <w:r w:rsidR="00177848" w:rsidRPr="00C6052E">
        <w:t xml:space="preserve"> </w:t>
      </w:r>
      <w:r w:rsidRPr="00C6052E">
        <w:t>1:</w:t>
      </w:r>
      <w:r w:rsidR="00177848" w:rsidRPr="00C6052E">
        <w:t xml:space="preserve"> </w:t>
      </w:r>
      <w:r w:rsidRPr="00C6052E">
        <w:t>People</w:t>
      </w:r>
      <w:r w:rsidR="00177848" w:rsidRPr="00C6052E">
        <w:t xml:space="preserve"> </w:t>
      </w:r>
      <w:r w:rsidRPr="00C6052E">
        <w:t>employed</w:t>
      </w:r>
      <w:r w:rsidR="00177848" w:rsidRPr="00C6052E">
        <w:t xml:space="preserve"> </w:t>
      </w:r>
      <w:r w:rsidRPr="00C6052E">
        <w:t>in</w:t>
      </w:r>
      <w:r w:rsidR="00177848" w:rsidRPr="00C6052E">
        <w:t xml:space="preserve"> </w:t>
      </w:r>
      <w:r w:rsidRPr="00C6052E">
        <w:t>Victoria</w:t>
      </w:r>
    </w:p>
    <w:tbl>
      <w:tblPr>
        <w:tblStyle w:val="TableGrid"/>
        <w:tblW w:w="9634" w:type="dxa"/>
        <w:tblLayout w:type="fixed"/>
        <w:tblLook w:val="0060" w:firstRow="1" w:lastRow="1" w:firstColumn="0" w:lastColumn="0" w:noHBand="0" w:noVBand="0"/>
      </w:tblPr>
      <w:tblGrid>
        <w:gridCol w:w="4673"/>
        <w:gridCol w:w="1240"/>
        <w:gridCol w:w="1240"/>
        <w:gridCol w:w="1240"/>
        <w:gridCol w:w="1241"/>
      </w:tblGrid>
      <w:tr w:rsidR="00EE5BB8" w:rsidRPr="00C6052E" w14:paraId="5690F2E3" w14:textId="77777777" w:rsidTr="0063097D">
        <w:tc>
          <w:tcPr>
            <w:tcW w:w="4673" w:type="dxa"/>
          </w:tcPr>
          <w:p w14:paraId="20392FE6" w14:textId="08B4B122" w:rsidR="00EE5BB8" w:rsidRPr="00C6052E" w:rsidRDefault="00EE5BB8" w:rsidP="0063097D">
            <w:pPr>
              <w:pStyle w:val="TableColumnHeading"/>
              <w:rPr>
                <w:lang w:val="en-AU"/>
              </w:rPr>
            </w:pPr>
            <w:bookmarkStart w:id="7" w:name="TableColumnHeadings_7"/>
            <w:bookmarkEnd w:id="7"/>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40" w:type="dxa"/>
          </w:tcPr>
          <w:p w14:paraId="4CEF4885" w14:textId="77777777" w:rsidR="00EE5BB8" w:rsidRPr="00C6052E" w:rsidRDefault="00EE5BB8" w:rsidP="0063097D">
            <w:pPr>
              <w:pStyle w:val="TableColumnHeading"/>
              <w:jc w:val="right"/>
              <w:rPr>
                <w:lang w:val="en-AU"/>
              </w:rPr>
            </w:pPr>
            <w:r w:rsidRPr="00C6052E">
              <w:rPr>
                <w:lang w:val="en-AU"/>
              </w:rPr>
              <w:t>2021–22</w:t>
            </w:r>
          </w:p>
        </w:tc>
        <w:tc>
          <w:tcPr>
            <w:tcW w:w="1240" w:type="dxa"/>
          </w:tcPr>
          <w:p w14:paraId="12BDF87A" w14:textId="77777777" w:rsidR="00EE5BB8" w:rsidRPr="00C6052E" w:rsidRDefault="00EE5BB8" w:rsidP="0063097D">
            <w:pPr>
              <w:pStyle w:val="TableColumnHeading"/>
              <w:jc w:val="right"/>
              <w:rPr>
                <w:lang w:val="en-AU"/>
              </w:rPr>
            </w:pPr>
            <w:r w:rsidRPr="00C6052E">
              <w:rPr>
                <w:lang w:val="en-AU"/>
              </w:rPr>
              <w:t>2022–23</w:t>
            </w:r>
          </w:p>
        </w:tc>
        <w:tc>
          <w:tcPr>
            <w:tcW w:w="1240" w:type="dxa"/>
          </w:tcPr>
          <w:p w14:paraId="1CF211DA" w14:textId="77777777" w:rsidR="00EE5BB8" w:rsidRPr="00C6052E" w:rsidRDefault="00EE5BB8" w:rsidP="0063097D">
            <w:pPr>
              <w:pStyle w:val="TableColumnHeading"/>
              <w:jc w:val="right"/>
              <w:rPr>
                <w:lang w:val="en-AU"/>
              </w:rPr>
            </w:pPr>
            <w:r w:rsidRPr="00C6052E">
              <w:rPr>
                <w:lang w:val="en-AU"/>
              </w:rPr>
              <w:t>2023–24</w:t>
            </w:r>
          </w:p>
        </w:tc>
        <w:tc>
          <w:tcPr>
            <w:tcW w:w="1241" w:type="dxa"/>
          </w:tcPr>
          <w:p w14:paraId="0DA38E26"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7F7A00F9" w14:textId="77777777" w:rsidTr="0063097D">
        <w:tc>
          <w:tcPr>
            <w:tcW w:w="4673" w:type="dxa"/>
          </w:tcPr>
          <w:p w14:paraId="11C2D951" w14:textId="09802896" w:rsidR="00EE5BB8" w:rsidRPr="00C6052E"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people</w:t>
            </w:r>
            <w:r w:rsidR="00177848" w:rsidRPr="00C6052E">
              <w:rPr>
                <w:lang w:val="en-AU"/>
              </w:rPr>
              <w:t xml:space="preserve"> </w:t>
            </w:r>
            <w:r w:rsidRPr="00C6052E">
              <w:rPr>
                <w:lang w:val="en-AU"/>
              </w:rPr>
              <w:t>employed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(number)</w:t>
            </w:r>
          </w:p>
        </w:tc>
        <w:tc>
          <w:tcPr>
            <w:tcW w:w="1240" w:type="dxa"/>
          </w:tcPr>
          <w:p w14:paraId="7B17ACA6" w14:textId="77777777" w:rsidR="00EE5BB8" w:rsidRPr="00C6052E" w:rsidRDefault="00EE5BB8" w:rsidP="0063097D">
            <w:pPr>
              <w:pStyle w:val="TableCopy"/>
              <w:jc w:val="right"/>
              <w:rPr>
                <w:lang w:val="en-AU"/>
              </w:rPr>
            </w:pPr>
            <w:r w:rsidRPr="00C6052E">
              <w:rPr>
                <w:lang w:val="en-AU"/>
              </w:rPr>
              <w:t>3,407,200</w:t>
            </w:r>
          </w:p>
        </w:tc>
        <w:tc>
          <w:tcPr>
            <w:tcW w:w="1240" w:type="dxa"/>
          </w:tcPr>
          <w:p w14:paraId="56474D4C" w14:textId="77777777" w:rsidR="00EE5BB8" w:rsidRPr="00C6052E" w:rsidRDefault="00EE5BB8" w:rsidP="0063097D">
            <w:pPr>
              <w:pStyle w:val="TableCopy"/>
              <w:jc w:val="right"/>
              <w:rPr>
                <w:lang w:val="en-AU"/>
              </w:rPr>
            </w:pPr>
            <w:r w:rsidRPr="00C6052E">
              <w:rPr>
                <w:lang w:val="en-AU"/>
              </w:rPr>
              <w:t>3,458,200</w:t>
            </w:r>
          </w:p>
        </w:tc>
        <w:tc>
          <w:tcPr>
            <w:tcW w:w="1240" w:type="dxa"/>
          </w:tcPr>
          <w:p w14:paraId="086D3328" w14:textId="77777777" w:rsidR="00EE5BB8" w:rsidRPr="00C6052E" w:rsidRDefault="00EE5BB8" w:rsidP="0063097D">
            <w:pPr>
              <w:pStyle w:val="TableCopy"/>
              <w:jc w:val="right"/>
              <w:rPr>
                <w:lang w:val="en-AU"/>
              </w:rPr>
            </w:pPr>
            <w:r w:rsidRPr="00C6052E">
              <w:rPr>
                <w:lang w:val="en-AU"/>
              </w:rPr>
              <w:t>3,665,900</w:t>
            </w:r>
          </w:p>
        </w:tc>
        <w:tc>
          <w:tcPr>
            <w:tcW w:w="1241" w:type="dxa"/>
          </w:tcPr>
          <w:p w14:paraId="60503123" w14:textId="77777777" w:rsidR="00EE5BB8" w:rsidRPr="00C6052E" w:rsidRDefault="00EE5BB8" w:rsidP="0063097D">
            <w:pPr>
              <w:pStyle w:val="TableCopy"/>
              <w:jc w:val="right"/>
              <w:rPr>
                <w:lang w:val="en-AU"/>
              </w:rPr>
            </w:pPr>
            <w:r w:rsidRPr="00C6052E">
              <w:rPr>
                <w:lang w:val="en-AU"/>
              </w:rPr>
              <w:t>3,760,600</w:t>
            </w:r>
          </w:p>
        </w:tc>
      </w:tr>
    </w:tbl>
    <w:p w14:paraId="06845AEE" w14:textId="5F194A7F" w:rsidR="00EE5BB8" w:rsidRPr="00C6052E" w:rsidRDefault="00EE5BB8" w:rsidP="00EE5BB8">
      <w:pPr>
        <w:pStyle w:val="Tablenotes"/>
        <w:spacing w:after="240"/>
        <w:ind w:left="0" w:firstLine="0"/>
      </w:pPr>
      <w:r w:rsidRPr="00C6052E">
        <w:t>*</w:t>
      </w:r>
      <w:r w:rsidR="00177848" w:rsidRPr="00C6052E">
        <w:t xml:space="preserve"> </w:t>
      </w:r>
      <w:r w:rsidRPr="00C6052E">
        <w:t>Source:</w:t>
      </w:r>
      <w:r w:rsidR="00177848" w:rsidRPr="00C6052E">
        <w:t xml:space="preserve"> </w:t>
      </w:r>
      <w:r w:rsidRPr="00C6052E">
        <w:t>FY</w:t>
      </w:r>
      <w:r w:rsidR="00177848" w:rsidRPr="00C6052E">
        <w:t xml:space="preserve"> </w:t>
      </w:r>
      <w:r w:rsidRPr="00C6052E">
        <w:t>12-month</w:t>
      </w:r>
      <w:r w:rsidR="00177848" w:rsidRPr="00C6052E">
        <w:t xml:space="preserve"> </w:t>
      </w:r>
      <w:r w:rsidRPr="00C6052E">
        <w:t>average</w:t>
      </w:r>
      <w:r w:rsidR="00177848" w:rsidRPr="00C6052E">
        <w:t xml:space="preserve"> </w:t>
      </w:r>
      <w:r w:rsidRPr="00C6052E">
        <w:t>–</w:t>
      </w:r>
      <w:r w:rsidR="00177848" w:rsidRPr="00C6052E">
        <w:t xml:space="preserve"> </w:t>
      </w:r>
      <w:r w:rsidRPr="00C6052E">
        <w:t>ABS</w:t>
      </w:r>
      <w:r w:rsidR="00177848" w:rsidRPr="00C6052E">
        <w:t xml:space="preserve"> </w:t>
      </w:r>
      <w:r w:rsidRPr="00C6052E">
        <w:t>6202</w:t>
      </w:r>
      <w:r w:rsidR="00177848" w:rsidRPr="00C6052E">
        <w:t xml:space="preserve"> </w:t>
      </w:r>
      <w:r w:rsidRPr="00C6052E">
        <w:t>Victoria</w:t>
      </w:r>
      <w:r w:rsidR="00177848" w:rsidRPr="00C6052E">
        <w:t xml:space="preserve"> </w:t>
      </w:r>
      <w:r w:rsidRPr="00C6052E">
        <w:t>Employed</w:t>
      </w:r>
      <w:r w:rsidR="00177848" w:rsidRPr="00C6052E">
        <w:t xml:space="preserve"> </w:t>
      </w:r>
      <w:r w:rsidRPr="00C6052E">
        <w:t>Total</w:t>
      </w:r>
      <w:r w:rsidR="00177848" w:rsidRPr="00C6052E">
        <w:t xml:space="preserve"> </w:t>
      </w:r>
      <w:r w:rsidRPr="00C6052E">
        <w:t>Persons</w:t>
      </w:r>
      <w:r w:rsidR="00177848" w:rsidRPr="00C6052E">
        <w:t xml:space="preserve"> </w:t>
      </w:r>
      <w:r w:rsidRPr="00C6052E">
        <w:t>(Seasonally</w:t>
      </w:r>
      <w:r w:rsidR="00177848" w:rsidRPr="00C6052E">
        <w:t xml:space="preserve"> </w:t>
      </w:r>
      <w:r w:rsidRPr="00C6052E">
        <w:t>adjusted),</w:t>
      </w:r>
      <w:r w:rsidR="00177848" w:rsidRPr="00C6052E">
        <w:t xml:space="preserve"> </w:t>
      </w:r>
      <w:r w:rsidRPr="00C6052E">
        <w:t>July</w:t>
      </w:r>
      <w:r w:rsidR="00177848" w:rsidRPr="00C6052E">
        <w:t xml:space="preserve"> </w:t>
      </w:r>
      <w:r w:rsidRPr="00C6052E">
        <w:t>2025</w:t>
      </w:r>
      <w:r w:rsidR="00177848" w:rsidRPr="00C6052E">
        <w:t xml:space="preserve"> </w:t>
      </w:r>
      <w:r w:rsidRPr="00C6052E">
        <w:t>release.</w:t>
      </w:r>
      <w:r w:rsidR="00177848" w:rsidRPr="00C6052E">
        <w:t xml:space="preserve"> </w:t>
      </w:r>
      <w:r w:rsidRPr="00C6052E">
        <w:t>Note:</w:t>
      </w:r>
      <w:r w:rsidR="00177848" w:rsidRPr="00C6052E">
        <w:t xml:space="preserve"> </w:t>
      </w:r>
      <w:r w:rsidRPr="00C6052E">
        <w:t>historical</w:t>
      </w:r>
      <w:r w:rsidR="00177848" w:rsidRPr="00C6052E">
        <w:t xml:space="preserve"> </w:t>
      </w:r>
      <w:r w:rsidRPr="00C6052E">
        <w:t>figures</w:t>
      </w:r>
      <w:r w:rsidR="00177848" w:rsidRPr="00C6052E">
        <w:t xml:space="preserve"> </w:t>
      </w:r>
      <w:r w:rsidRPr="00C6052E">
        <w:t>are</w:t>
      </w:r>
      <w:r w:rsidR="00177848" w:rsidRPr="00C6052E">
        <w:t xml:space="preserve"> </w:t>
      </w:r>
      <w:r w:rsidRPr="00C6052E">
        <w:t>updated</w:t>
      </w:r>
      <w:r w:rsidR="00177848" w:rsidRPr="00C6052E">
        <w:t xml:space="preserve"> </w:t>
      </w:r>
      <w:r w:rsidRPr="00C6052E">
        <w:t>to</w:t>
      </w:r>
      <w:r w:rsidR="00177848" w:rsidRPr="00C6052E">
        <w:t xml:space="preserve"> </w:t>
      </w:r>
      <w:r w:rsidRPr="00C6052E">
        <w:t>align</w:t>
      </w:r>
      <w:r w:rsidR="00177848" w:rsidRPr="00C6052E">
        <w:t xml:space="preserve"> </w:t>
      </w:r>
      <w:r w:rsidRPr="00C6052E">
        <w:t>with</w:t>
      </w:r>
      <w:r w:rsidR="00177848" w:rsidRPr="00C6052E">
        <w:t xml:space="preserve"> </w:t>
      </w:r>
      <w:r w:rsidRPr="00C6052E">
        <w:t>revisions</w:t>
      </w:r>
      <w:r w:rsidR="00177848" w:rsidRPr="00C6052E">
        <w:t xml:space="preserve"> </w:t>
      </w:r>
      <w:r w:rsidRPr="00C6052E">
        <w:t>published</w:t>
      </w:r>
      <w:r w:rsidR="00177848" w:rsidRPr="00C6052E">
        <w:t xml:space="preserve"> </w:t>
      </w:r>
      <w:r w:rsidRPr="00C6052E">
        <w:t>by</w:t>
      </w:r>
      <w:r w:rsidR="00177848" w:rsidRPr="00C6052E">
        <w:t xml:space="preserve"> </w:t>
      </w:r>
      <w:r w:rsidRPr="00C6052E">
        <w:t>the</w:t>
      </w:r>
      <w:r w:rsidR="00177848" w:rsidRPr="00C6052E">
        <w:t xml:space="preserve"> </w:t>
      </w:r>
      <w:r w:rsidRPr="00C6052E">
        <w:t>ABS.</w:t>
      </w:r>
    </w:p>
    <w:p w14:paraId="1EA1035A" w14:textId="04D35842" w:rsidR="00EE5BB8" w:rsidRPr="00C6052E" w:rsidRDefault="00EE5BB8" w:rsidP="00EE5BB8">
      <w:pPr>
        <w:pStyle w:val="TableColumnHeading"/>
        <w:rPr>
          <w:lang w:val="en-AU"/>
        </w:rPr>
      </w:pPr>
      <w:r w:rsidRPr="00C6052E">
        <w:rPr>
          <w:lang w:val="en-AU"/>
        </w:rPr>
        <w:lastRenderedPageBreak/>
        <w:t>Figure</w:t>
      </w:r>
      <w:r w:rsidR="00177848" w:rsidRPr="00C6052E">
        <w:rPr>
          <w:lang w:val="en-AU"/>
        </w:rPr>
        <w:t xml:space="preserve"> </w:t>
      </w:r>
      <w:r w:rsidRPr="00C6052E">
        <w:rPr>
          <w:lang w:val="en-AU"/>
        </w:rPr>
        <w:t>1:</w:t>
      </w:r>
      <w:r w:rsidR="00177848" w:rsidRPr="00C6052E">
        <w:rPr>
          <w:lang w:val="en-AU"/>
        </w:rPr>
        <w:t xml:space="preserve"> </w:t>
      </w: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people</w:t>
      </w:r>
      <w:r w:rsidR="00177848" w:rsidRPr="00C6052E">
        <w:rPr>
          <w:lang w:val="en-AU"/>
        </w:rPr>
        <w:t xml:space="preserve"> </w:t>
      </w:r>
      <w:r w:rsidRPr="00C6052E">
        <w:rPr>
          <w:lang w:val="en-AU"/>
        </w:rPr>
        <w:t>employed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w:t>
      </w:r>
    </w:p>
    <w:p w14:paraId="220A5197" w14:textId="77777777" w:rsidR="00EE5BB8" w:rsidRPr="00C6052E" w:rsidRDefault="00EE5BB8" w:rsidP="00EE5BB8">
      <w:pPr>
        <w:pStyle w:val="Graph"/>
        <w:rPr>
          <w:noProof w:val="0"/>
        </w:rPr>
      </w:pPr>
      <w:r w:rsidRPr="00C6052E">
        <w:rPr>
          <w:rStyle w:val="Medium"/>
        </w:rPr>
        <w:drawing>
          <wp:inline distT="0" distB="0" distL="0" distR="0" wp14:anchorId="61A49667" wp14:editId="30196D81">
            <wp:extent cx="4053600" cy="2703600"/>
            <wp:effectExtent l="0" t="0" r="4445" b="0"/>
            <wp:docPr id="581074595" name="Chart 1" descr="Line graph reflecting data in Table 1: People employed in Victoria (above).">
              <a:extLst xmlns:a="http://schemas.openxmlformats.org/drawingml/2006/main">
                <a:ext uri="{FF2B5EF4-FFF2-40B4-BE49-F238E27FC236}">
                  <a16:creationId xmlns:a16="http://schemas.microsoft.com/office/drawing/2014/main" id="{00000000-0008-0000-06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E8C2AF" w14:textId="7AD26CF9" w:rsidR="00EE5BB8" w:rsidRPr="00C6052E" w:rsidRDefault="00EE5BB8" w:rsidP="00EE5BB8">
      <w:r w:rsidRPr="00C6052E">
        <w:t>The</w:t>
      </w:r>
      <w:r w:rsidR="00177848" w:rsidRPr="00C6052E">
        <w:t xml:space="preserve"> </w:t>
      </w:r>
      <w:r w:rsidRPr="00C6052E">
        <w:t>labour</w:t>
      </w:r>
      <w:r w:rsidR="00177848" w:rsidRPr="00C6052E">
        <w:t xml:space="preserve"> </w:t>
      </w:r>
      <w:r w:rsidRPr="00C6052E">
        <w:t>market</w:t>
      </w:r>
      <w:r w:rsidR="00177848" w:rsidRPr="00C6052E">
        <w:t xml:space="preserve"> </w:t>
      </w:r>
      <w:r w:rsidRPr="00C6052E">
        <w:t>performed</w:t>
      </w:r>
      <w:r w:rsidR="00177848" w:rsidRPr="00C6052E">
        <w:t xml:space="preserve"> </w:t>
      </w:r>
      <w:r w:rsidRPr="00C6052E">
        <w:t>well</w:t>
      </w:r>
      <w:r w:rsidR="00177848" w:rsidRPr="00C6052E">
        <w:t xml:space="preserve"> </w:t>
      </w:r>
      <w:r w:rsidRPr="00C6052E">
        <w:t>in</w:t>
      </w:r>
      <w:r w:rsidR="00177848" w:rsidRPr="00C6052E">
        <w:t xml:space="preserve"> </w:t>
      </w:r>
      <w:r w:rsidRPr="00C6052E">
        <w:t>2024–25</w:t>
      </w:r>
      <w:r w:rsidR="00177848" w:rsidRPr="00C6052E">
        <w:t xml:space="preserve"> </w:t>
      </w:r>
      <w:r w:rsidRPr="00C6052E">
        <w:t>with</w:t>
      </w:r>
      <w:r w:rsidR="00177848" w:rsidRPr="00C6052E">
        <w:t xml:space="preserve"> </w:t>
      </w:r>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employed</w:t>
      </w:r>
      <w:r w:rsidR="00177848" w:rsidRPr="00C6052E">
        <w:t xml:space="preserve"> </w:t>
      </w:r>
      <w:r w:rsidRPr="00C6052E">
        <w:t>Victorians</w:t>
      </w:r>
      <w:r w:rsidR="00177848" w:rsidRPr="00C6052E">
        <w:t xml:space="preserve"> </w:t>
      </w:r>
      <w:r w:rsidRPr="00C6052E">
        <w:t>increasing</w:t>
      </w:r>
      <w:r w:rsidR="00177848" w:rsidRPr="00C6052E">
        <w:t xml:space="preserve"> </w:t>
      </w:r>
      <w:r w:rsidRPr="00C6052E">
        <w:t>by</w:t>
      </w:r>
      <w:r w:rsidR="00177848" w:rsidRPr="00C6052E">
        <w:t xml:space="preserve"> </w:t>
      </w:r>
      <w:r w:rsidRPr="00C6052E">
        <w:t>2.6%</w:t>
      </w:r>
      <w:r w:rsidR="00177848" w:rsidRPr="00C6052E">
        <w:t xml:space="preserve"> </w:t>
      </w:r>
      <w:r w:rsidRPr="00C6052E">
        <w:t>compared</w:t>
      </w:r>
      <w:r w:rsidR="00177848" w:rsidRPr="00C6052E">
        <w:t xml:space="preserve"> </w:t>
      </w:r>
      <w:r w:rsidRPr="00C6052E">
        <w:t>to</w:t>
      </w:r>
      <w:r w:rsidR="00177848" w:rsidRPr="00C6052E">
        <w:t xml:space="preserve"> </w:t>
      </w:r>
      <w:r w:rsidRPr="00C6052E">
        <w:t>the</w:t>
      </w:r>
      <w:r w:rsidR="00177848" w:rsidRPr="00C6052E">
        <w:t xml:space="preserve"> </w:t>
      </w:r>
      <w:r w:rsidRPr="00C6052E">
        <w:t>previous</w:t>
      </w:r>
      <w:r w:rsidR="00177848" w:rsidRPr="00C6052E">
        <w:t xml:space="preserve"> </w:t>
      </w:r>
      <w:r w:rsidRPr="00C6052E">
        <w:t>year.</w:t>
      </w:r>
      <w:r w:rsidR="00177848" w:rsidRPr="00C6052E">
        <w:t xml:space="preserve"> </w:t>
      </w:r>
      <w:r w:rsidRPr="00C6052E">
        <w:t>While</w:t>
      </w:r>
      <w:r w:rsidR="00177848" w:rsidRPr="00C6052E">
        <w:t xml:space="preserve"> </w:t>
      </w:r>
      <w:r w:rsidRPr="00C6052E">
        <w:t>the</w:t>
      </w:r>
      <w:r w:rsidR="00177848" w:rsidRPr="00C6052E">
        <w:t xml:space="preserve"> </w:t>
      </w:r>
      <w:r w:rsidRPr="00C6052E">
        <w:t>unemployment</w:t>
      </w:r>
      <w:r w:rsidR="00177848" w:rsidRPr="00C6052E">
        <w:t xml:space="preserve"> </w:t>
      </w:r>
      <w:r w:rsidRPr="00C6052E">
        <w:t>rate</w:t>
      </w:r>
      <w:r w:rsidR="00177848" w:rsidRPr="00C6052E">
        <w:t xml:space="preserve"> </w:t>
      </w:r>
      <w:r w:rsidRPr="00C6052E">
        <w:t>for</w:t>
      </w:r>
      <w:r w:rsidR="00177848" w:rsidRPr="00C6052E">
        <w:t xml:space="preserve"> </w:t>
      </w:r>
      <w:r w:rsidRPr="00C6052E">
        <w:t>the</w:t>
      </w:r>
      <w:r w:rsidR="00177848" w:rsidRPr="00C6052E">
        <w:t xml:space="preserve"> </w:t>
      </w:r>
      <w:r w:rsidRPr="00C6052E">
        <w:t>year</w:t>
      </w:r>
      <w:r w:rsidR="00177848" w:rsidRPr="00C6052E">
        <w:t xml:space="preserve"> </w:t>
      </w:r>
      <w:r w:rsidRPr="00C6052E">
        <w:t>was</w:t>
      </w:r>
      <w:r w:rsidR="00177848" w:rsidRPr="00C6052E">
        <w:t xml:space="preserve"> </w:t>
      </w:r>
      <w:r w:rsidRPr="00C6052E">
        <w:t>low</w:t>
      </w:r>
      <w:r w:rsidR="00177848" w:rsidRPr="00C6052E">
        <w:t xml:space="preserve"> </w:t>
      </w:r>
      <w:r w:rsidRPr="00C6052E">
        <w:t>in</w:t>
      </w:r>
      <w:r w:rsidR="00177848" w:rsidRPr="00C6052E">
        <w:t xml:space="preserve"> </w:t>
      </w:r>
      <w:r w:rsidRPr="00C6052E">
        <w:t>historical</w:t>
      </w:r>
      <w:r w:rsidR="00177848" w:rsidRPr="00C6052E">
        <w:t xml:space="preserve"> </w:t>
      </w:r>
      <w:r w:rsidRPr="00C6052E">
        <w:t>terms</w:t>
      </w:r>
      <w:r w:rsidR="00177848" w:rsidRPr="00C6052E">
        <w:t xml:space="preserve"> </w:t>
      </w:r>
      <w:r w:rsidRPr="00C6052E">
        <w:t>at</w:t>
      </w:r>
      <w:r w:rsidR="00177848" w:rsidRPr="00C6052E">
        <w:t xml:space="preserve"> </w:t>
      </w:r>
      <w:r w:rsidRPr="00C6052E">
        <w:t>4.4%,</w:t>
      </w:r>
      <w:r w:rsidR="00177848" w:rsidRPr="00C6052E">
        <w:t xml:space="preserve"> </w:t>
      </w:r>
      <w:r w:rsidRPr="00C6052E">
        <w:t>many</w:t>
      </w:r>
      <w:r w:rsidR="00177848" w:rsidRPr="00C6052E">
        <w:t xml:space="preserve"> </w:t>
      </w:r>
      <w:r w:rsidRPr="00C6052E">
        <w:t>Victorians</w:t>
      </w:r>
      <w:r w:rsidR="00177848" w:rsidRPr="00C6052E">
        <w:t xml:space="preserve"> </w:t>
      </w:r>
      <w:r w:rsidRPr="00C6052E">
        <w:t>continued</w:t>
      </w:r>
      <w:r w:rsidR="00177848" w:rsidRPr="00C6052E">
        <w:t xml:space="preserve"> </w:t>
      </w:r>
      <w:r w:rsidRPr="00C6052E">
        <w:t>to</w:t>
      </w:r>
      <w:r w:rsidR="00177848" w:rsidRPr="00C6052E">
        <w:t xml:space="preserve"> </w:t>
      </w:r>
      <w:r w:rsidRPr="00C6052E">
        <w:t>face</w:t>
      </w:r>
      <w:r w:rsidR="00177848" w:rsidRPr="00C6052E">
        <w:t xml:space="preserve"> </w:t>
      </w:r>
      <w:r w:rsidRPr="00C6052E">
        <w:t>barriers</w:t>
      </w:r>
      <w:r w:rsidR="00177848" w:rsidRPr="00C6052E">
        <w:t xml:space="preserve"> </w:t>
      </w:r>
      <w:r w:rsidRPr="00C6052E">
        <w:t>to</w:t>
      </w:r>
      <w:r w:rsidR="00177848" w:rsidRPr="00C6052E">
        <w:t xml:space="preserve"> </w:t>
      </w:r>
      <w:r w:rsidRPr="00C6052E">
        <w:t>employment.</w:t>
      </w:r>
      <w:r w:rsidR="00177848" w:rsidRPr="00C6052E">
        <w:t xml:space="preserve"> </w:t>
      </w:r>
    </w:p>
    <w:p w14:paraId="7C816938" w14:textId="4F1AF9C4" w:rsidR="00EE5BB8" w:rsidRPr="00C6052E" w:rsidRDefault="00EE5BB8" w:rsidP="00EE5BB8">
      <w:pPr>
        <w:pStyle w:val="Heading5"/>
        <w:numPr>
          <w:ilvl w:val="0"/>
          <w:numId w:val="0"/>
        </w:numPr>
      </w:pPr>
      <w:r w:rsidRPr="00C6052E">
        <w:t>Employment</w:t>
      </w:r>
      <w:r w:rsidR="00177848" w:rsidRPr="00C6052E">
        <w:t xml:space="preserve"> </w:t>
      </w:r>
    </w:p>
    <w:p w14:paraId="0BAE8BA6" w14:textId="3D402B54" w:rsidR="00EE5BB8" w:rsidRPr="00C6052E" w:rsidRDefault="00EE5BB8" w:rsidP="0028635E">
      <w:pPr>
        <w:pStyle w:val="Normalbeforebullets"/>
      </w:pPr>
      <w:r w:rsidRPr="00C6052E">
        <w:t>The</w:t>
      </w:r>
      <w:r w:rsidR="00177848" w:rsidRPr="00C6052E">
        <w:t xml:space="preserve"> </w:t>
      </w:r>
      <w:r w:rsidRPr="00C6052E">
        <w:t>department</w:t>
      </w:r>
      <w:r w:rsidR="00177848" w:rsidRPr="00C6052E">
        <w:t xml:space="preserve"> </w:t>
      </w:r>
      <w:r w:rsidRPr="00C6052E">
        <w:t>provides</w:t>
      </w:r>
      <w:r w:rsidR="00177848" w:rsidRPr="00C6052E">
        <w:t xml:space="preserve"> </w:t>
      </w:r>
      <w:r w:rsidRPr="00C6052E">
        <w:t>inclusive</w:t>
      </w:r>
      <w:r w:rsidR="00177848" w:rsidRPr="00C6052E">
        <w:t xml:space="preserve"> </w:t>
      </w:r>
      <w:r w:rsidRPr="00C6052E">
        <w:t>employment</w:t>
      </w:r>
      <w:r w:rsidR="00177848" w:rsidRPr="00C6052E">
        <w:t xml:space="preserve"> </w:t>
      </w:r>
      <w:r w:rsidRPr="00C6052E">
        <w:t>support</w:t>
      </w:r>
      <w:r w:rsidR="00177848" w:rsidRPr="00C6052E">
        <w:t xml:space="preserve"> </w:t>
      </w:r>
      <w:r w:rsidRPr="00C6052E">
        <w:t>through</w:t>
      </w:r>
      <w:r w:rsidR="00177848" w:rsidRPr="00C6052E">
        <w:t xml:space="preserve"> </w:t>
      </w:r>
      <w:r w:rsidRPr="00C6052E">
        <w:t>the</w:t>
      </w:r>
      <w:r w:rsidR="00177848" w:rsidRPr="00C6052E">
        <w:t xml:space="preserve"> </w:t>
      </w:r>
      <w:r w:rsidRPr="00C6052E">
        <w:t>Youth</w:t>
      </w:r>
      <w:r w:rsidR="00177848" w:rsidRPr="00C6052E">
        <w:t xml:space="preserve"> </w:t>
      </w:r>
      <w:r w:rsidRPr="00C6052E">
        <w:t>Employment</w:t>
      </w:r>
      <w:r w:rsidR="00177848" w:rsidRPr="00C6052E">
        <w:t xml:space="preserve"> </w:t>
      </w:r>
      <w:r w:rsidRPr="00C6052E">
        <w:t>Scheme</w:t>
      </w:r>
      <w:r w:rsidR="00177848" w:rsidRPr="00C6052E">
        <w:t xml:space="preserve"> </w:t>
      </w:r>
      <w:r w:rsidRPr="00C6052E">
        <w:t>(YES)</w:t>
      </w:r>
      <w:r w:rsidR="00177848" w:rsidRPr="00C6052E">
        <w:t xml:space="preserve"> </w:t>
      </w:r>
      <w:r w:rsidRPr="00C6052E">
        <w:t>and</w:t>
      </w:r>
      <w:r w:rsidR="00177848" w:rsidRPr="00C6052E">
        <w:t xml:space="preserve"> </w:t>
      </w:r>
      <w:r w:rsidRPr="00C6052E">
        <w:t>Work</w:t>
      </w:r>
      <w:r w:rsidR="00177848" w:rsidRPr="00C6052E">
        <w:t xml:space="preserve"> </w:t>
      </w:r>
      <w:r w:rsidRPr="00C6052E">
        <w:t>and</w:t>
      </w:r>
      <w:r w:rsidR="00177848" w:rsidRPr="00C6052E">
        <w:t xml:space="preserve"> </w:t>
      </w:r>
      <w:r w:rsidRPr="00C6052E">
        <w:t>Learning</w:t>
      </w:r>
      <w:r w:rsidR="00177848" w:rsidRPr="00C6052E">
        <w:t xml:space="preserve"> </w:t>
      </w:r>
      <w:r w:rsidRPr="00C6052E">
        <w:t>Centres</w:t>
      </w:r>
      <w:r w:rsidR="00177848" w:rsidRPr="00C6052E">
        <w:t xml:space="preserve"> </w:t>
      </w:r>
      <w:r w:rsidRPr="00C6052E">
        <w:t>(WLCs):</w:t>
      </w:r>
    </w:p>
    <w:p w14:paraId="42301986" w14:textId="7862C03E" w:rsidR="00EE5BB8" w:rsidRPr="00C6052E" w:rsidRDefault="00EE5BB8" w:rsidP="00EE5BB8">
      <w:pPr>
        <w:pStyle w:val="Bullet1"/>
        <w:numPr>
          <w:ilvl w:val="0"/>
          <w:numId w:val="1"/>
        </w:numPr>
        <w:spacing w:line="278" w:lineRule="auto"/>
        <w:ind w:left="284" w:hanging="284"/>
        <w:rPr>
          <w:lang w:val="en-AU"/>
        </w:rPr>
      </w:pPr>
      <w:proofErr w:type="gramStart"/>
      <w:r w:rsidRPr="00C6052E">
        <w:rPr>
          <w:lang w:val="en-AU"/>
        </w:rPr>
        <w:t>YES</w:t>
      </w:r>
      <w:proofErr w:type="gramEnd"/>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over</w:t>
      </w:r>
      <w:r w:rsidR="00177848" w:rsidRPr="00C6052E">
        <w:rPr>
          <w:lang w:val="en-AU"/>
        </w:rPr>
        <w:t xml:space="preserve"> </w:t>
      </w:r>
      <w:r w:rsidRPr="00C6052E">
        <w:rPr>
          <w:lang w:val="en-AU"/>
        </w:rPr>
        <w:t>130</w:t>
      </w:r>
      <w:r w:rsidR="00177848" w:rsidRPr="00C6052E">
        <w:rPr>
          <w:lang w:val="en-AU"/>
        </w:rPr>
        <w:t xml:space="preserve"> </w:t>
      </w:r>
      <w:r w:rsidRPr="00C6052E">
        <w:rPr>
          <w:lang w:val="en-AU"/>
        </w:rPr>
        <w:t>young</w:t>
      </w:r>
      <w:r w:rsidR="00177848" w:rsidRPr="00C6052E">
        <w:rPr>
          <w:lang w:val="en-AU"/>
        </w:rPr>
        <w:t xml:space="preserve"> </w:t>
      </w:r>
      <w:r w:rsidRPr="00C6052E">
        <w:rPr>
          <w:lang w:val="en-AU"/>
        </w:rPr>
        <w:t>people</w:t>
      </w:r>
      <w:r w:rsidR="00177848" w:rsidRPr="00C6052E">
        <w:rPr>
          <w:lang w:val="en-AU"/>
        </w:rPr>
        <w:t xml:space="preserve"> </w:t>
      </w:r>
      <w:r w:rsidRPr="00C6052E">
        <w:rPr>
          <w:lang w:val="en-AU"/>
        </w:rPr>
        <w:t>facing</w:t>
      </w:r>
      <w:r w:rsidR="00177848" w:rsidRPr="00C6052E">
        <w:rPr>
          <w:lang w:val="en-AU"/>
        </w:rPr>
        <w:t xml:space="preserve"> </w:t>
      </w:r>
      <w:r w:rsidRPr="00C6052E">
        <w:rPr>
          <w:lang w:val="en-AU"/>
        </w:rPr>
        <w:t>barriers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into</w:t>
      </w:r>
      <w:r w:rsidR="00177848" w:rsidRPr="00C6052E">
        <w:rPr>
          <w:lang w:val="en-AU"/>
        </w:rPr>
        <w:t xml:space="preserve"> </w:t>
      </w:r>
      <w:r w:rsidRPr="00C6052E">
        <w:rPr>
          <w:lang w:val="en-AU"/>
        </w:rPr>
        <w:t>traineeships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public</w:t>
      </w:r>
      <w:r w:rsidR="00177848" w:rsidRPr="00C6052E">
        <w:rPr>
          <w:lang w:val="en-AU"/>
        </w:rPr>
        <w:t xml:space="preserve"> </w:t>
      </w:r>
      <w:r w:rsidRPr="00C6052E">
        <w:rPr>
          <w:lang w:val="en-AU"/>
        </w:rPr>
        <w:t>sector</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2024–25</w:t>
      </w:r>
    </w:p>
    <w:p w14:paraId="4A5008B0" w14:textId="06E6C5B9" w:rsidR="00EE5BB8" w:rsidRPr="00C6052E" w:rsidRDefault="00EE5BB8" w:rsidP="00EE5BB8">
      <w:pPr>
        <w:pStyle w:val="Bullet1last"/>
        <w:numPr>
          <w:ilvl w:val="0"/>
          <w:numId w:val="1"/>
        </w:numPr>
        <w:spacing w:line="278" w:lineRule="auto"/>
        <w:ind w:left="284" w:hanging="284"/>
        <w:rPr>
          <w:lang w:val="en-AU"/>
        </w:rPr>
      </w:pPr>
      <w:r w:rsidRPr="00C6052E">
        <w:rPr>
          <w:lang w:val="en-AU"/>
        </w:rPr>
        <w:t>WLCs</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over</w:t>
      </w:r>
      <w:r w:rsidR="00177848" w:rsidRPr="00C6052E">
        <w:rPr>
          <w:lang w:val="en-AU"/>
        </w:rPr>
        <w:t xml:space="preserve"> </w:t>
      </w:r>
      <w:r w:rsidRPr="00C6052E">
        <w:rPr>
          <w:lang w:val="en-AU"/>
        </w:rPr>
        <w:t>280</w:t>
      </w:r>
      <w:r w:rsidR="00177848" w:rsidRPr="00C6052E">
        <w:rPr>
          <w:lang w:val="en-AU"/>
        </w:rPr>
        <w:t xml:space="preserve"> </w:t>
      </w:r>
      <w:r w:rsidRPr="00C6052E">
        <w:rPr>
          <w:lang w:val="en-AU"/>
        </w:rPr>
        <w:t>people</w:t>
      </w:r>
      <w:r w:rsidR="00177848" w:rsidRPr="00C6052E">
        <w:rPr>
          <w:lang w:val="en-AU"/>
        </w:rPr>
        <w:t xml:space="preserve"> </w:t>
      </w:r>
      <w:r w:rsidRPr="00C6052E">
        <w:rPr>
          <w:lang w:val="en-AU"/>
        </w:rPr>
        <w:t>into</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job</w:t>
      </w:r>
      <w:r w:rsidR="00177848" w:rsidRPr="00C6052E">
        <w:rPr>
          <w:lang w:val="en-AU"/>
        </w:rPr>
        <w:t xml:space="preserve"> </w:t>
      </w:r>
      <w:r w:rsidRPr="00C6052E">
        <w:rPr>
          <w:lang w:val="en-AU"/>
        </w:rPr>
        <w:t>seekers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social</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public</w:t>
      </w:r>
      <w:r w:rsidR="00177848" w:rsidRPr="00C6052E">
        <w:rPr>
          <w:lang w:val="en-AU"/>
        </w:rPr>
        <w:t xml:space="preserve"> </w:t>
      </w:r>
      <w:r w:rsidRPr="00C6052E">
        <w:rPr>
          <w:lang w:val="en-AU"/>
        </w:rPr>
        <w:t>housing,</w:t>
      </w:r>
      <w:r w:rsidR="00177848" w:rsidRPr="00C6052E">
        <w:rPr>
          <w:lang w:val="en-AU"/>
        </w:rPr>
        <w:t xml:space="preserve"> </w:t>
      </w:r>
      <w:r w:rsidRPr="00C6052E">
        <w:rPr>
          <w:lang w:val="en-AU"/>
        </w:rPr>
        <w:t>over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last</w:t>
      </w:r>
      <w:r w:rsidR="00177848" w:rsidRPr="00C6052E">
        <w:rPr>
          <w:lang w:val="en-AU"/>
        </w:rPr>
        <w:t xml:space="preserve"> </w:t>
      </w:r>
      <w:r w:rsidRPr="00C6052E">
        <w:rPr>
          <w:lang w:val="en-AU"/>
        </w:rPr>
        <w:t>year</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tailored</w:t>
      </w:r>
      <w:r w:rsidR="00177848" w:rsidRPr="00C6052E">
        <w:rPr>
          <w:lang w:val="en-AU"/>
        </w:rPr>
        <w:t xml:space="preserve"> </w:t>
      </w:r>
      <w:r w:rsidRPr="00C6052E">
        <w:rPr>
          <w:lang w:val="en-AU"/>
        </w:rPr>
        <w:t>pre-employment</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foundation</w:t>
      </w:r>
      <w:r w:rsidR="00177848" w:rsidRPr="00C6052E">
        <w:rPr>
          <w:lang w:val="en-AU"/>
        </w:rPr>
        <w:t xml:space="preserve"> </w:t>
      </w:r>
      <w:r w:rsidRPr="00C6052E">
        <w:rPr>
          <w:lang w:val="en-AU"/>
        </w:rPr>
        <w:t>skills</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vocational</w:t>
      </w:r>
      <w:r w:rsidR="00177848" w:rsidRPr="00C6052E">
        <w:rPr>
          <w:lang w:val="en-AU"/>
        </w:rPr>
        <w:t xml:space="preserve"> </w:t>
      </w:r>
      <w:r w:rsidRPr="00C6052E">
        <w:rPr>
          <w:lang w:val="en-AU"/>
        </w:rPr>
        <w:t>training</w:t>
      </w:r>
      <w:r w:rsidR="00177848" w:rsidRPr="00C6052E">
        <w:rPr>
          <w:lang w:val="en-AU"/>
        </w:rPr>
        <w:t xml:space="preserve"> </w:t>
      </w:r>
      <w:r w:rsidRPr="00C6052E">
        <w:rPr>
          <w:lang w:val="en-AU"/>
        </w:rPr>
        <w:t>opportunities.</w:t>
      </w:r>
    </w:p>
    <w:p w14:paraId="7B6A2E10" w14:textId="48747D5A" w:rsidR="00EE5BB8" w:rsidRPr="00C6052E" w:rsidRDefault="00EE5BB8" w:rsidP="0028635E">
      <w:pPr>
        <w:pStyle w:val="Normalbeforebullets"/>
      </w:pPr>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partnered</w:t>
      </w:r>
      <w:r w:rsidR="00177848" w:rsidRPr="00C6052E">
        <w:t xml:space="preserve"> </w:t>
      </w:r>
      <w:r w:rsidRPr="00C6052E">
        <w:t>with</w:t>
      </w:r>
      <w:r w:rsidR="00177848" w:rsidRPr="00C6052E">
        <w:t xml:space="preserve"> </w:t>
      </w:r>
      <w:r w:rsidRPr="00C6052E">
        <w:t>the</w:t>
      </w:r>
      <w:r w:rsidR="00177848" w:rsidRPr="00C6052E">
        <w:t xml:space="preserve"> </w:t>
      </w:r>
      <w:r w:rsidRPr="00C6052E">
        <w:t>Australian</w:t>
      </w:r>
      <w:r w:rsidR="00177848" w:rsidRPr="00C6052E">
        <w:t xml:space="preserve"> </w:t>
      </w:r>
      <w:r w:rsidRPr="00C6052E">
        <w:t>Government</w:t>
      </w:r>
      <w:r w:rsidR="00177848" w:rsidRPr="00C6052E">
        <w:t xml:space="preserve"> </w:t>
      </w:r>
      <w:r w:rsidRPr="00C6052E">
        <w:t>on</w:t>
      </w:r>
      <w:r w:rsidR="00177848" w:rsidRPr="00C6052E">
        <w:t xml:space="preserve"> </w:t>
      </w:r>
      <w:r w:rsidRPr="00C6052E">
        <w:t>several</w:t>
      </w:r>
      <w:r w:rsidR="00177848" w:rsidRPr="00C6052E">
        <w:t xml:space="preserve"> </w:t>
      </w:r>
      <w:r w:rsidRPr="00C6052E">
        <w:t>key</w:t>
      </w:r>
      <w:r w:rsidR="00177848" w:rsidRPr="00C6052E">
        <w:t xml:space="preserve"> </w:t>
      </w:r>
      <w:r w:rsidRPr="00C6052E">
        <w:t>initiatives.</w:t>
      </w:r>
      <w:r w:rsidR="00177848" w:rsidRPr="00C6052E">
        <w:t xml:space="preserve"> </w:t>
      </w:r>
      <w:r w:rsidRPr="00C6052E">
        <w:t>These</w:t>
      </w:r>
      <w:r w:rsidR="00177848" w:rsidRPr="00C6052E">
        <w:t xml:space="preserve"> </w:t>
      </w:r>
      <w:r w:rsidRPr="00C6052E">
        <w:t>included:</w:t>
      </w:r>
      <w:r w:rsidR="00177848" w:rsidRPr="00C6052E">
        <w:t xml:space="preserve"> </w:t>
      </w:r>
    </w:p>
    <w:p w14:paraId="33760BC2" w14:textId="4F4A9E51" w:rsidR="00EE5BB8" w:rsidRPr="00C6052E" w:rsidRDefault="00EE5BB8" w:rsidP="00EE5BB8">
      <w:pPr>
        <w:pStyle w:val="Bullet1"/>
        <w:numPr>
          <w:ilvl w:val="0"/>
          <w:numId w:val="1"/>
        </w:numPr>
        <w:spacing w:line="278" w:lineRule="auto"/>
        <w:ind w:left="284" w:hanging="284"/>
        <w:rPr>
          <w:lang w:val="en-AU"/>
        </w:rPr>
      </w:pPr>
      <w:r w:rsidRPr="00C6052E">
        <w:rPr>
          <w:lang w:val="en-AU"/>
        </w:rPr>
        <w:t>a</w:t>
      </w:r>
      <w:r w:rsidR="00177848" w:rsidRPr="00C6052E">
        <w:rPr>
          <w:lang w:val="en-AU"/>
        </w:rPr>
        <w:t xml:space="preserve"> </w:t>
      </w:r>
      <w:r w:rsidRPr="00C6052E">
        <w:rPr>
          <w:lang w:val="en-AU"/>
        </w:rPr>
        <w:t>self-determined</w:t>
      </w:r>
      <w:r w:rsidR="00177848" w:rsidRPr="00C6052E">
        <w:rPr>
          <w:lang w:val="en-AU"/>
        </w:rPr>
        <w:t xml:space="preserve"> </w:t>
      </w:r>
      <w:r w:rsidRPr="00C6052E">
        <w:rPr>
          <w:lang w:val="en-AU"/>
        </w:rPr>
        <w:t>Aboriginal</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initiative</w:t>
      </w:r>
      <w:r w:rsidR="00177848" w:rsidRPr="00C6052E">
        <w:rPr>
          <w:lang w:val="en-AU"/>
        </w:rPr>
        <w:t xml:space="preserve"> </w:t>
      </w:r>
      <w:r w:rsidRPr="00C6052E">
        <w:rPr>
          <w:lang w:val="en-AU"/>
        </w:rPr>
        <w:t>co-designed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Traditional</w:t>
      </w:r>
      <w:r w:rsidR="00177848" w:rsidRPr="00C6052E">
        <w:rPr>
          <w:lang w:val="en-AU"/>
        </w:rPr>
        <w:t xml:space="preserve"> </w:t>
      </w:r>
      <w:r w:rsidRPr="00C6052E">
        <w:rPr>
          <w:lang w:val="en-AU"/>
        </w:rPr>
        <w:t>Owner</w:t>
      </w:r>
      <w:r w:rsidR="00177848" w:rsidRPr="00C6052E">
        <w:rPr>
          <w:lang w:val="en-AU"/>
        </w:rPr>
        <w:t xml:space="preserve"> </w:t>
      </w:r>
      <w:r w:rsidRPr="00C6052E">
        <w:rPr>
          <w:lang w:val="en-AU"/>
        </w:rPr>
        <w:t>Corporations</w:t>
      </w:r>
      <w:r w:rsidR="00177848" w:rsidRPr="00C6052E">
        <w:rPr>
          <w:lang w:val="en-AU"/>
        </w:rPr>
        <w:t xml:space="preserve"> </w:t>
      </w:r>
      <w:r w:rsidRPr="00C6052E">
        <w:rPr>
          <w:lang w:val="en-AU"/>
        </w:rPr>
        <w:t>–</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received</w:t>
      </w:r>
      <w:r w:rsidR="00177848" w:rsidRPr="00C6052E">
        <w:rPr>
          <w:lang w:val="en-AU"/>
        </w:rPr>
        <w:t xml:space="preserve"> </w:t>
      </w:r>
      <w:r w:rsidRPr="00C6052E">
        <w:rPr>
          <w:lang w:val="en-AU"/>
        </w:rPr>
        <w:t>$7.84</w:t>
      </w:r>
      <w:r w:rsidR="00177848" w:rsidRPr="00C6052E">
        <w:rPr>
          <w:lang w:val="en-AU"/>
        </w:rPr>
        <w:t xml:space="preserve"> </w:t>
      </w:r>
      <w:r w:rsidRPr="00C6052E">
        <w:rPr>
          <w:lang w:val="en-AU"/>
        </w:rPr>
        <w:t>million</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Government’s</w:t>
      </w:r>
      <w:r w:rsidR="00177848" w:rsidRPr="00C6052E">
        <w:rPr>
          <w:lang w:val="en-AU"/>
        </w:rPr>
        <w:t xml:space="preserve"> </w:t>
      </w:r>
      <w:r w:rsidRPr="00C6052E">
        <w:rPr>
          <w:lang w:val="en-AU"/>
        </w:rPr>
        <w:t>Outcomes</w:t>
      </w:r>
      <w:r w:rsidR="00177848" w:rsidRPr="00C6052E">
        <w:rPr>
          <w:lang w:val="en-AU"/>
        </w:rPr>
        <w:t xml:space="preserve"> </w:t>
      </w:r>
      <w:r w:rsidRPr="00C6052E">
        <w:rPr>
          <w:lang w:val="en-AU"/>
        </w:rPr>
        <w:t>Fund</w:t>
      </w:r>
    </w:p>
    <w:p w14:paraId="52ADD356" w14:textId="05C990C3" w:rsidR="00EE5BB8" w:rsidRPr="00C6052E" w:rsidRDefault="00EE5BB8" w:rsidP="00EE5BB8">
      <w:pPr>
        <w:pStyle w:val="Bullet1last"/>
        <w:numPr>
          <w:ilvl w:val="0"/>
          <w:numId w:val="1"/>
        </w:numPr>
        <w:spacing w:line="278" w:lineRule="auto"/>
        <w:ind w:left="284" w:hanging="284"/>
        <w:rPr>
          <w:lang w:val="en-AU"/>
        </w:rPr>
      </w:pPr>
      <w:r w:rsidRPr="00C6052E">
        <w:rPr>
          <w:lang w:val="en-AU"/>
        </w:rPr>
        <w:t>Thrive</w:t>
      </w:r>
      <w:r w:rsidR="00177848" w:rsidRPr="00C6052E">
        <w:rPr>
          <w:lang w:val="en-AU"/>
        </w:rPr>
        <w:t xml:space="preserve"> </w:t>
      </w:r>
      <w:r w:rsidRPr="00C6052E">
        <w:rPr>
          <w:lang w:val="en-AU"/>
        </w:rPr>
        <w:t>Hubs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Broadmeadows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Frankston</w:t>
      </w:r>
      <w:r w:rsidR="00177848" w:rsidRPr="00C6052E">
        <w:rPr>
          <w:lang w:val="en-AU"/>
        </w:rPr>
        <w:t xml:space="preserve"> </w:t>
      </w:r>
      <w:r w:rsidRPr="00C6052E">
        <w:rPr>
          <w:lang w:val="en-AU"/>
        </w:rPr>
        <w: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committed</w:t>
      </w:r>
      <w:r w:rsidR="00177848" w:rsidRPr="00C6052E">
        <w:rPr>
          <w:lang w:val="en-AU"/>
        </w:rPr>
        <w:t xml:space="preserve"> </w:t>
      </w:r>
      <w:r w:rsidRPr="00C6052E">
        <w:rPr>
          <w:lang w:val="en-AU"/>
        </w:rPr>
        <w:t>$1</w:t>
      </w:r>
      <w:r w:rsidR="00177848" w:rsidRPr="00C6052E">
        <w:rPr>
          <w:lang w:val="en-AU"/>
        </w:rPr>
        <w:t xml:space="preserve"> </w:t>
      </w:r>
      <w:r w:rsidRPr="00C6052E">
        <w:rPr>
          <w:lang w:val="en-AU"/>
        </w:rPr>
        <w:t>million</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delivery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personalised</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tailored</w:t>
      </w:r>
      <w:r w:rsidR="00177848" w:rsidRPr="00C6052E">
        <w:rPr>
          <w:lang w:val="en-AU"/>
        </w:rPr>
        <w:t xml:space="preserve"> </w:t>
      </w:r>
      <w:r w:rsidRPr="00C6052E">
        <w:rPr>
          <w:spacing w:val="-2"/>
          <w:lang w:val="en-AU"/>
        </w:rPr>
        <w:t>support</w:t>
      </w:r>
      <w:r w:rsidR="00177848" w:rsidRPr="00C6052E">
        <w:rPr>
          <w:spacing w:val="-2"/>
          <w:lang w:val="en-AU"/>
        </w:rPr>
        <w:t xml:space="preserve"> </w:t>
      </w:r>
      <w:r w:rsidRPr="00C6052E">
        <w:rPr>
          <w:spacing w:val="-2"/>
          <w:lang w:val="en-AU"/>
        </w:rPr>
        <w:t>for</w:t>
      </w:r>
      <w:r w:rsidR="00177848" w:rsidRPr="00C6052E">
        <w:rPr>
          <w:spacing w:val="-2"/>
          <w:lang w:val="en-AU"/>
        </w:rPr>
        <w:t xml:space="preserve"> </w:t>
      </w:r>
      <w:r w:rsidRPr="00C6052E">
        <w:rPr>
          <w:spacing w:val="-2"/>
          <w:lang w:val="en-AU"/>
        </w:rPr>
        <w:t>jobseekers</w:t>
      </w:r>
      <w:r w:rsidR="00177848" w:rsidRPr="00C6052E">
        <w:rPr>
          <w:spacing w:val="-2"/>
          <w:lang w:val="en-AU"/>
        </w:rPr>
        <w:t xml:space="preserve"> </w:t>
      </w:r>
      <w:r w:rsidRPr="00C6052E">
        <w:rPr>
          <w:spacing w:val="-2"/>
          <w:lang w:val="en-AU"/>
        </w:rPr>
        <w:t>to</w:t>
      </w:r>
      <w:r w:rsidR="00177848" w:rsidRPr="00C6052E">
        <w:rPr>
          <w:spacing w:val="-2"/>
          <w:lang w:val="en-AU"/>
        </w:rPr>
        <w:t xml:space="preserve"> </w:t>
      </w:r>
      <w:r w:rsidRPr="00C6052E">
        <w:rPr>
          <w:spacing w:val="-2"/>
          <w:lang w:val="en-AU"/>
        </w:rPr>
        <w:t>find</w:t>
      </w:r>
      <w:r w:rsidR="00177848" w:rsidRPr="00C6052E">
        <w:rPr>
          <w:spacing w:val="-2"/>
          <w:lang w:val="en-AU"/>
        </w:rPr>
        <w:t xml:space="preserve"> </w:t>
      </w:r>
      <w:r w:rsidRPr="00C6052E">
        <w:rPr>
          <w:spacing w:val="-2"/>
          <w:lang w:val="en-AU"/>
        </w:rPr>
        <w:t>long-term</w:t>
      </w:r>
      <w:r w:rsidR="00177848" w:rsidRPr="00C6052E">
        <w:rPr>
          <w:spacing w:val="-2"/>
          <w:lang w:val="en-AU"/>
        </w:rPr>
        <w:t xml:space="preserve"> </w:t>
      </w:r>
      <w:r w:rsidRPr="00C6052E">
        <w:rPr>
          <w:spacing w:val="-2"/>
          <w:lang w:val="en-AU"/>
        </w:rPr>
        <w:t>employment</w:t>
      </w:r>
      <w:r w:rsidR="00177848" w:rsidRPr="00C6052E">
        <w:rPr>
          <w:spacing w:val="-2"/>
          <w:lang w:val="en-AU"/>
        </w:rPr>
        <w:t xml:space="preserve"> </w:t>
      </w:r>
      <w:r w:rsidRPr="00C6052E">
        <w:rPr>
          <w:spacing w:val="-2"/>
          <w:lang w:val="en-AU"/>
        </w:rPr>
        <w:t>by</w:t>
      </w:r>
      <w:r w:rsidR="00177848" w:rsidRPr="00C6052E">
        <w:rPr>
          <w:spacing w:val="-2"/>
          <w:lang w:val="en-AU"/>
        </w:rPr>
        <w:t xml:space="preserve"> </w:t>
      </w:r>
      <w:r w:rsidRPr="00C6052E">
        <w:rPr>
          <w:spacing w:val="-2"/>
          <w:lang w:val="en-AU"/>
        </w:rPr>
        <w:t>engaging</w:t>
      </w:r>
      <w:r w:rsidR="00177848" w:rsidRPr="00C6052E">
        <w:rPr>
          <w:spacing w:val="-2"/>
          <w:lang w:val="en-AU"/>
        </w:rPr>
        <w:t xml:space="preserve"> </w:t>
      </w:r>
      <w:r w:rsidRPr="00C6052E">
        <w:rPr>
          <w:spacing w:val="-2"/>
          <w:lang w:val="en-AU"/>
        </w:rPr>
        <w:t>with</w:t>
      </w:r>
      <w:r w:rsidR="00177848" w:rsidRPr="00C6052E">
        <w:rPr>
          <w:spacing w:val="-2"/>
          <w:lang w:val="en-AU"/>
        </w:rPr>
        <w:t xml:space="preserve"> </w:t>
      </w:r>
      <w:r w:rsidRPr="00C6052E">
        <w:rPr>
          <w:spacing w:val="-2"/>
          <w:lang w:val="en-AU"/>
        </w:rPr>
        <w:t>employers</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r w:rsidRPr="00C6052E">
        <w:rPr>
          <w:spacing w:val="-2"/>
          <w:lang w:val="en-AU"/>
        </w:rPr>
        <w:t>industry.</w:t>
      </w:r>
      <w:r w:rsidR="00177848" w:rsidRPr="00C6052E">
        <w:rPr>
          <w:lang w:val="en-AU"/>
        </w:rPr>
        <w:t xml:space="preserve"> </w:t>
      </w:r>
    </w:p>
    <w:p w14:paraId="71917D7B" w14:textId="4C679FBB" w:rsidR="00EE5BB8" w:rsidRPr="00C6052E" w:rsidRDefault="00EE5BB8" w:rsidP="0028635E">
      <w:pPr>
        <w:pStyle w:val="Normalbeforebullets"/>
      </w:pPr>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delivered</w:t>
      </w:r>
      <w:r w:rsidR="00177848" w:rsidRPr="00C6052E">
        <w:t xml:space="preserve"> </w:t>
      </w:r>
      <w:r w:rsidRPr="00C6052E">
        <w:t>the</w:t>
      </w:r>
      <w:r w:rsidR="00177848" w:rsidRPr="00C6052E">
        <w:t xml:space="preserve"> </w:t>
      </w:r>
      <w:r w:rsidRPr="00C6052E">
        <w:t>following</w:t>
      </w:r>
      <w:r w:rsidR="00177848" w:rsidRPr="00C6052E">
        <w:t xml:space="preserve"> </w:t>
      </w:r>
      <w:r w:rsidRPr="00C6052E">
        <w:t>Jobs</w:t>
      </w:r>
      <w:r w:rsidR="00177848" w:rsidRPr="00C6052E">
        <w:t xml:space="preserve"> </w:t>
      </w:r>
      <w:r w:rsidRPr="00C6052E">
        <w:t>Victoria</w:t>
      </w:r>
      <w:r w:rsidR="00177848" w:rsidRPr="00C6052E">
        <w:t xml:space="preserve"> </w:t>
      </w:r>
      <w:r w:rsidRPr="00C6052E">
        <w:t>programs:</w:t>
      </w:r>
    </w:p>
    <w:p w14:paraId="7587BF75" w14:textId="635E5D90" w:rsidR="00EE5BB8" w:rsidRPr="00C6052E" w:rsidRDefault="00EE5BB8" w:rsidP="00EE5BB8">
      <w:pPr>
        <w:pStyle w:val="Bullet1"/>
        <w:numPr>
          <w:ilvl w:val="0"/>
          <w:numId w:val="1"/>
        </w:numPr>
        <w:spacing w:line="278" w:lineRule="auto"/>
        <w:ind w:left="284" w:hanging="284"/>
        <w:rPr>
          <w:lang w:val="en-AU"/>
        </w:rPr>
      </w:pPr>
      <w:r w:rsidRPr="00C6052E">
        <w:rPr>
          <w:lang w:val="en-AU"/>
        </w:rPr>
        <w:t>Jobs</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Mentors</w:t>
      </w:r>
      <w:r w:rsidR="00177848" w:rsidRPr="00C6052E">
        <w:rPr>
          <w:lang w:val="en-AU"/>
        </w:rPr>
        <w:t xml:space="preserve"> </w:t>
      </w:r>
      <w:r w:rsidRPr="00C6052E">
        <w:rPr>
          <w:lang w:val="en-AU"/>
        </w:rPr>
        <w:t>–</w:t>
      </w:r>
      <w:r w:rsidR="00177848" w:rsidRPr="00C6052E">
        <w:rPr>
          <w:lang w:val="en-AU"/>
        </w:rPr>
        <w:t xml:space="preserve"> </w:t>
      </w:r>
      <w:r w:rsidRPr="00C6052E">
        <w:rPr>
          <w:lang w:val="en-AU"/>
        </w:rPr>
        <w:t>providing</w:t>
      </w:r>
      <w:r w:rsidR="00177848" w:rsidRPr="00C6052E">
        <w:rPr>
          <w:lang w:val="en-AU"/>
        </w:rPr>
        <w:t xml:space="preserve"> </w:t>
      </w:r>
      <w:r w:rsidRPr="00C6052E">
        <w:rPr>
          <w:lang w:val="en-AU"/>
        </w:rPr>
        <w:t>work-readiness</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over</w:t>
      </w:r>
      <w:r w:rsidR="00177848" w:rsidRPr="00C6052E">
        <w:rPr>
          <w:lang w:val="en-AU"/>
        </w:rPr>
        <w:t xml:space="preserve"> </w:t>
      </w:r>
      <w:r w:rsidRPr="00C6052E">
        <w:rPr>
          <w:lang w:val="en-AU"/>
        </w:rPr>
        <w:t>1,700</w:t>
      </w:r>
      <w:r w:rsidR="00177848" w:rsidRPr="00C6052E">
        <w:rPr>
          <w:lang w:val="en-AU"/>
        </w:rPr>
        <w:t xml:space="preserve"> </w:t>
      </w:r>
      <w:r w:rsidRPr="00C6052E">
        <w:rPr>
          <w:lang w:val="en-AU"/>
        </w:rPr>
        <w:t>eligible</w:t>
      </w:r>
      <w:r w:rsidR="00177848" w:rsidRPr="00C6052E">
        <w:rPr>
          <w:lang w:val="en-AU"/>
        </w:rPr>
        <w:t xml:space="preserve"> </w:t>
      </w:r>
      <w:r w:rsidRPr="00C6052E">
        <w:rPr>
          <w:lang w:val="en-AU"/>
        </w:rPr>
        <w:t>jobseekers</w:t>
      </w:r>
      <w:r w:rsidR="00177848" w:rsidRPr="00C6052E">
        <w:rPr>
          <w:lang w:val="en-AU"/>
        </w:rPr>
        <w:t xml:space="preserve"> </w:t>
      </w:r>
      <w:r w:rsidRPr="00C6052E">
        <w:rPr>
          <w:lang w:val="en-AU"/>
        </w:rPr>
        <w:t>facing</w:t>
      </w:r>
      <w:r w:rsidR="00177848" w:rsidRPr="00C6052E">
        <w:rPr>
          <w:lang w:val="en-AU"/>
        </w:rPr>
        <w:t xml:space="preserve"> </w:t>
      </w:r>
      <w:r w:rsidRPr="00C6052E">
        <w:rPr>
          <w:lang w:val="en-AU"/>
        </w:rPr>
        <w:t>challenging</w:t>
      </w:r>
      <w:r w:rsidR="00177848" w:rsidRPr="00C6052E">
        <w:rPr>
          <w:lang w:val="en-AU"/>
        </w:rPr>
        <w:t xml:space="preserve"> </w:t>
      </w:r>
      <w:r w:rsidRPr="00C6052E">
        <w:rPr>
          <w:lang w:val="en-AU"/>
        </w:rPr>
        <w:t>barriers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across</w:t>
      </w:r>
      <w:r w:rsidR="00177848" w:rsidRPr="00C6052E">
        <w:rPr>
          <w:lang w:val="en-AU"/>
        </w:rPr>
        <w:t xml:space="preserve"> </w:t>
      </w:r>
      <w:r w:rsidRPr="00C6052E">
        <w:rPr>
          <w:lang w:val="en-AU"/>
        </w:rPr>
        <w:t>5</w:t>
      </w:r>
      <w:r w:rsidR="00177848" w:rsidRPr="00C6052E">
        <w:rPr>
          <w:lang w:val="en-AU"/>
        </w:rPr>
        <w:t xml:space="preserve"> </w:t>
      </w:r>
      <w:r w:rsidRPr="00C6052E">
        <w:rPr>
          <w:lang w:val="en-AU"/>
        </w:rPr>
        <w:t>local</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areas</w:t>
      </w:r>
      <w:r w:rsidR="00177848" w:rsidRPr="00C6052E">
        <w:rPr>
          <w:lang w:val="en-AU"/>
        </w:rPr>
        <w:t xml:space="preserve"> </w:t>
      </w:r>
    </w:p>
    <w:p w14:paraId="73C8DB5E" w14:textId="53CD95A1" w:rsidR="00EE5BB8" w:rsidRPr="00C6052E" w:rsidRDefault="00EE5BB8" w:rsidP="00EE5BB8">
      <w:pPr>
        <w:pStyle w:val="Bullet1"/>
        <w:numPr>
          <w:ilvl w:val="0"/>
          <w:numId w:val="1"/>
        </w:numPr>
        <w:spacing w:line="278" w:lineRule="auto"/>
        <w:ind w:left="284" w:hanging="284"/>
        <w:rPr>
          <w:lang w:val="en-AU"/>
        </w:rPr>
      </w:pPr>
      <w:r w:rsidRPr="00C6052E">
        <w:rPr>
          <w:lang w:val="en-AU"/>
        </w:rPr>
        <w:lastRenderedPageBreak/>
        <w:t>Local</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Transition</w:t>
      </w:r>
      <w:r w:rsidR="00177848" w:rsidRPr="00C6052E">
        <w:rPr>
          <w:lang w:val="en-AU"/>
        </w:rPr>
        <w:t xml:space="preserve"> </w:t>
      </w:r>
      <w:r w:rsidRPr="00C6052E">
        <w:rPr>
          <w:lang w:val="en-AU"/>
        </w:rPr>
        <w:t>Service</w:t>
      </w:r>
      <w:r w:rsidR="00177848" w:rsidRPr="00C6052E">
        <w:rPr>
          <w:lang w:val="en-AU"/>
        </w:rPr>
        <w:t xml:space="preserve"> </w:t>
      </w:r>
      <w:r w:rsidRPr="00C6052E">
        <w:rPr>
          <w:lang w:val="en-AU"/>
        </w:rPr>
        <w:t>–</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over</w:t>
      </w:r>
      <w:r w:rsidR="00177848" w:rsidRPr="00C6052E">
        <w:rPr>
          <w:lang w:val="en-AU"/>
        </w:rPr>
        <w:t xml:space="preserve"> </w:t>
      </w:r>
      <w:r w:rsidRPr="00C6052E">
        <w:rPr>
          <w:lang w:val="en-AU"/>
        </w:rPr>
        <w:t>2,100</w:t>
      </w:r>
      <w:r w:rsidR="00177848" w:rsidRPr="00C6052E">
        <w:rPr>
          <w:lang w:val="en-AU"/>
        </w:rPr>
        <w:t xml:space="preserve"> </w:t>
      </w:r>
      <w:r w:rsidRPr="00C6052E">
        <w:rPr>
          <w:lang w:val="en-AU"/>
        </w:rPr>
        <w:t>workers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assistance,</w:t>
      </w:r>
      <w:r w:rsidR="00177848" w:rsidRPr="00C6052E">
        <w:rPr>
          <w:lang w:val="en-AU"/>
        </w:rPr>
        <w:t xml:space="preserve"> </w:t>
      </w:r>
      <w:r w:rsidRPr="00C6052E">
        <w:rPr>
          <w:lang w:val="en-AU"/>
        </w:rPr>
        <w:t>information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onsite</w:t>
      </w:r>
      <w:r w:rsidR="00177848" w:rsidRPr="00C6052E">
        <w:rPr>
          <w:lang w:val="en-AU"/>
        </w:rPr>
        <w:t xml:space="preserve"> </w:t>
      </w:r>
      <w:r w:rsidRPr="00C6052E">
        <w:rPr>
          <w:lang w:val="en-AU"/>
        </w:rPr>
        <w:t>workshops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help</w:t>
      </w:r>
      <w:r w:rsidR="00177848" w:rsidRPr="00C6052E">
        <w:rPr>
          <w:lang w:val="en-AU"/>
        </w:rPr>
        <w:t xml:space="preserve"> </w:t>
      </w:r>
      <w:r w:rsidRPr="00C6052E">
        <w:rPr>
          <w:lang w:val="en-AU"/>
        </w:rPr>
        <w:t>both</w:t>
      </w:r>
      <w:r w:rsidR="00177848" w:rsidRPr="00C6052E">
        <w:rPr>
          <w:lang w:val="en-AU"/>
        </w:rPr>
        <w:t xml:space="preserve"> </w:t>
      </w:r>
      <w:r w:rsidRPr="00C6052E">
        <w:rPr>
          <w:lang w:val="en-AU"/>
        </w:rPr>
        <w:t>businesses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workers</w:t>
      </w:r>
      <w:r w:rsidR="00177848" w:rsidRPr="00C6052E">
        <w:rPr>
          <w:lang w:val="en-AU"/>
        </w:rPr>
        <w:t xml:space="preserve"> </w:t>
      </w:r>
      <w:r w:rsidRPr="00C6052E">
        <w:rPr>
          <w:lang w:val="en-AU"/>
        </w:rPr>
        <w:t>during</w:t>
      </w:r>
      <w:r w:rsidR="00177848" w:rsidRPr="00C6052E">
        <w:rPr>
          <w:lang w:val="en-AU"/>
        </w:rPr>
        <w:t xml:space="preserve"> </w:t>
      </w:r>
      <w:r w:rsidRPr="00C6052E">
        <w:rPr>
          <w:lang w:val="en-AU"/>
        </w:rPr>
        <w:t>retrenchment</w:t>
      </w:r>
      <w:r w:rsidR="00177848" w:rsidRPr="00C6052E">
        <w:rPr>
          <w:lang w:val="en-AU"/>
        </w:rPr>
        <w:t xml:space="preserve"> </w:t>
      </w:r>
      <w:r w:rsidRPr="00C6052E">
        <w:rPr>
          <w:lang w:val="en-AU"/>
        </w:rPr>
        <w:t>events</w:t>
      </w:r>
    </w:p>
    <w:p w14:paraId="7B94ACB1" w14:textId="75FC3DF4" w:rsidR="00EE5BB8" w:rsidRPr="00C6052E" w:rsidRDefault="00EE5BB8" w:rsidP="00EE5BB8">
      <w:pPr>
        <w:pStyle w:val="Bullet1"/>
        <w:numPr>
          <w:ilvl w:val="0"/>
          <w:numId w:val="1"/>
        </w:numPr>
        <w:spacing w:line="278" w:lineRule="auto"/>
        <w:ind w:left="284" w:hanging="284"/>
        <w:rPr>
          <w:spacing w:val="-2"/>
          <w:lang w:val="en-AU"/>
        </w:rPr>
      </w:pPr>
      <w:r w:rsidRPr="00C6052E">
        <w:rPr>
          <w:spacing w:val="-2"/>
          <w:lang w:val="en-AU"/>
        </w:rPr>
        <w:t>Community</w:t>
      </w:r>
      <w:r w:rsidR="00177848" w:rsidRPr="00C6052E">
        <w:rPr>
          <w:spacing w:val="-2"/>
          <w:lang w:val="en-AU"/>
        </w:rPr>
        <w:t xml:space="preserve"> </w:t>
      </w:r>
      <w:r w:rsidRPr="00C6052E">
        <w:rPr>
          <w:spacing w:val="-2"/>
          <w:lang w:val="en-AU"/>
        </w:rPr>
        <w:t>Revitalisation</w:t>
      </w:r>
      <w:r w:rsidR="00177848" w:rsidRPr="00C6052E">
        <w:rPr>
          <w:spacing w:val="-2"/>
          <w:lang w:val="en-AU"/>
        </w:rPr>
        <w:t xml:space="preserve"> </w:t>
      </w:r>
      <w:r w:rsidRPr="00C6052E">
        <w:rPr>
          <w:spacing w:val="-2"/>
          <w:lang w:val="en-AU"/>
        </w:rPr>
        <w:t>–</w:t>
      </w:r>
      <w:r w:rsidR="00177848" w:rsidRPr="00C6052E">
        <w:rPr>
          <w:spacing w:val="-2"/>
          <w:lang w:val="en-AU"/>
        </w:rPr>
        <w:t xml:space="preserve"> </w:t>
      </w:r>
      <w:r w:rsidRPr="00C6052E">
        <w:rPr>
          <w:spacing w:val="-2"/>
          <w:lang w:val="en-AU"/>
        </w:rPr>
        <w:t>operated</w:t>
      </w:r>
      <w:r w:rsidR="00177848" w:rsidRPr="00C6052E">
        <w:rPr>
          <w:spacing w:val="-2"/>
          <w:lang w:val="en-AU"/>
        </w:rPr>
        <w:t xml:space="preserve"> </w:t>
      </w:r>
      <w:r w:rsidRPr="00C6052E">
        <w:rPr>
          <w:spacing w:val="-2"/>
          <w:lang w:val="en-AU"/>
        </w:rPr>
        <w:t>across</w:t>
      </w:r>
      <w:r w:rsidR="00177848" w:rsidRPr="00C6052E">
        <w:rPr>
          <w:spacing w:val="-2"/>
          <w:lang w:val="en-AU"/>
        </w:rPr>
        <w:t xml:space="preserve"> </w:t>
      </w:r>
      <w:r w:rsidRPr="00C6052E">
        <w:rPr>
          <w:spacing w:val="-2"/>
          <w:lang w:val="en-AU"/>
        </w:rPr>
        <w:t>7</w:t>
      </w:r>
      <w:r w:rsidR="00177848" w:rsidRPr="00C6052E">
        <w:rPr>
          <w:spacing w:val="-2"/>
          <w:lang w:val="en-AU"/>
        </w:rPr>
        <w:t xml:space="preserve"> </w:t>
      </w:r>
      <w:r w:rsidRPr="00C6052E">
        <w:rPr>
          <w:spacing w:val="-2"/>
          <w:lang w:val="en-AU"/>
        </w:rPr>
        <w:t>regions</w:t>
      </w:r>
      <w:r w:rsidR="00177848" w:rsidRPr="00C6052E">
        <w:rPr>
          <w:spacing w:val="-2"/>
          <w:lang w:val="en-AU"/>
        </w:rPr>
        <w:t xml:space="preserve"> </w:t>
      </w:r>
      <w:r w:rsidRPr="00C6052E">
        <w:rPr>
          <w:lang w:val="en-AU"/>
        </w:rPr>
        <w:t>and</w:t>
      </w:r>
      <w:r w:rsidR="00177848" w:rsidRPr="00C6052E">
        <w:rPr>
          <w:lang w:val="en-AU"/>
        </w:rPr>
        <w:t xml:space="preserve"> </w:t>
      </w:r>
      <w:r w:rsidRPr="00C6052E">
        <w:rPr>
          <w:lang w:val="en-AU"/>
        </w:rPr>
        <w:t>improved</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inclusion</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individuals</w:t>
      </w:r>
      <w:r w:rsidR="00177848" w:rsidRPr="00C6052E">
        <w:rPr>
          <w:lang w:val="en-AU"/>
        </w:rPr>
        <w:t xml:space="preserve"> </w:t>
      </w:r>
      <w:r w:rsidRPr="00C6052E">
        <w:rPr>
          <w:lang w:val="en-AU"/>
        </w:rPr>
        <w:t>experiencing</w:t>
      </w:r>
      <w:r w:rsidR="00177848" w:rsidRPr="00C6052E">
        <w:rPr>
          <w:lang w:val="en-AU"/>
        </w:rPr>
        <w:t xml:space="preserve"> </w:t>
      </w:r>
      <w:r w:rsidRPr="00C6052E">
        <w:rPr>
          <w:lang w:val="en-AU"/>
        </w:rPr>
        <w:t>high</w:t>
      </w:r>
      <w:r w:rsidR="00177848" w:rsidRPr="00C6052E">
        <w:rPr>
          <w:lang w:val="en-AU"/>
        </w:rPr>
        <w:t xml:space="preserve"> </w:t>
      </w:r>
      <w:r w:rsidRPr="00C6052E">
        <w:rPr>
          <w:lang w:val="en-AU"/>
        </w:rPr>
        <w:t>disadvantage.</w:t>
      </w:r>
      <w:r w:rsidR="00177848" w:rsidRPr="00C6052E">
        <w:rPr>
          <w:lang w:val="en-AU"/>
        </w:rPr>
        <w:t xml:space="preserve"> </w:t>
      </w:r>
      <w:r w:rsidRPr="00C6052E">
        <w:rPr>
          <w:lang w:val="en-AU"/>
        </w:rPr>
        <w:t>This</w:t>
      </w:r>
      <w:r w:rsidR="00177848" w:rsidRPr="00C6052E">
        <w:rPr>
          <w:lang w:val="en-AU"/>
        </w:rPr>
        <w:t xml:space="preserve"> </w:t>
      </w:r>
      <w:r w:rsidRPr="00C6052E">
        <w:rPr>
          <w:lang w:val="en-AU"/>
        </w:rPr>
        <w:t>included</w:t>
      </w:r>
      <w:r w:rsidR="00177848" w:rsidRPr="00C6052E">
        <w:rPr>
          <w:lang w:val="en-AU"/>
        </w:rPr>
        <w:t xml:space="preserve"> </w:t>
      </w:r>
      <w:r w:rsidRPr="00C6052E">
        <w:rPr>
          <w:lang w:val="en-AU"/>
        </w:rPr>
        <w:t>Flemington</w:t>
      </w:r>
      <w:r w:rsidR="00177848" w:rsidRPr="00C6052E">
        <w:rPr>
          <w:lang w:val="en-AU"/>
        </w:rPr>
        <w:t xml:space="preserve"> </w:t>
      </w:r>
      <w:r w:rsidRPr="00C6052E">
        <w:rPr>
          <w:lang w:val="en-AU"/>
        </w:rPr>
        <w:t>Works,</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increased</w:t>
      </w:r>
      <w:r w:rsidR="00177848" w:rsidRPr="00C6052E">
        <w:rPr>
          <w:lang w:val="en-AU"/>
        </w:rPr>
        <w:t xml:space="preserve"> </w:t>
      </w:r>
      <w:r w:rsidRPr="00C6052E">
        <w:rPr>
          <w:lang w:val="en-AU"/>
        </w:rPr>
        <w:t>economic</w:t>
      </w:r>
      <w:r w:rsidR="00177848" w:rsidRPr="00C6052E">
        <w:rPr>
          <w:spacing w:val="-2"/>
          <w:lang w:val="en-AU"/>
        </w:rPr>
        <w:t xml:space="preserve"> </w:t>
      </w:r>
      <w:r w:rsidRPr="00C6052E">
        <w:rPr>
          <w:spacing w:val="-2"/>
          <w:lang w:val="en-AU"/>
        </w:rPr>
        <w:t>participation</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r w:rsidRPr="00C6052E">
        <w:rPr>
          <w:spacing w:val="-2"/>
          <w:lang w:val="en-AU"/>
        </w:rPr>
        <w:t>created</w:t>
      </w:r>
      <w:r w:rsidR="00177848" w:rsidRPr="00C6052E">
        <w:rPr>
          <w:spacing w:val="-2"/>
          <w:lang w:val="en-AU"/>
        </w:rPr>
        <w:t xml:space="preserve"> </w:t>
      </w:r>
      <w:r w:rsidRPr="00C6052E">
        <w:rPr>
          <w:spacing w:val="-2"/>
          <w:lang w:val="en-AU"/>
        </w:rPr>
        <w:t>employment</w:t>
      </w:r>
      <w:r w:rsidR="00177848" w:rsidRPr="00C6052E">
        <w:rPr>
          <w:spacing w:val="-2"/>
          <w:lang w:val="en-AU"/>
        </w:rPr>
        <w:t xml:space="preserve"> </w:t>
      </w:r>
      <w:r w:rsidRPr="00C6052E">
        <w:rPr>
          <w:spacing w:val="-2"/>
          <w:lang w:val="en-AU"/>
        </w:rPr>
        <w:t>opportunities</w:t>
      </w:r>
      <w:r w:rsidR="00177848" w:rsidRPr="00C6052E">
        <w:rPr>
          <w:spacing w:val="-2"/>
          <w:lang w:val="en-AU"/>
        </w:rPr>
        <w:t xml:space="preserve"> </w:t>
      </w:r>
      <w:r w:rsidRPr="00C6052E">
        <w:rPr>
          <w:lang w:val="en-AU"/>
        </w:rPr>
        <w:t>for</w:t>
      </w:r>
      <w:r w:rsidR="00177848" w:rsidRPr="00C6052E">
        <w:rPr>
          <w:lang w:val="en-AU"/>
        </w:rPr>
        <w:t xml:space="preserve"> </w:t>
      </w:r>
      <w:r w:rsidRPr="00C6052E">
        <w:rPr>
          <w:lang w:val="en-AU"/>
        </w:rPr>
        <w:t>women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young</w:t>
      </w:r>
      <w:r w:rsidR="00177848" w:rsidRPr="00C6052E">
        <w:rPr>
          <w:lang w:val="en-AU"/>
        </w:rPr>
        <w:t xml:space="preserve"> </w:t>
      </w:r>
      <w:r w:rsidRPr="00C6052E">
        <w:rPr>
          <w:lang w:val="en-AU"/>
        </w:rPr>
        <w:t>people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public</w:t>
      </w:r>
      <w:r w:rsidR="00177848" w:rsidRPr="00C6052E">
        <w:rPr>
          <w:lang w:val="en-AU"/>
        </w:rPr>
        <w:t xml:space="preserve"> </w:t>
      </w:r>
      <w:r w:rsidRPr="00C6052E">
        <w:rPr>
          <w:lang w:val="en-AU"/>
        </w:rPr>
        <w:t>housing</w:t>
      </w:r>
      <w:r w:rsidR="00177848" w:rsidRPr="00C6052E">
        <w:rPr>
          <w:lang w:val="en-AU"/>
        </w:rPr>
        <w:t xml:space="preserve"> </w:t>
      </w:r>
    </w:p>
    <w:p w14:paraId="11B1F2C5" w14:textId="495CB6BD" w:rsidR="00EE5BB8" w:rsidRPr="00C6052E" w:rsidRDefault="00EE5BB8" w:rsidP="00EE5BB8">
      <w:pPr>
        <w:pStyle w:val="Bullet1last"/>
        <w:keepLines/>
        <w:numPr>
          <w:ilvl w:val="0"/>
          <w:numId w:val="1"/>
        </w:numPr>
        <w:spacing w:line="278" w:lineRule="auto"/>
        <w:ind w:left="284" w:hanging="284"/>
        <w:rPr>
          <w:lang w:val="en-AU"/>
        </w:rPr>
      </w:pPr>
      <w:r w:rsidRPr="00C6052E">
        <w:rPr>
          <w:lang w:val="en-AU"/>
        </w:rPr>
        <w:t>Social</w:t>
      </w:r>
      <w:r w:rsidR="00177848" w:rsidRPr="00C6052E">
        <w:rPr>
          <w:lang w:val="en-AU"/>
        </w:rPr>
        <w:t xml:space="preserve"> </w:t>
      </w:r>
      <w:r w:rsidRPr="00C6052E">
        <w:rPr>
          <w:lang w:val="en-AU"/>
        </w:rPr>
        <w:t>Enterprise</w:t>
      </w:r>
      <w:r w:rsidR="00177848" w:rsidRPr="00C6052E">
        <w:rPr>
          <w:lang w:val="en-AU"/>
        </w:rPr>
        <w:t xml:space="preserve"> </w:t>
      </w:r>
      <w:r w:rsidRPr="00C6052E">
        <w:rPr>
          <w:lang w:val="en-AU"/>
        </w:rPr>
        <w:t>–</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growth</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social</w:t>
      </w:r>
      <w:r w:rsidR="00177848" w:rsidRPr="00C6052E">
        <w:rPr>
          <w:lang w:val="en-AU"/>
        </w:rPr>
        <w:t xml:space="preserve"> </w:t>
      </w:r>
      <w:r w:rsidRPr="00C6052E">
        <w:rPr>
          <w:lang w:val="en-AU"/>
        </w:rPr>
        <w:t>enterprise</w:t>
      </w:r>
      <w:r w:rsidR="00177848" w:rsidRPr="00C6052E">
        <w:rPr>
          <w:lang w:val="en-AU"/>
        </w:rPr>
        <w:t xml:space="preserve"> </w:t>
      </w:r>
      <w:r w:rsidRPr="00C6052E">
        <w:rPr>
          <w:lang w:val="en-AU"/>
        </w:rPr>
        <w:t>ecosystem</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direct</w:t>
      </w:r>
      <w:r w:rsidR="00177848" w:rsidRPr="00C6052E">
        <w:rPr>
          <w:lang w:val="en-AU"/>
        </w:rPr>
        <w:t xml:space="preserve"> </w:t>
      </w:r>
      <w:r w:rsidRPr="00C6052E">
        <w:rPr>
          <w:lang w:val="en-AU"/>
        </w:rPr>
        <w:t>funding</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individual</w:t>
      </w:r>
      <w:r w:rsidR="00177848" w:rsidRPr="00C6052E">
        <w:rPr>
          <w:lang w:val="en-AU"/>
        </w:rPr>
        <w:t xml:space="preserve"> </w:t>
      </w:r>
      <w:r w:rsidRPr="00C6052E">
        <w:rPr>
          <w:lang w:val="en-AU"/>
        </w:rPr>
        <w:t>social</w:t>
      </w:r>
      <w:r w:rsidR="00177848" w:rsidRPr="00C6052E">
        <w:rPr>
          <w:lang w:val="en-AU"/>
        </w:rPr>
        <w:t xml:space="preserve"> </w:t>
      </w:r>
      <w:r w:rsidRPr="00C6052E">
        <w:rPr>
          <w:lang w:val="en-AU"/>
        </w:rPr>
        <w:t>enterprises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innovate,</w:t>
      </w:r>
      <w:r w:rsidR="00177848" w:rsidRPr="00C6052E">
        <w:rPr>
          <w:lang w:val="en-AU"/>
        </w:rPr>
        <w:t xml:space="preserve"> </w:t>
      </w:r>
      <w:r w:rsidRPr="00C6052E">
        <w:rPr>
          <w:lang w:val="en-AU"/>
        </w:rPr>
        <w:t>grow</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scale.</w:t>
      </w:r>
      <w:r w:rsidR="00177848" w:rsidRPr="00C6052E">
        <w:rPr>
          <w:lang w:val="en-AU"/>
        </w:rPr>
        <w:t xml:space="preserve"> </w:t>
      </w:r>
      <w:r w:rsidRPr="00C6052E">
        <w:rPr>
          <w:lang w:val="en-AU"/>
        </w:rPr>
        <w:t>This</w:t>
      </w:r>
      <w:r w:rsidR="00177848" w:rsidRPr="00C6052E">
        <w:rPr>
          <w:lang w:val="en-AU"/>
        </w:rPr>
        <w:t xml:space="preserve"> </w:t>
      </w:r>
      <w:r w:rsidRPr="00C6052E">
        <w:rPr>
          <w:lang w:val="en-AU"/>
        </w:rPr>
        <w:t>included</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Spark</w:t>
      </w:r>
      <w:r w:rsidR="00177848" w:rsidRPr="00C6052E">
        <w:rPr>
          <w:lang w:val="en-AU"/>
        </w:rPr>
        <w:t xml:space="preserve"> </w:t>
      </w:r>
      <w:r w:rsidRPr="00C6052E">
        <w:rPr>
          <w:lang w:val="en-AU"/>
        </w:rPr>
        <w:t>kiosk</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Mildura,</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sold</w:t>
      </w:r>
      <w:r w:rsidR="00177848" w:rsidRPr="00C6052E">
        <w:rPr>
          <w:lang w:val="en-AU"/>
        </w:rPr>
        <w:t xml:space="preserve"> </w:t>
      </w:r>
      <w:r w:rsidRPr="00C6052E">
        <w:rPr>
          <w:lang w:val="en-AU"/>
        </w:rPr>
        <w:t>goods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Queen</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Market’s</w:t>
      </w:r>
      <w:r w:rsidR="00177848" w:rsidRPr="00C6052E">
        <w:rPr>
          <w:lang w:val="en-AU"/>
        </w:rPr>
        <w:t xml:space="preserve"> </w:t>
      </w:r>
      <w:r w:rsidRPr="00C6052E">
        <w:rPr>
          <w:lang w:val="en-AU"/>
        </w:rPr>
        <w:t>Purpose</w:t>
      </w:r>
      <w:r w:rsidR="00177848" w:rsidRPr="00C6052E">
        <w:rPr>
          <w:lang w:val="en-AU"/>
        </w:rPr>
        <w:t xml:space="preserve"> </w:t>
      </w:r>
      <w:r w:rsidRPr="00C6052E">
        <w:rPr>
          <w:lang w:val="en-AU"/>
        </w:rPr>
        <w:t>Precinct.</w:t>
      </w:r>
      <w:r w:rsidR="00177848" w:rsidRPr="00C6052E">
        <w:rPr>
          <w:lang w:val="en-AU"/>
        </w:rPr>
        <w:t xml:space="preserve"> </w:t>
      </w:r>
    </w:p>
    <w:p w14:paraId="72BB3BC4" w14:textId="683F4C6E" w:rsidR="00EE5BB8" w:rsidRPr="00C6052E" w:rsidRDefault="00EE5BB8" w:rsidP="00EE5BB8">
      <w:pPr>
        <w:pStyle w:val="Heading5"/>
        <w:numPr>
          <w:ilvl w:val="0"/>
          <w:numId w:val="0"/>
        </w:numPr>
      </w:pPr>
      <w:r w:rsidRPr="00C6052E">
        <w:t>Local</w:t>
      </w:r>
      <w:r w:rsidR="00177848" w:rsidRPr="00C6052E">
        <w:t xml:space="preserve"> </w:t>
      </w:r>
      <w:r w:rsidRPr="00C6052E">
        <w:t>Jobs</w:t>
      </w:r>
      <w:r w:rsidR="00177848" w:rsidRPr="00C6052E">
        <w:t xml:space="preserve"> </w:t>
      </w:r>
      <w:r w:rsidRPr="00C6052E">
        <w:t>First</w:t>
      </w:r>
    </w:p>
    <w:p w14:paraId="13F0C3FE" w14:textId="7D977377" w:rsidR="00EE5BB8" w:rsidRPr="00C6052E" w:rsidRDefault="00EE5BB8" w:rsidP="00EE5BB8">
      <w:r w:rsidRPr="00C6052E">
        <w:t>The</w:t>
      </w:r>
      <w:r w:rsidR="00177848" w:rsidRPr="00C6052E">
        <w:t xml:space="preserve"> </w:t>
      </w:r>
      <w:r w:rsidRPr="00C6052E">
        <w:t>Local</w:t>
      </w:r>
      <w:r w:rsidR="00177848" w:rsidRPr="00C6052E">
        <w:t xml:space="preserve"> </w:t>
      </w:r>
      <w:r w:rsidRPr="00C6052E">
        <w:t>Jobs</w:t>
      </w:r>
      <w:r w:rsidR="00177848" w:rsidRPr="00C6052E">
        <w:t xml:space="preserve"> </w:t>
      </w:r>
      <w:r w:rsidRPr="00C6052E">
        <w:t>First</w:t>
      </w:r>
      <w:r w:rsidR="00177848" w:rsidRPr="00C6052E">
        <w:t xml:space="preserve"> </w:t>
      </w:r>
      <w:r w:rsidRPr="00C6052E">
        <w:t>policy</w:t>
      </w:r>
      <w:r w:rsidR="00177848" w:rsidRPr="00C6052E">
        <w:t xml:space="preserve"> </w:t>
      </w:r>
      <w:r w:rsidRPr="00C6052E">
        <w:t>continued</w:t>
      </w:r>
      <w:r w:rsidR="00177848" w:rsidRPr="00C6052E">
        <w:t xml:space="preserve"> </w:t>
      </w:r>
      <w:r w:rsidRPr="00C6052E">
        <w:t>to</w:t>
      </w:r>
      <w:r w:rsidR="00177848" w:rsidRPr="00C6052E">
        <w:t xml:space="preserve"> </w:t>
      </w:r>
      <w:r w:rsidRPr="00C6052E">
        <w:t>support</w:t>
      </w:r>
      <w:r w:rsidR="00177848" w:rsidRPr="00C6052E">
        <w:t xml:space="preserve"> </w:t>
      </w:r>
      <w:r w:rsidRPr="00C6052E">
        <w:t>local</w:t>
      </w:r>
      <w:r w:rsidR="00177848" w:rsidRPr="00C6052E">
        <w:t xml:space="preserve"> </w:t>
      </w:r>
      <w:r w:rsidRPr="00C6052E">
        <w:t>businesses</w:t>
      </w:r>
      <w:r w:rsidR="00177848" w:rsidRPr="00C6052E">
        <w:t xml:space="preserve"> </w:t>
      </w:r>
      <w:r w:rsidRPr="00C6052E">
        <w:t>and</w:t>
      </w:r>
      <w:r w:rsidR="00177848" w:rsidRPr="00C6052E">
        <w:t xml:space="preserve"> </w:t>
      </w:r>
      <w:r w:rsidRPr="00C6052E">
        <w:t>workers</w:t>
      </w:r>
      <w:r w:rsidR="00177848" w:rsidRPr="00C6052E">
        <w:t xml:space="preserve"> </w:t>
      </w:r>
      <w:r w:rsidRPr="00C6052E">
        <w:t>to</w:t>
      </w:r>
      <w:r w:rsidR="00177848" w:rsidRPr="00C6052E">
        <w:t xml:space="preserve"> </w:t>
      </w:r>
      <w:r w:rsidRPr="00C6052E">
        <w:t>compete</w:t>
      </w:r>
      <w:r w:rsidR="00177848" w:rsidRPr="00C6052E">
        <w:t xml:space="preserve"> </w:t>
      </w:r>
      <w:r w:rsidRPr="00C6052E">
        <w:t>for</w:t>
      </w:r>
      <w:r w:rsidR="00177848" w:rsidRPr="00C6052E">
        <w:t xml:space="preserve"> </w:t>
      </w:r>
      <w:r w:rsidRPr="00C6052E">
        <w:t>work</w:t>
      </w:r>
      <w:r w:rsidR="00177848" w:rsidRPr="00C6052E">
        <w:t xml:space="preserve"> </w:t>
      </w:r>
      <w:r w:rsidRPr="00C6052E">
        <w:t>on</w:t>
      </w:r>
      <w:r w:rsidR="00177848" w:rsidRPr="00C6052E">
        <w:t xml:space="preserve"> </w:t>
      </w:r>
      <w:r w:rsidRPr="00C6052E">
        <w:t>government</w:t>
      </w:r>
      <w:r w:rsidR="00177848" w:rsidRPr="00C6052E">
        <w:t xml:space="preserve"> </w:t>
      </w:r>
      <w:r w:rsidRPr="00C6052E">
        <w:t>contracts.</w:t>
      </w:r>
      <w:r w:rsidR="00177848" w:rsidRPr="00C6052E">
        <w:t xml:space="preserve"> </w:t>
      </w:r>
      <w:r w:rsidRPr="00C6052E">
        <w:t>In</w:t>
      </w:r>
      <w:r w:rsidR="00177848" w:rsidRPr="00C6052E">
        <w:t xml:space="preserve"> </w:t>
      </w:r>
      <w:r w:rsidRPr="00C6052E">
        <w:t>2024–25,</w:t>
      </w:r>
      <w:r w:rsidR="00177848" w:rsidRPr="00C6052E">
        <w:t xml:space="preserve"> </w:t>
      </w:r>
      <w:r w:rsidRPr="00C6052E">
        <w:t>793</w:t>
      </w:r>
      <w:r w:rsidR="00177848" w:rsidRPr="00C6052E">
        <w:t xml:space="preserve"> </w:t>
      </w:r>
      <w:r w:rsidRPr="00C6052E">
        <w:t>industry</w:t>
      </w:r>
      <w:r w:rsidR="00177848" w:rsidRPr="00C6052E">
        <w:t xml:space="preserve"> </w:t>
      </w:r>
      <w:r w:rsidRPr="00C6052E">
        <w:t>stakeholders</w:t>
      </w:r>
      <w:r w:rsidR="00177848" w:rsidRPr="00C6052E">
        <w:t xml:space="preserve"> </w:t>
      </w:r>
      <w:r w:rsidRPr="00C6052E">
        <w:t>engaged</w:t>
      </w:r>
      <w:r w:rsidR="00177848" w:rsidRPr="00C6052E">
        <w:t xml:space="preserve"> </w:t>
      </w:r>
      <w:r w:rsidRPr="00C6052E">
        <w:t>with</w:t>
      </w:r>
      <w:r w:rsidR="00177848" w:rsidRPr="00C6052E">
        <w:t xml:space="preserve"> </w:t>
      </w:r>
      <w:r w:rsidRPr="00C6052E">
        <w:t>the</w:t>
      </w:r>
      <w:r w:rsidR="00177848" w:rsidRPr="00C6052E">
        <w:t xml:space="preserve"> </w:t>
      </w:r>
      <w:r w:rsidRPr="00C6052E">
        <w:t>Local</w:t>
      </w:r>
      <w:r w:rsidR="00177848" w:rsidRPr="00C6052E">
        <w:t xml:space="preserve"> </w:t>
      </w:r>
      <w:r w:rsidRPr="00C6052E">
        <w:t>Jobs</w:t>
      </w:r>
      <w:r w:rsidR="00177848" w:rsidRPr="00C6052E">
        <w:t xml:space="preserve"> </w:t>
      </w:r>
      <w:r w:rsidRPr="00C6052E">
        <w:t>First</w:t>
      </w:r>
      <w:r w:rsidR="00177848" w:rsidRPr="00C6052E">
        <w:t xml:space="preserve"> </w:t>
      </w:r>
      <w:r w:rsidRPr="00C6052E">
        <w:t>policy,</w:t>
      </w:r>
      <w:r w:rsidR="00177848" w:rsidRPr="00C6052E">
        <w:t xml:space="preserve"> </w:t>
      </w:r>
      <w:r w:rsidRPr="00C6052E">
        <w:t>and</w:t>
      </w:r>
      <w:r w:rsidR="00177848" w:rsidRPr="00C6052E">
        <w:t xml:space="preserve"> </w:t>
      </w:r>
      <w:r w:rsidRPr="00C6052E">
        <w:t>the</w:t>
      </w:r>
      <w:r w:rsidR="00177848" w:rsidRPr="00C6052E">
        <w:t xml:space="preserve"> </w:t>
      </w:r>
      <w:r w:rsidRPr="00C6052E">
        <w:t>government</w:t>
      </w:r>
      <w:r w:rsidR="00177848" w:rsidRPr="00C6052E">
        <w:t xml:space="preserve"> </w:t>
      </w:r>
      <w:r w:rsidRPr="00C6052E">
        <w:t>set</w:t>
      </w:r>
      <w:r w:rsidR="00177848" w:rsidRPr="00C6052E">
        <w:t xml:space="preserve"> </w:t>
      </w:r>
      <w:r w:rsidRPr="00C6052E">
        <w:t>local</w:t>
      </w:r>
      <w:r w:rsidR="00177848" w:rsidRPr="00C6052E">
        <w:t xml:space="preserve"> </w:t>
      </w:r>
      <w:r w:rsidRPr="00C6052E">
        <w:t>content</w:t>
      </w:r>
      <w:r w:rsidR="00177848" w:rsidRPr="00C6052E">
        <w:t xml:space="preserve"> </w:t>
      </w:r>
      <w:r w:rsidRPr="00C6052E">
        <w:t>requirements</w:t>
      </w:r>
      <w:r w:rsidR="00177848" w:rsidRPr="00C6052E">
        <w:t xml:space="preserve"> </w:t>
      </w:r>
      <w:r w:rsidRPr="00C6052E">
        <w:t>under</w:t>
      </w:r>
      <w:r w:rsidR="00177848" w:rsidRPr="00C6052E">
        <w:t xml:space="preserve"> </w:t>
      </w:r>
      <w:r w:rsidRPr="00C6052E">
        <w:t>the</w:t>
      </w:r>
      <w:r w:rsidR="00177848" w:rsidRPr="00C6052E">
        <w:t xml:space="preserve"> </w:t>
      </w:r>
      <w:r w:rsidRPr="00C6052E">
        <w:t>policy</w:t>
      </w:r>
      <w:r w:rsidR="00177848" w:rsidRPr="00C6052E">
        <w:t xml:space="preserve"> </w:t>
      </w:r>
      <w:r w:rsidRPr="00C6052E">
        <w:t>for</w:t>
      </w:r>
      <w:r w:rsidR="00177848" w:rsidRPr="00C6052E">
        <w:t xml:space="preserve"> </w:t>
      </w:r>
      <w:r w:rsidRPr="00C6052E">
        <w:t>44</w:t>
      </w:r>
      <w:r w:rsidR="00177848" w:rsidRPr="00C6052E">
        <w:t xml:space="preserve"> </w:t>
      </w:r>
      <w:r w:rsidRPr="00C6052E">
        <w:t>Local</w:t>
      </w:r>
      <w:r w:rsidR="00177848" w:rsidRPr="00C6052E">
        <w:t xml:space="preserve"> </w:t>
      </w:r>
      <w:r w:rsidRPr="00C6052E">
        <w:t>Jobs</w:t>
      </w:r>
      <w:r w:rsidR="00177848" w:rsidRPr="00C6052E">
        <w:t xml:space="preserve"> </w:t>
      </w:r>
      <w:r w:rsidRPr="00C6052E">
        <w:t>First</w:t>
      </w:r>
      <w:r w:rsidR="00177848" w:rsidRPr="00C6052E">
        <w:t xml:space="preserve"> </w:t>
      </w:r>
      <w:r w:rsidRPr="00C6052E">
        <w:t>Strategic</w:t>
      </w:r>
      <w:r w:rsidR="00177848" w:rsidRPr="00C6052E">
        <w:t xml:space="preserve"> </w:t>
      </w:r>
      <w:r w:rsidRPr="00C6052E">
        <w:t>Projects,</w:t>
      </w:r>
      <w:r w:rsidR="00177848" w:rsidRPr="00C6052E">
        <w:t xml:space="preserve"> </w:t>
      </w:r>
      <w:r w:rsidRPr="00C6052E">
        <w:t>with</w:t>
      </w:r>
      <w:r w:rsidR="00177848" w:rsidRPr="00C6052E">
        <w:t xml:space="preserve"> </w:t>
      </w:r>
      <w:r w:rsidRPr="00C6052E">
        <w:t>a</w:t>
      </w:r>
      <w:r w:rsidR="00177848" w:rsidRPr="00C6052E">
        <w:t xml:space="preserve"> </w:t>
      </w:r>
      <w:r w:rsidRPr="00C6052E">
        <w:t>combined</w:t>
      </w:r>
      <w:r w:rsidR="00177848" w:rsidRPr="00C6052E">
        <w:t xml:space="preserve"> </w:t>
      </w:r>
      <w:r w:rsidRPr="00C6052E">
        <w:t>total</w:t>
      </w:r>
      <w:r w:rsidR="00177848" w:rsidRPr="00C6052E">
        <w:t xml:space="preserve"> </w:t>
      </w:r>
      <w:r w:rsidRPr="00C6052E">
        <w:t>value</w:t>
      </w:r>
      <w:r w:rsidR="00177848" w:rsidRPr="00C6052E">
        <w:t xml:space="preserve"> </w:t>
      </w:r>
      <w:r w:rsidRPr="00C6052E">
        <w:t>of</w:t>
      </w:r>
      <w:r w:rsidR="00177848" w:rsidRPr="00C6052E">
        <w:t xml:space="preserve"> </w:t>
      </w:r>
      <w:r w:rsidRPr="00C6052E">
        <w:t>$14.82</w:t>
      </w:r>
      <w:r w:rsidR="00177848" w:rsidRPr="00C6052E">
        <w:t xml:space="preserve"> </w:t>
      </w:r>
      <w:r w:rsidRPr="00C6052E">
        <w:t>billion.</w:t>
      </w:r>
      <w:r w:rsidR="00177848" w:rsidRPr="00C6052E">
        <w:t xml:space="preserve"> </w:t>
      </w:r>
    </w:p>
    <w:p w14:paraId="169BAF6F" w14:textId="78C82EBC" w:rsidR="00EE5BB8" w:rsidRPr="00C6052E" w:rsidRDefault="00EE5BB8" w:rsidP="00EE5BB8">
      <w:pPr>
        <w:pStyle w:val="Heading5"/>
        <w:numPr>
          <w:ilvl w:val="0"/>
          <w:numId w:val="0"/>
        </w:numPr>
      </w:pPr>
      <w:r w:rsidRPr="00C6052E">
        <w:t>Major</w:t>
      </w:r>
      <w:r w:rsidR="00177848" w:rsidRPr="00C6052E">
        <w:t xml:space="preserve"> </w:t>
      </w:r>
      <w:r w:rsidRPr="00C6052E">
        <w:t>Projects</w:t>
      </w:r>
      <w:r w:rsidR="00177848" w:rsidRPr="00C6052E">
        <w:t xml:space="preserve"> </w:t>
      </w:r>
      <w:r w:rsidRPr="00C6052E">
        <w:t>Skills</w:t>
      </w:r>
      <w:r w:rsidR="00177848" w:rsidRPr="00C6052E">
        <w:t xml:space="preserve"> </w:t>
      </w:r>
      <w:r w:rsidRPr="00C6052E">
        <w:t>Guarantee</w:t>
      </w:r>
      <w:r w:rsidR="00177848" w:rsidRPr="00C6052E">
        <w:t xml:space="preserve"> </w:t>
      </w:r>
      <w:r w:rsidRPr="00C6052E">
        <w:t>(MPSG)</w:t>
      </w:r>
    </w:p>
    <w:p w14:paraId="6DA5E5BA" w14:textId="3D1CA9D5" w:rsidR="00EE5BB8" w:rsidRPr="00C6052E" w:rsidRDefault="00EE5BB8" w:rsidP="00EE5BB8">
      <w:r w:rsidRPr="00C6052E">
        <w:t>Since</w:t>
      </w:r>
      <w:r w:rsidR="00177848" w:rsidRPr="00C6052E">
        <w:t xml:space="preserve"> </w:t>
      </w:r>
      <w:r w:rsidRPr="00C6052E">
        <w:t>launching</w:t>
      </w:r>
      <w:r w:rsidR="00177848" w:rsidRPr="00C6052E">
        <w:t xml:space="preserve"> </w:t>
      </w:r>
      <w:r w:rsidRPr="00C6052E">
        <w:t>in</w:t>
      </w:r>
      <w:r w:rsidR="00177848" w:rsidRPr="00C6052E">
        <w:t xml:space="preserve"> </w:t>
      </w:r>
      <w:r w:rsidRPr="00C6052E">
        <w:t>2016,</w:t>
      </w:r>
      <w:r w:rsidR="00177848" w:rsidRPr="00C6052E">
        <w:t xml:space="preserve"> </w:t>
      </w:r>
      <w:r w:rsidRPr="00C6052E">
        <w:t>the</w:t>
      </w:r>
      <w:r w:rsidR="00177848" w:rsidRPr="00C6052E">
        <w:t xml:space="preserve"> </w:t>
      </w:r>
      <w:r w:rsidRPr="00C6052E">
        <w:t>MPSG,</w:t>
      </w:r>
      <w:r w:rsidR="00177848" w:rsidRPr="00C6052E">
        <w:t xml:space="preserve"> </w:t>
      </w:r>
      <w:r w:rsidRPr="00C6052E">
        <w:t>which</w:t>
      </w:r>
      <w:r w:rsidR="00177848" w:rsidRPr="00C6052E">
        <w:t xml:space="preserve"> </w:t>
      </w:r>
      <w:r w:rsidRPr="00C6052E">
        <w:t>provides</w:t>
      </w:r>
      <w:r w:rsidR="00177848" w:rsidRPr="00C6052E">
        <w:t xml:space="preserve"> </w:t>
      </w:r>
      <w:r w:rsidRPr="00C6052E">
        <w:t>opportunities</w:t>
      </w:r>
      <w:r w:rsidR="00177848" w:rsidRPr="00C6052E">
        <w:t xml:space="preserve"> </w:t>
      </w:r>
      <w:r w:rsidRPr="00C6052E">
        <w:t>to</w:t>
      </w:r>
      <w:r w:rsidR="00177848" w:rsidRPr="00C6052E">
        <w:t xml:space="preserve"> </w:t>
      </w:r>
      <w:r w:rsidRPr="00C6052E">
        <w:t>Victorian</w:t>
      </w:r>
      <w:r w:rsidR="00177848" w:rsidRPr="00C6052E">
        <w:t xml:space="preserve"> </w:t>
      </w:r>
      <w:r w:rsidRPr="00C6052E">
        <w:t>apprentices,</w:t>
      </w:r>
      <w:r w:rsidR="00177848" w:rsidRPr="00C6052E">
        <w:t xml:space="preserve"> </w:t>
      </w:r>
      <w:r w:rsidRPr="00C6052E">
        <w:t>trainees</w:t>
      </w:r>
      <w:r w:rsidR="00177848" w:rsidRPr="00C6052E">
        <w:t xml:space="preserve"> </w:t>
      </w:r>
      <w:r w:rsidRPr="00C6052E">
        <w:t>and</w:t>
      </w:r>
      <w:r w:rsidR="00177848" w:rsidRPr="00C6052E">
        <w:t xml:space="preserve"> </w:t>
      </w:r>
      <w:r w:rsidRPr="00C6052E">
        <w:t>cadets</w:t>
      </w:r>
      <w:r w:rsidR="00177848" w:rsidRPr="00C6052E">
        <w:t xml:space="preserve"> </w:t>
      </w:r>
      <w:r w:rsidRPr="00C6052E">
        <w:t>(ATCs)</w:t>
      </w:r>
      <w:r w:rsidR="00177848" w:rsidRPr="00C6052E">
        <w:t xml:space="preserve"> </w:t>
      </w:r>
      <w:r w:rsidRPr="00C6052E">
        <w:t>to</w:t>
      </w:r>
      <w:r w:rsidR="00177848" w:rsidRPr="00C6052E">
        <w:t xml:space="preserve"> </w:t>
      </w:r>
      <w:r w:rsidRPr="00C6052E">
        <w:t>work</w:t>
      </w:r>
      <w:r w:rsidR="00177848" w:rsidRPr="00C6052E">
        <w:t xml:space="preserve"> </w:t>
      </w:r>
      <w:r w:rsidRPr="00C6052E">
        <w:t>on</w:t>
      </w:r>
      <w:r w:rsidR="00177848" w:rsidRPr="00C6052E">
        <w:t xml:space="preserve"> </w:t>
      </w:r>
      <w:r w:rsidRPr="00C6052E">
        <w:t>high-value</w:t>
      </w:r>
      <w:r w:rsidR="00177848" w:rsidRPr="00C6052E">
        <w:t xml:space="preserve"> </w:t>
      </w:r>
      <w:r w:rsidRPr="00C6052E">
        <w:t>government</w:t>
      </w:r>
      <w:r w:rsidR="00177848" w:rsidRPr="00C6052E">
        <w:t xml:space="preserve"> </w:t>
      </w:r>
      <w:r w:rsidRPr="00C6052E">
        <w:t>construction</w:t>
      </w:r>
      <w:r w:rsidR="00177848" w:rsidRPr="00C6052E">
        <w:t xml:space="preserve"> </w:t>
      </w:r>
      <w:r w:rsidRPr="00C6052E">
        <w:t>projects,</w:t>
      </w:r>
      <w:r w:rsidR="00177848" w:rsidRPr="00C6052E">
        <w:t xml:space="preserve"> </w:t>
      </w:r>
      <w:r w:rsidRPr="00C6052E">
        <w:t>has</w:t>
      </w:r>
      <w:r w:rsidR="00177848" w:rsidRPr="00C6052E">
        <w:t xml:space="preserve"> </w:t>
      </w:r>
      <w:r w:rsidRPr="00C6052E">
        <w:t>applied</w:t>
      </w:r>
      <w:r w:rsidR="00177848" w:rsidRPr="00C6052E">
        <w:t xml:space="preserve"> </w:t>
      </w:r>
      <w:r w:rsidRPr="00C6052E">
        <w:t>to</w:t>
      </w:r>
      <w:r w:rsidR="00177848" w:rsidRPr="00C6052E">
        <w:t xml:space="preserve"> </w:t>
      </w:r>
      <w:r w:rsidRPr="00C6052E">
        <w:t>480</w:t>
      </w:r>
      <w:r w:rsidR="00177848" w:rsidRPr="00C6052E">
        <w:t xml:space="preserve"> </w:t>
      </w:r>
      <w:r w:rsidRPr="00C6052E">
        <w:t>projects</w:t>
      </w:r>
      <w:r w:rsidR="00177848" w:rsidRPr="00C6052E">
        <w:t xml:space="preserve"> </w:t>
      </w:r>
      <w:r w:rsidRPr="00C6052E">
        <w:t>worth</w:t>
      </w:r>
      <w:r w:rsidR="00177848" w:rsidRPr="00C6052E">
        <w:t xml:space="preserve"> </w:t>
      </w:r>
      <w:r w:rsidRPr="00C6052E">
        <w:t>a</w:t>
      </w:r>
      <w:r w:rsidR="00177848" w:rsidRPr="00C6052E">
        <w:t xml:space="preserve"> </w:t>
      </w:r>
      <w:r w:rsidRPr="00C6052E">
        <w:t>combined</w:t>
      </w:r>
      <w:r w:rsidR="00177848" w:rsidRPr="00C6052E">
        <w:t xml:space="preserve"> </w:t>
      </w:r>
      <w:r w:rsidRPr="00C6052E">
        <w:t>value</w:t>
      </w:r>
      <w:r w:rsidR="00177848" w:rsidRPr="00C6052E">
        <w:t xml:space="preserve"> </w:t>
      </w:r>
      <w:r w:rsidRPr="00C6052E">
        <w:t>of</w:t>
      </w:r>
      <w:r w:rsidR="00177848" w:rsidRPr="00C6052E">
        <w:t xml:space="preserve"> </w:t>
      </w:r>
      <w:r w:rsidRPr="00C6052E">
        <w:t>$182.9</w:t>
      </w:r>
      <w:r w:rsidR="00177848" w:rsidRPr="00C6052E">
        <w:t xml:space="preserve"> </w:t>
      </w:r>
      <w:r w:rsidRPr="00C6052E">
        <w:t>billion.</w:t>
      </w:r>
      <w:r w:rsidR="00177848" w:rsidRPr="00C6052E">
        <w:t xml:space="preserve"> </w:t>
      </w:r>
      <w:r w:rsidRPr="00C6052E">
        <w:t>In</w:t>
      </w:r>
      <w:r w:rsidR="00177848" w:rsidRPr="00C6052E">
        <w:t xml:space="preserve"> </w:t>
      </w:r>
      <w:r w:rsidRPr="00C6052E">
        <w:t>the</w:t>
      </w:r>
      <w:r w:rsidR="00177848" w:rsidRPr="00C6052E">
        <w:t xml:space="preserve"> </w:t>
      </w:r>
      <w:r w:rsidRPr="00C6052E">
        <w:t>12</w:t>
      </w:r>
      <w:r w:rsidR="00177848" w:rsidRPr="00C6052E">
        <w:t xml:space="preserve"> </w:t>
      </w:r>
      <w:r w:rsidRPr="00C6052E">
        <w:t>months</w:t>
      </w:r>
      <w:r w:rsidR="00177848" w:rsidRPr="00C6052E">
        <w:t xml:space="preserve"> </w:t>
      </w:r>
      <w:r w:rsidRPr="00C6052E">
        <w:t>to</w:t>
      </w:r>
      <w:r w:rsidR="00177848" w:rsidRPr="00C6052E">
        <w:t xml:space="preserve"> </w:t>
      </w:r>
      <w:r w:rsidRPr="00C6052E">
        <w:t>30</w:t>
      </w:r>
      <w:r w:rsidR="00177848" w:rsidRPr="00C6052E">
        <w:t xml:space="preserve"> </w:t>
      </w:r>
      <w:r w:rsidRPr="00C6052E">
        <w:t>March</w:t>
      </w:r>
      <w:r w:rsidRPr="00C6052E">
        <w:rPr>
          <w:rStyle w:val="FootnoteReference"/>
        </w:rPr>
        <w:footnoteReference w:id="1"/>
      </w:r>
      <w:r w:rsidR="00177848" w:rsidRPr="00C6052E">
        <w:t xml:space="preserve"> </w:t>
      </w:r>
      <w:r w:rsidRPr="00C6052E">
        <w:t>2025,</w:t>
      </w:r>
      <w:r w:rsidR="00177848" w:rsidRPr="00C6052E">
        <w:t xml:space="preserve"> </w:t>
      </w:r>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jobs</w:t>
      </w:r>
      <w:r w:rsidR="00177848" w:rsidRPr="00C6052E">
        <w:t xml:space="preserve"> </w:t>
      </w:r>
      <w:r w:rsidRPr="00C6052E">
        <w:t>committed</w:t>
      </w:r>
      <w:r w:rsidR="00177848" w:rsidRPr="00C6052E">
        <w:t xml:space="preserve"> </w:t>
      </w:r>
      <w:r w:rsidRPr="00C6052E">
        <w:t>by</w:t>
      </w:r>
      <w:r w:rsidR="00177848" w:rsidRPr="00C6052E">
        <w:t xml:space="preserve"> </w:t>
      </w:r>
      <w:r w:rsidRPr="00C6052E">
        <w:t>contractors</w:t>
      </w:r>
      <w:r w:rsidR="00177848" w:rsidRPr="00C6052E">
        <w:t xml:space="preserve"> </w:t>
      </w:r>
      <w:r w:rsidRPr="00C6052E">
        <w:t>for</w:t>
      </w:r>
      <w:r w:rsidR="00177848" w:rsidRPr="00C6052E">
        <w:t xml:space="preserve"> </w:t>
      </w:r>
      <w:r w:rsidRPr="00C6052E">
        <w:t>ATCs</w:t>
      </w:r>
      <w:r w:rsidR="00177848" w:rsidRPr="00C6052E">
        <w:t xml:space="preserve"> </w:t>
      </w:r>
      <w:r w:rsidRPr="00C6052E">
        <w:t>under</w:t>
      </w:r>
      <w:r w:rsidR="00177848" w:rsidRPr="00C6052E">
        <w:t xml:space="preserve"> </w:t>
      </w:r>
      <w:r w:rsidRPr="00C6052E">
        <w:t>the</w:t>
      </w:r>
      <w:r w:rsidR="00177848" w:rsidRPr="00C6052E">
        <w:t xml:space="preserve"> </w:t>
      </w:r>
      <w:r w:rsidRPr="00C6052E">
        <w:t>MPSG</w:t>
      </w:r>
      <w:r w:rsidR="00177848" w:rsidRPr="00C6052E">
        <w:t xml:space="preserve"> </w:t>
      </w:r>
      <w:r w:rsidRPr="00C6052E">
        <w:t>grew</w:t>
      </w:r>
      <w:r w:rsidR="00177848" w:rsidRPr="00C6052E">
        <w:t xml:space="preserve"> </w:t>
      </w:r>
      <w:r w:rsidRPr="00C6052E">
        <w:t>by</w:t>
      </w:r>
      <w:r w:rsidR="00177848" w:rsidRPr="00C6052E">
        <w:t xml:space="preserve"> </w:t>
      </w:r>
      <w:r w:rsidRPr="00C6052E">
        <w:t>1,583,</w:t>
      </w:r>
      <w:r w:rsidR="00177848" w:rsidRPr="00C6052E">
        <w:t xml:space="preserve"> </w:t>
      </w:r>
      <w:r w:rsidRPr="00C6052E">
        <w:t>with</w:t>
      </w:r>
      <w:r w:rsidR="00177848" w:rsidRPr="00C6052E">
        <w:t xml:space="preserve"> </w:t>
      </w:r>
      <w:r w:rsidRPr="00C6052E">
        <w:t>an</w:t>
      </w:r>
      <w:r w:rsidR="00177848" w:rsidRPr="00C6052E">
        <w:t xml:space="preserve"> </w:t>
      </w:r>
      <w:r w:rsidRPr="00C6052E">
        <w:t>additional</w:t>
      </w:r>
      <w:r w:rsidR="00177848" w:rsidRPr="00C6052E">
        <w:t xml:space="preserve"> </w:t>
      </w:r>
      <w:r w:rsidRPr="00C6052E">
        <w:t>5,805</w:t>
      </w:r>
      <w:r w:rsidR="00177848" w:rsidRPr="00C6052E">
        <w:t xml:space="preserve"> </w:t>
      </w:r>
      <w:r w:rsidRPr="00C6052E">
        <w:t>jobs</w:t>
      </w:r>
      <w:r w:rsidR="00177848" w:rsidRPr="00C6052E">
        <w:t xml:space="preserve"> </w:t>
      </w:r>
      <w:r w:rsidRPr="00C6052E">
        <w:t>supported.</w:t>
      </w:r>
    </w:p>
    <w:p w14:paraId="106AF773" w14:textId="57B79C3A" w:rsidR="00EE5BB8" w:rsidRPr="00C6052E" w:rsidRDefault="00EE5BB8" w:rsidP="00EE5BB8">
      <w:pPr>
        <w:pStyle w:val="Heading5"/>
        <w:numPr>
          <w:ilvl w:val="0"/>
          <w:numId w:val="0"/>
        </w:numPr>
      </w:pPr>
      <w:r w:rsidRPr="00C6052E">
        <w:t>Digital</w:t>
      </w:r>
      <w:r w:rsidR="00177848" w:rsidRPr="00C6052E">
        <w:t xml:space="preserve"> </w:t>
      </w:r>
      <w:r w:rsidRPr="00C6052E">
        <w:t>Jobs</w:t>
      </w:r>
    </w:p>
    <w:p w14:paraId="72A3B963" w14:textId="7BCF5B97" w:rsidR="00EE5BB8" w:rsidRPr="00C6052E" w:rsidRDefault="00EE5BB8" w:rsidP="00EE5BB8">
      <w:r w:rsidRPr="00C6052E">
        <w:t>The</w:t>
      </w:r>
      <w:r w:rsidR="00177848" w:rsidRPr="00C6052E">
        <w:t xml:space="preserve"> </w:t>
      </w:r>
      <w:r w:rsidRPr="00C6052E">
        <w:t>Digital</w:t>
      </w:r>
      <w:r w:rsidR="00177848" w:rsidRPr="00C6052E">
        <w:t xml:space="preserve"> </w:t>
      </w:r>
      <w:r w:rsidRPr="00C6052E">
        <w:t>Jobs</w:t>
      </w:r>
      <w:r w:rsidR="00177848" w:rsidRPr="00C6052E">
        <w:t xml:space="preserve"> </w:t>
      </w:r>
      <w:r w:rsidRPr="00C6052E">
        <w:t>Program</w:t>
      </w:r>
      <w:r w:rsidR="00177848" w:rsidRPr="00C6052E">
        <w:t xml:space="preserve"> </w:t>
      </w:r>
      <w:r w:rsidRPr="00C6052E">
        <w:t>contributed</w:t>
      </w:r>
      <w:r w:rsidR="00177848" w:rsidRPr="00C6052E">
        <w:t xml:space="preserve"> </w:t>
      </w:r>
      <w:r w:rsidRPr="00C6052E">
        <w:t>to</w:t>
      </w:r>
      <w:r w:rsidR="00177848" w:rsidRPr="00C6052E">
        <w:t xml:space="preserve"> </w:t>
      </w:r>
      <w:r w:rsidRPr="00C6052E">
        <w:t>job</w:t>
      </w:r>
      <w:r w:rsidR="00177848" w:rsidRPr="00C6052E">
        <w:t xml:space="preserve"> </w:t>
      </w:r>
      <w:r w:rsidRPr="00C6052E">
        <w:t>creation</w:t>
      </w:r>
      <w:r w:rsidR="00177848" w:rsidRPr="00C6052E">
        <w:t xml:space="preserve"> </w:t>
      </w:r>
      <w:r w:rsidRPr="00C6052E">
        <w:t>by</w:t>
      </w:r>
      <w:r w:rsidR="00177848" w:rsidRPr="00C6052E">
        <w:t xml:space="preserve"> </w:t>
      </w:r>
      <w:r w:rsidRPr="00C6052E">
        <w:t>providing</w:t>
      </w:r>
      <w:r w:rsidR="00177848" w:rsidRPr="00C6052E">
        <w:t xml:space="preserve"> </w:t>
      </w:r>
      <w:r w:rsidRPr="00C6052E">
        <w:t>1,070</w:t>
      </w:r>
      <w:r w:rsidR="00177848" w:rsidRPr="00C6052E">
        <w:t xml:space="preserve"> </w:t>
      </w:r>
      <w:r w:rsidRPr="00C6052E">
        <w:t>participants</w:t>
      </w:r>
      <w:r w:rsidR="00177848" w:rsidRPr="00C6052E">
        <w:t xml:space="preserve"> </w:t>
      </w:r>
      <w:r w:rsidRPr="00C6052E">
        <w:t>with</w:t>
      </w:r>
      <w:r w:rsidR="00177848" w:rsidRPr="00C6052E">
        <w:t xml:space="preserve"> </w:t>
      </w:r>
      <w:r w:rsidRPr="00C6052E">
        <w:t>technical</w:t>
      </w:r>
      <w:r w:rsidR="00177848" w:rsidRPr="00C6052E">
        <w:t xml:space="preserve"> </w:t>
      </w:r>
      <w:r w:rsidRPr="00C6052E">
        <w:t>training,</w:t>
      </w:r>
      <w:r w:rsidR="00177848" w:rsidRPr="00C6052E">
        <w:t xml:space="preserve"> </w:t>
      </w:r>
      <w:r w:rsidRPr="00C6052E">
        <w:t>career</w:t>
      </w:r>
      <w:r w:rsidR="00177848" w:rsidRPr="00C6052E">
        <w:t xml:space="preserve"> </w:t>
      </w:r>
      <w:r w:rsidRPr="00C6052E">
        <w:t>coaching</w:t>
      </w:r>
      <w:r w:rsidR="00177848" w:rsidRPr="00C6052E">
        <w:t xml:space="preserve"> </w:t>
      </w:r>
      <w:r w:rsidRPr="00C6052E">
        <w:t>and</w:t>
      </w:r>
      <w:r w:rsidR="00177848" w:rsidRPr="00C6052E">
        <w:t xml:space="preserve"> </w:t>
      </w:r>
      <w:r w:rsidRPr="00C6052E">
        <w:t>opportunities</w:t>
      </w:r>
      <w:r w:rsidR="00177848" w:rsidRPr="00C6052E">
        <w:t xml:space="preserve"> </w:t>
      </w:r>
      <w:r w:rsidRPr="00C6052E">
        <w:t>to</w:t>
      </w:r>
      <w:r w:rsidR="00177848" w:rsidRPr="00C6052E">
        <w:t xml:space="preserve"> </w:t>
      </w:r>
      <w:r w:rsidRPr="00C6052E">
        <w:t>apply</w:t>
      </w:r>
      <w:r w:rsidR="00177848" w:rsidRPr="00C6052E">
        <w:t xml:space="preserve"> </w:t>
      </w:r>
      <w:r w:rsidRPr="00C6052E">
        <w:t>for</w:t>
      </w:r>
      <w:r w:rsidR="00177848" w:rsidRPr="00C6052E">
        <w:t xml:space="preserve"> </w:t>
      </w:r>
      <w:r w:rsidRPr="00C6052E">
        <w:t>entry-level</w:t>
      </w:r>
      <w:r w:rsidR="00177848" w:rsidRPr="00C6052E">
        <w:t xml:space="preserve"> </w:t>
      </w:r>
      <w:r w:rsidRPr="00C6052E">
        <w:t>digital</w:t>
      </w:r>
      <w:r w:rsidR="00177848" w:rsidRPr="00C6052E">
        <w:t xml:space="preserve"> </w:t>
      </w:r>
      <w:r w:rsidRPr="00C6052E">
        <w:t>jobs</w:t>
      </w:r>
      <w:r w:rsidR="00177848" w:rsidRPr="00C6052E">
        <w:t xml:space="preserve"> </w:t>
      </w:r>
      <w:r w:rsidRPr="00C6052E">
        <w:t>with</w:t>
      </w:r>
      <w:r w:rsidR="00177848" w:rsidRPr="00C6052E">
        <w:t xml:space="preserve"> </w:t>
      </w:r>
      <w:r w:rsidRPr="00C6052E">
        <w:t>Victorian</w:t>
      </w:r>
      <w:r w:rsidR="00177848" w:rsidRPr="00C6052E">
        <w:t xml:space="preserve"> </w:t>
      </w:r>
      <w:r w:rsidRPr="00C6052E">
        <w:t>employers.</w:t>
      </w:r>
      <w:r w:rsidR="00177848" w:rsidRPr="00C6052E">
        <w:t xml:space="preserve"> </w:t>
      </w:r>
      <w:r w:rsidRPr="00C6052E">
        <w:t>In</w:t>
      </w:r>
      <w:r w:rsidR="00177848" w:rsidRPr="00C6052E">
        <w:t xml:space="preserve"> </w:t>
      </w:r>
      <w:r w:rsidRPr="00C6052E">
        <w:t>total,</w:t>
      </w:r>
      <w:r w:rsidR="00177848" w:rsidRPr="00C6052E">
        <w:t xml:space="preserve"> </w:t>
      </w:r>
      <w:r w:rsidRPr="00C6052E">
        <w:t>Digital</w:t>
      </w:r>
      <w:r w:rsidR="00177848" w:rsidRPr="00C6052E">
        <w:t xml:space="preserve"> </w:t>
      </w:r>
      <w:r w:rsidRPr="00C6052E">
        <w:t>Jobs</w:t>
      </w:r>
      <w:r w:rsidR="00177848" w:rsidRPr="00C6052E">
        <w:t xml:space="preserve"> </w:t>
      </w:r>
      <w:r w:rsidRPr="00C6052E">
        <w:t>has</w:t>
      </w:r>
      <w:r w:rsidR="00177848" w:rsidRPr="00C6052E">
        <w:t xml:space="preserve"> </w:t>
      </w:r>
      <w:r w:rsidRPr="00C6052E">
        <w:t>reskilled</w:t>
      </w:r>
      <w:r w:rsidR="00177848" w:rsidRPr="00C6052E">
        <w:t xml:space="preserve"> </w:t>
      </w:r>
      <w:r w:rsidRPr="00C6052E">
        <w:t>over</w:t>
      </w:r>
      <w:r w:rsidR="00177848" w:rsidRPr="00C6052E">
        <w:t xml:space="preserve"> </w:t>
      </w:r>
      <w:r w:rsidRPr="00C6052E">
        <w:t>5,500</w:t>
      </w:r>
      <w:r w:rsidR="00177848" w:rsidRPr="00C6052E">
        <w:t xml:space="preserve"> </w:t>
      </w:r>
      <w:r w:rsidRPr="00C6052E">
        <w:t>Victorian</w:t>
      </w:r>
      <w:r w:rsidR="00177848" w:rsidRPr="00C6052E">
        <w:t xml:space="preserve"> </w:t>
      </w:r>
      <w:r w:rsidRPr="00C6052E">
        <w:t>workers,</w:t>
      </w:r>
      <w:r w:rsidR="00177848" w:rsidRPr="00C6052E">
        <w:t xml:space="preserve"> </w:t>
      </w:r>
      <w:r w:rsidRPr="00C6052E">
        <w:t>with</w:t>
      </w:r>
      <w:r w:rsidR="00177848" w:rsidRPr="00C6052E">
        <w:t xml:space="preserve"> </w:t>
      </w:r>
      <w:r w:rsidRPr="00C6052E">
        <w:t>59%</w:t>
      </w:r>
      <w:r w:rsidR="00177848" w:rsidRPr="00C6052E">
        <w:t xml:space="preserve"> </w:t>
      </w:r>
      <w:r w:rsidRPr="00C6052E">
        <w:t>of</w:t>
      </w:r>
      <w:r w:rsidR="00177848" w:rsidRPr="00C6052E">
        <w:t xml:space="preserve"> </w:t>
      </w:r>
      <w:r w:rsidRPr="00C6052E">
        <w:t>participants</w:t>
      </w:r>
      <w:r w:rsidR="00177848" w:rsidRPr="00C6052E">
        <w:t xml:space="preserve"> </w:t>
      </w:r>
      <w:r w:rsidRPr="00C6052E">
        <w:t>being</w:t>
      </w:r>
      <w:r w:rsidR="00177848" w:rsidRPr="00C6052E">
        <w:t xml:space="preserve"> </w:t>
      </w:r>
      <w:r w:rsidRPr="00C6052E">
        <w:t>women</w:t>
      </w:r>
      <w:r w:rsidR="00177848" w:rsidRPr="00C6052E">
        <w:t xml:space="preserve"> </w:t>
      </w:r>
      <w:r w:rsidRPr="00C6052E">
        <w:t>and</w:t>
      </w:r>
      <w:r w:rsidR="00177848" w:rsidRPr="00C6052E">
        <w:t xml:space="preserve"> </w:t>
      </w:r>
      <w:r w:rsidRPr="00C6052E">
        <w:t>63%</w:t>
      </w:r>
      <w:r w:rsidR="00177848" w:rsidRPr="00C6052E">
        <w:t xml:space="preserve"> </w:t>
      </w:r>
      <w:r w:rsidRPr="00C6052E">
        <w:t>speaking</w:t>
      </w:r>
      <w:r w:rsidR="00177848" w:rsidRPr="00C6052E">
        <w:t xml:space="preserve"> </w:t>
      </w:r>
      <w:r w:rsidRPr="00C6052E">
        <w:t>more</w:t>
      </w:r>
      <w:r w:rsidR="00177848" w:rsidRPr="00C6052E">
        <w:t xml:space="preserve"> </w:t>
      </w:r>
      <w:r w:rsidRPr="00C6052E">
        <w:t>than</w:t>
      </w:r>
      <w:r w:rsidR="00177848" w:rsidRPr="00C6052E">
        <w:t xml:space="preserve"> </w:t>
      </w:r>
      <w:r w:rsidRPr="00C6052E">
        <w:t>one</w:t>
      </w:r>
      <w:r w:rsidR="00177848" w:rsidRPr="00C6052E">
        <w:t xml:space="preserve"> </w:t>
      </w:r>
      <w:r w:rsidRPr="00C6052E">
        <w:t>language.</w:t>
      </w:r>
      <w:r w:rsidR="00177848" w:rsidRPr="00C6052E">
        <w:t xml:space="preserve"> </w:t>
      </w:r>
      <w:r w:rsidRPr="00C6052E">
        <w:t>There</w:t>
      </w:r>
      <w:r w:rsidR="00177848" w:rsidRPr="00C6052E">
        <w:t xml:space="preserve"> </w:t>
      </w:r>
      <w:r w:rsidRPr="00C6052E">
        <w:t>was</w:t>
      </w:r>
      <w:r w:rsidR="00177848" w:rsidRPr="00C6052E">
        <w:t xml:space="preserve"> </w:t>
      </w:r>
      <w:r w:rsidRPr="00C6052E">
        <w:t>strong</w:t>
      </w:r>
      <w:r w:rsidR="00177848" w:rsidRPr="00C6052E">
        <w:t xml:space="preserve"> </w:t>
      </w:r>
      <w:r w:rsidRPr="00C6052E">
        <w:t>support</w:t>
      </w:r>
      <w:r w:rsidR="00177848" w:rsidRPr="00C6052E">
        <w:t xml:space="preserve"> </w:t>
      </w:r>
      <w:r w:rsidRPr="00C6052E">
        <w:t>from</w:t>
      </w:r>
      <w:r w:rsidR="00177848" w:rsidRPr="00C6052E">
        <w:t xml:space="preserve"> </w:t>
      </w:r>
      <w:r w:rsidRPr="00C6052E">
        <w:t>businesses,</w:t>
      </w:r>
      <w:r w:rsidR="00177848" w:rsidRPr="00C6052E">
        <w:t xml:space="preserve"> </w:t>
      </w:r>
      <w:r w:rsidRPr="00C6052E">
        <w:t>with</w:t>
      </w:r>
      <w:r w:rsidR="00177848" w:rsidRPr="00C6052E">
        <w:t xml:space="preserve"> </w:t>
      </w:r>
      <w:r w:rsidRPr="00C6052E">
        <w:t>an</w:t>
      </w:r>
      <w:r w:rsidR="00177848" w:rsidRPr="00C6052E">
        <w:t xml:space="preserve"> </w:t>
      </w:r>
      <w:r w:rsidRPr="00C6052E">
        <w:t>additional</w:t>
      </w:r>
      <w:r w:rsidR="00177848" w:rsidRPr="00C6052E">
        <w:t xml:space="preserve"> </w:t>
      </w:r>
      <w:r w:rsidRPr="00C6052E">
        <w:t>156</w:t>
      </w:r>
      <w:r w:rsidR="00177848" w:rsidRPr="00C6052E">
        <w:t xml:space="preserve"> </w:t>
      </w:r>
      <w:r w:rsidRPr="00C6052E">
        <w:t>new</w:t>
      </w:r>
      <w:r w:rsidR="00177848" w:rsidRPr="00C6052E">
        <w:t xml:space="preserve"> </w:t>
      </w:r>
      <w:r w:rsidRPr="00C6052E">
        <w:t>businesses</w:t>
      </w:r>
      <w:r w:rsidR="00177848" w:rsidRPr="00C6052E">
        <w:t xml:space="preserve"> </w:t>
      </w:r>
      <w:r w:rsidRPr="00C6052E">
        <w:t>registering</w:t>
      </w:r>
      <w:r w:rsidR="00177848" w:rsidRPr="00C6052E">
        <w:t xml:space="preserve"> </w:t>
      </w:r>
      <w:r w:rsidRPr="00C6052E">
        <w:t>to</w:t>
      </w:r>
      <w:r w:rsidR="00177848" w:rsidRPr="00C6052E">
        <w:t xml:space="preserve"> </w:t>
      </w:r>
      <w:r w:rsidRPr="00C6052E">
        <w:t>source</w:t>
      </w:r>
      <w:r w:rsidR="00177848" w:rsidRPr="00C6052E">
        <w:t xml:space="preserve"> </w:t>
      </w:r>
      <w:r w:rsidRPr="00C6052E">
        <w:t>talent</w:t>
      </w:r>
      <w:r w:rsidR="00177848" w:rsidRPr="00C6052E">
        <w:t xml:space="preserve"> </w:t>
      </w:r>
      <w:r w:rsidRPr="00C6052E">
        <w:t>from</w:t>
      </w:r>
      <w:r w:rsidR="00177848" w:rsidRPr="00C6052E">
        <w:t xml:space="preserve"> </w:t>
      </w:r>
      <w:r w:rsidRPr="00C6052E">
        <w:t>the</w:t>
      </w:r>
      <w:r w:rsidR="00177848" w:rsidRPr="00C6052E">
        <w:t xml:space="preserve"> </w:t>
      </w:r>
      <w:r w:rsidRPr="00C6052E">
        <w:t>program</w:t>
      </w:r>
      <w:r w:rsidR="00177848" w:rsidRPr="00C6052E">
        <w:t xml:space="preserve"> </w:t>
      </w:r>
      <w:r w:rsidRPr="00C6052E">
        <w:t>in</w:t>
      </w:r>
      <w:r w:rsidR="00177848" w:rsidRPr="00C6052E">
        <w:t xml:space="preserve"> </w:t>
      </w:r>
      <w:r w:rsidRPr="00C6052E">
        <w:t>2024–25,</w:t>
      </w:r>
      <w:r w:rsidR="00177848" w:rsidRPr="00C6052E">
        <w:t xml:space="preserve"> </w:t>
      </w:r>
      <w:r w:rsidRPr="00C6052E">
        <w:t>bringing</w:t>
      </w:r>
      <w:r w:rsidR="00177848" w:rsidRPr="00C6052E">
        <w:t xml:space="preserve"> </w:t>
      </w:r>
      <w:r w:rsidRPr="00C6052E">
        <w:t>the</w:t>
      </w:r>
      <w:r w:rsidR="00177848" w:rsidRPr="00C6052E">
        <w:t xml:space="preserve"> </w:t>
      </w:r>
      <w:r w:rsidRPr="00C6052E">
        <w:t>total</w:t>
      </w:r>
      <w:r w:rsidR="00177848" w:rsidRPr="00C6052E">
        <w:t xml:space="preserve"> </w:t>
      </w:r>
      <w:r w:rsidRPr="00C6052E">
        <w:t>number</w:t>
      </w:r>
      <w:r w:rsidR="00177848" w:rsidRPr="00C6052E">
        <w:t xml:space="preserve"> </w:t>
      </w:r>
      <w:r w:rsidRPr="00C6052E">
        <w:t>of</w:t>
      </w:r>
      <w:r w:rsidR="00177848" w:rsidRPr="00C6052E">
        <w:t xml:space="preserve"> </w:t>
      </w:r>
      <w:r w:rsidRPr="00C6052E">
        <w:t>businesses</w:t>
      </w:r>
      <w:r w:rsidR="00177848" w:rsidRPr="00C6052E">
        <w:t xml:space="preserve"> </w:t>
      </w:r>
      <w:r w:rsidRPr="00C6052E">
        <w:t>engaged</w:t>
      </w:r>
      <w:r w:rsidR="00177848" w:rsidRPr="00C6052E">
        <w:t xml:space="preserve"> </w:t>
      </w:r>
      <w:r w:rsidRPr="00C6052E">
        <w:t>in</w:t>
      </w:r>
      <w:r w:rsidR="00177848" w:rsidRPr="00C6052E">
        <w:t xml:space="preserve"> </w:t>
      </w:r>
      <w:r w:rsidRPr="00C6052E">
        <w:t>the</w:t>
      </w:r>
      <w:r w:rsidR="00177848" w:rsidRPr="00C6052E">
        <w:t xml:space="preserve"> </w:t>
      </w:r>
      <w:r w:rsidRPr="00C6052E">
        <w:t>program</w:t>
      </w:r>
      <w:r w:rsidR="00177848" w:rsidRPr="00C6052E">
        <w:t xml:space="preserve"> </w:t>
      </w:r>
      <w:r w:rsidRPr="00C6052E">
        <w:t>since</w:t>
      </w:r>
      <w:r w:rsidR="00177848" w:rsidRPr="00C6052E">
        <w:t xml:space="preserve"> </w:t>
      </w:r>
      <w:r w:rsidRPr="00C6052E">
        <w:t>it</w:t>
      </w:r>
      <w:r w:rsidR="00177848" w:rsidRPr="00C6052E">
        <w:t xml:space="preserve"> </w:t>
      </w:r>
      <w:r w:rsidRPr="00C6052E">
        <w:t>commenced</w:t>
      </w:r>
      <w:r w:rsidR="00177848" w:rsidRPr="00C6052E">
        <w:t xml:space="preserve"> </w:t>
      </w:r>
      <w:r w:rsidRPr="00C6052E">
        <w:t>in</w:t>
      </w:r>
      <w:r w:rsidR="00177848" w:rsidRPr="00C6052E">
        <w:t xml:space="preserve"> </w:t>
      </w:r>
      <w:r w:rsidRPr="00C6052E">
        <w:t>2021</w:t>
      </w:r>
      <w:r w:rsidR="00177848" w:rsidRPr="00C6052E">
        <w:t xml:space="preserve"> </w:t>
      </w:r>
      <w:r w:rsidRPr="00C6052E">
        <w:t>to</w:t>
      </w:r>
      <w:r w:rsidR="00177848" w:rsidRPr="00C6052E">
        <w:t xml:space="preserve"> </w:t>
      </w:r>
      <w:r w:rsidRPr="00C6052E">
        <w:t>over</w:t>
      </w:r>
      <w:r w:rsidR="00177848" w:rsidRPr="00C6052E">
        <w:t xml:space="preserve"> </w:t>
      </w:r>
      <w:r w:rsidRPr="00C6052E">
        <w:t>1,400.</w:t>
      </w:r>
      <w:r w:rsidR="00177848" w:rsidRPr="00C6052E">
        <w:t xml:space="preserve"> </w:t>
      </w:r>
    </w:p>
    <w:p w14:paraId="0E0BF72A" w14:textId="73E0CA3A" w:rsidR="00EE5BB8" w:rsidRPr="00C6052E" w:rsidRDefault="00EE5BB8" w:rsidP="00EE5BB8">
      <w:pPr>
        <w:pStyle w:val="Heading5"/>
        <w:numPr>
          <w:ilvl w:val="0"/>
          <w:numId w:val="0"/>
        </w:numPr>
      </w:pPr>
      <w:r w:rsidRPr="00C6052E">
        <w:t>Skilled</w:t>
      </w:r>
      <w:r w:rsidR="00177848" w:rsidRPr="00C6052E">
        <w:t xml:space="preserve"> </w:t>
      </w:r>
      <w:r w:rsidRPr="00C6052E">
        <w:t>migration</w:t>
      </w:r>
    </w:p>
    <w:p w14:paraId="7C15C4D2" w14:textId="1E281A94" w:rsidR="00EE5BB8" w:rsidRPr="00C6052E" w:rsidRDefault="00EE5BB8" w:rsidP="00EE5BB8">
      <w:r w:rsidRPr="00C6052E">
        <w:t>The</w:t>
      </w:r>
      <w:r w:rsidR="00177848" w:rsidRPr="00C6052E">
        <w:t xml:space="preserve"> </w:t>
      </w:r>
      <w:r w:rsidRPr="00C6052E">
        <w:t>department</w:t>
      </w:r>
      <w:r w:rsidR="00177848" w:rsidRPr="00C6052E">
        <w:t xml:space="preserve"> </w:t>
      </w:r>
      <w:r w:rsidRPr="00C6052E">
        <w:t>nominated</w:t>
      </w:r>
      <w:r w:rsidR="00177848" w:rsidRPr="00C6052E">
        <w:t xml:space="preserve"> </w:t>
      </w:r>
      <w:r w:rsidRPr="00C6052E">
        <w:t>5,000</w:t>
      </w:r>
      <w:r w:rsidR="00177848" w:rsidRPr="00C6052E">
        <w:t xml:space="preserve"> </w:t>
      </w:r>
      <w:r w:rsidRPr="00C6052E">
        <w:t>skilled</w:t>
      </w:r>
      <w:r w:rsidR="00177848" w:rsidRPr="00C6052E">
        <w:t xml:space="preserve"> </w:t>
      </w:r>
      <w:r w:rsidRPr="00C6052E">
        <w:t>migrants</w:t>
      </w:r>
      <w:r w:rsidR="00177848" w:rsidRPr="00C6052E">
        <w:t xml:space="preserve"> </w:t>
      </w:r>
      <w:r w:rsidRPr="00C6052E">
        <w:t>to</w:t>
      </w:r>
      <w:r w:rsidR="00177848" w:rsidRPr="00C6052E">
        <w:t xml:space="preserve"> </w:t>
      </w:r>
      <w:r w:rsidRPr="00C6052E">
        <w:t>live</w:t>
      </w:r>
      <w:r w:rsidR="00177848" w:rsidRPr="00C6052E">
        <w:t xml:space="preserve"> </w:t>
      </w:r>
      <w:r w:rsidRPr="00C6052E">
        <w:t>and</w:t>
      </w:r>
      <w:r w:rsidR="00177848" w:rsidRPr="00C6052E">
        <w:t xml:space="preserve"> </w:t>
      </w:r>
      <w:r w:rsidRPr="00C6052E">
        <w:t>work</w:t>
      </w:r>
      <w:r w:rsidR="00177848" w:rsidRPr="00C6052E">
        <w:t xml:space="preserve"> </w:t>
      </w:r>
      <w:r w:rsidRPr="00C6052E">
        <w:t>in</w:t>
      </w:r>
      <w:r w:rsidR="00177848" w:rsidRPr="00C6052E">
        <w:t xml:space="preserve"> </w:t>
      </w:r>
      <w:r w:rsidRPr="00C6052E">
        <w:t>Victoria,</w:t>
      </w:r>
      <w:r w:rsidR="00177848" w:rsidRPr="00C6052E">
        <w:t xml:space="preserve"> </w:t>
      </w:r>
      <w:r w:rsidRPr="00C6052E">
        <w:t>including</w:t>
      </w:r>
      <w:r w:rsidR="00177848" w:rsidRPr="00C6052E">
        <w:t xml:space="preserve"> </w:t>
      </w:r>
      <w:r w:rsidRPr="00C6052E">
        <w:t>those</w:t>
      </w:r>
      <w:r w:rsidR="00177848" w:rsidRPr="00C6052E">
        <w:t xml:space="preserve"> </w:t>
      </w:r>
      <w:r w:rsidRPr="00C6052E">
        <w:t>with</w:t>
      </w:r>
      <w:r w:rsidR="00177848" w:rsidRPr="00C6052E">
        <w:t xml:space="preserve"> </w:t>
      </w:r>
      <w:r w:rsidRPr="00C6052E">
        <w:t>skills</w:t>
      </w:r>
      <w:r w:rsidR="00177848" w:rsidRPr="00C6052E">
        <w:t xml:space="preserve"> </w:t>
      </w:r>
      <w:r w:rsidRPr="00C6052E">
        <w:t>in</w:t>
      </w:r>
      <w:r w:rsidR="00177848" w:rsidRPr="00C6052E">
        <w:t xml:space="preserve"> </w:t>
      </w:r>
      <w:r w:rsidRPr="00C6052E">
        <w:t>critical</w:t>
      </w:r>
      <w:r w:rsidR="00177848" w:rsidRPr="00C6052E">
        <w:t xml:space="preserve"> </w:t>
      </w:r>
      <w:r w:rsidRPr="00C6052E">
        <w:t>Victorian</w:t>
      </w:r>
      <w:r w:rsidR="00177848" w:rsidRPr="00C6052E">
        <w:t xml:space="preserve"> </w:t>
      </w:r>
      <w:r w:rsidRPr="00C6052E">
        <w:t>workforce</w:t>
      </w:r>
      <w:r w:rsidR="00177848" w:rsidRPr="00C6052E">
        <w:t xml:space="preserve"> </w:t>
      </w:r>
      <w:r w:rsidRPr="00C6052E">
        <w:t>sectors.</w:t>
      </w:r>
      <w:r w:rsidR="00177848" w:rsidRPr="00C6052E">
        <w:t xml:space="preserve"> </w:t>
      </w:r>
      <w:r w:rsidRPr="00C6052E">
        <w:t>The</w:t>
      </w:r>
      <w:r w:rsidR="00177848" w:rsidRPr="00C6052E">
        <w:t xml:space="preserve"> </w:t>
      </w:r>
      <w:r w:rsidRPr="00C6052E">
        <w:t>state-nominated</w:t>
      </w:r>
      <w:r w:rsidR="00177848" w:rsidRPr="00C6052E">
        <w:t xml:space="preserve"> </w:t>
      </w:r>
      <w:r w:rsidRPr="00C6052E">
        <w:t>visa</w:t>
      </w:r>
      <w:r w:rsidR="00177848" w:rsidRPr="00C6052E">
        <w:t xml:space="preserve"> </w:t>
      </w:r>
      <w:r w:rsidRPr="00C6052E">
        <w:t>program</w:t>
      </w:r>
      <w:r w:rsidR="00177848" w:rsidRPr="00C6052E">
        <w:t xml:space="preserve"> </w:t>
      </w:r>
      <w:r w:rsidRPr="00C6052E">
        <w:t>helped</w:t>
      </w:r>
      <w:r w:rsidR="00177848" w:rsidRPr="00C6052E">
        <w:t xml:space="preserve"> </w:t>
      </w:r>
      <w:r w:rsidRPr="00C6052E">
        <w:t>to</w:t>
      </w:r>
      <w:r w:rsidR="00177848" w:rsidRPr="00C6052E">
        <w:t xml:space="preserve"> </w:t>
      </w:r>
      <w:r w:rsidRPr="00C6052E">
        <w:t>address</w:t>
      </w:r>
      <w:r w:rsidR="00177848" w:rsidRPr="00C6052E">
        <w:t xml:space="preserve"> </w:t>
      </w:r>
      <w:r w:rsidRPr="00C6052E">
        <w:t>critical</w:t>
      </w:r>
      <w:r w:rsidR="00177848" w:rsidRPr="00C6052E">
        <w:t xml:space="preserve"> </w:t>
      </w:r>
      <w:r w:rsidRPr="00C6052E">
        <w:t>skills</w:t>
      </w:r>
      <w:r w:rsidR="00177848" w:rsidRPr="00C6052E">
        <w:t xml:space="preserve"> </w:t>
      </w:r>
      <w:r w:rsidRPr="00C6052E">
        <w:t>shortages</w:t>
      </w:r>
      <w:r w:rsidR="00177848" w:rsidRPr="00C6052E">
        <w:t xml:space="preserve"> </w:t>
      </w:r>
      <w:r w:rsidRPr="00C6052E">
        <w:t>including</w:t>
      </w:r>
      <w:r w:rsidR="00177848" w:rsidRPr="00C6052E">
        <w:t xml:space="preserve"> </w:t>
      </w:r>
      <w:r w:rsidRPr="00C6052E">
        <w:t>more</w:t>
      </w:r>
      <w:r w:rsidR="00177848" w:rsidRPr="00C6052E">
        <w:t xml:space="preserve"> </w:t>
      </w:r>
      <w:r w:rsidRPr="00C6052E">
        <w:t>than</w:t>
      </w:r>
      <w:r w:rsidR="00177848" w:rsidRPr="00C6052E">
        <w:t xml:space="preserve"> </w:t>
      </w:r>
      <w:r w:rsidRPr="00C6052E">
        <w:t>1,160</w:t>
      </w:r>
      <w:r w:rsidR="00177848" w:rsidRPr="00C6052E">
        <w:t xml:space="preserve"> </w:t>
      </w:r>
      <w:r w:rsidRPr="00C6052E">
        <w:t>nominations</w:t>
      </w:r>
      <w:r w:rsidR="00177848" w:rsidRPr="00C6052E">
        <w:t xml:space="preserve"> </w:t>
      </w:r>
      <w:r w:rsidRPr="00C6052E">
        <w:t>of</w:t>
      </w:r>
      <w:r w:rsidR="00177848" w:rsidRPr="00C6052E">
        <w:t xml:space="preserve"> </w:t>
      </w:r>
      <w:r w:rsidRPr="00C6052E">
        <w:t>doctors,</w:t>
      </w:r>
      <w:r w:rsidR="00177848" w:rsidRPr="00C6052E">
        <w:t xml:space="preserve"> </w:t>
      </w:r>
      <w:r w:rsidRPr="00C6052E">
        <w:t>nurses</w:t>
      </w:r>
      <w:r w:rsidR="00177848" w:rsidRPr="00C6052E">
        <w:t xml:space="preserve"> </w:t>
      </w:r>
      <w:r w:rsidRPr="00C6052E">
        <w:t>and</w:t>
      </w:r>
      <w:r w:rsidR="00177848" w:rsidRPr="00C6052E">
        <w:t xml:space="preserve"> </w:t>
      </w:r>
      <w:r w:rsidRPr="00C6052E">
        <w:t>allied</w:t>
      </w:r>
      <w:r w:rsidR="00177848" w:rsidRPr="00C6052E">
        <w:t xml:space="preserve"> </w:t>
      </w:r>
      <w:r w:rsidRPr="00C6052E">
        <w:t>health</w:t>
      </w:r>
      <w:r w:rsidR="00177848" w:rsidRPr="00C6052E">
        <w:t xml:space="preserve"> </w:t>
      </w:r>
      <w:r w:rsidRPr="00C6052E">
        <w:t>workers,</w:t>
      </w:r>
      <w:r w:rsidR="00177848" w:rsidRPr="00C6052E">
        <w:t xml:space="preserve"> </w:t>
      </w:r>
      <w:r w:rsidRPr="00C6052E">
        <w:t>more</w:t>
      </w:r>
      <w:r w:rsidR="00177848" w:rsidRPr="00C6052E">
        <w:t xml:space="preserve"> </w:t>
      </w:r>
      <w:r w:rsidRPr="00C6052E">
        <w:t>than</w:t>
      </w:r>
      <w:r w:rsidR="00177848" w:rsidRPr="00C6052E">
        <w:t xml:space="preserve"> </w:t>
      </w:r>
      <w:r w:rsidRPr="00C6052E">
        <w:t>850</w:t>
      </w:r>
      <w:r w:rsidR="00177848" w:rsidRPr="00C6052E">
        <w:rPr>
          <w:rFonts w:cs="Cambria"/>
        </w:rPr>
        <w:t xml:space="preserve"> </w:t>
      </w:r>
      <w:r w:rsidRPr="00C6052E">
        <w:t>nominations</w:t>
      </w:r>
      <w:r w:rsidR="00177848" w:rsidRPr="00C6052E">
        <w:t xml:space="preserve"> </w:t>
      </w:r>
      <w:r w:rsidRPr="00C6052E">
        <w:t>of</w:t>
      </w:r>
      <w:r w:rsidR="00177848" w:rsidRPr="00C6052E">
        <w:t xml:space="preserve"> </w:t>
      </w:r>
      <w:r w:rsidRPr="00C6052E">
        <w:t>early</w:t>
      </w:r>
      <w:r w:rsidR="00177848" w:rsidRPr="00C6052E">
        <w:t xml:space="preserve"> </w:t>
      </w:r>
      <w:r w:rsidRPr="00C6052E">
        <w:t>childhood,</w:t>
      </w:r>
      <w:r w:rsidR="00177848" w:rsidRPr="00C6052E">
        <w:t xml:space="preserve"> </w:t>
      </w:r>
      <w:r w:rsidRPr="00C6052E">
        <w:t>secondary</w:t>
      </w:r>
      <w:r w:rsidR="00177848" w:rsidRPr="00C6052E">
        <w:t xml:space="preserve"> </w:t>
      </w:r>
      <w:r w:rsidRPr="00C6052E">
        <w:t>and</w:t>
      </w:r>
      <w:r w:rsidR="00177848" w:rsidRPr="00C6052E">
        <w:t xml:space="preserve"> </w:t>
      </w:r>
      <w:r w:rsidRPr="00C6052E">
        <w:t>other</w:t>
      </w:r>
      <w:r w:rsidR="00177848" w:rsidRPr="00C6052E">
        <w:t xml:space="preserve"> </w:t>
      </w:r>
      <w:r w:rsidRPr="00C6052E">
        <w:t>teachers</w:t>
      </w:r>
      <w:r w:rsidR="00177848" w:rsidRPr="00C6052E">
        <w:t xml:space="preserve"> </w:t>
      </w:r>
      <w:r w:rsidRPr="00C6052E">
        <w:t>and</w:t>
      </w:r>
      <w:r w:rsidR="00177848" w:rsidRPr="00C6052E">
        <w:t xml:space="preserve"> </w:t>
      </w:r>
      <w:r w:rsidRPr="00C6052E">
        <w:t>more</w:t>
      </w:r>
      <w:r w:rsidR="00177848" w:rsidRPr="00C6052E">
        <w:t xml:space="preserve"> </w:t>
      </w:r>
      <w:r w:rsidRPr="00C6052E">
        <w:t>than</w:t>
      </w:r>
      <w:r w:rsidR="00177848" w:rsidRPr="00C6052E">
        <w:t xml:space="preserve"> </w:t>
      </w:r>
      <w:r w:rsidRPr="00C6052E">
        <w:t>180</w:t>
      </w:r>
      <w:r w:rsidR="00177848" w:rsidRPr="00C6052E">
        <w:t xml:space="preserve"> </w:t>
      </w:r>
      <w:r w:rsidRPr="00C6052E">
        <w:t>nominations</w:t>
      </w:r>
      <w:r w:rsidR="00177848" w:rsidRPr="00C6052E">
        <w:t xml:space="preserve"> </w:t>
      </w:r>
      <w:r w:rsidRPr="00C6052E">
        <w:t>of</w:t>
      </w:r>
      <w:r w:rsidR="00177848" w:rsidRPr="00C6052E">
        <w:t xml:space="preserve"> </w:t>
      </w:r>
      <w:r w:rsidRPr="00C6052E">
        <w:t>in</w:t>
      </w:r>
      <w:r w:rsidRPr="00C6052E">
        <w:noBreakHyphen/>
        <w:t>demand</w:t>
      </w:r>
      <w:r w:rsidR="00177848" w:rsidRPr="00C6052E">
        <w:t xml:space="preserve"> </w:t>
      </w:r>
      <w:r w:rsidRPr="00C6052E">
        <w:t>social</w:t>
      </w:r>
      <w:r w:rsidR="00177848" w:rsidRPr="00C6052E">
        <w:t xml:space="preserve"> </w:t>
      </w:r>
      <w:r w:rsidRPr="00C6052E">
        <w:t>services</w:t>
      </w:r>
      <w:r w:rsidR="00177848" w:rsidRPr="00C6052E">
        <w:t xml:space="preserve"> </w:t>
      </w:r>
      <w:r w:rsidRPr="00C6052E">
        <w:t>workers.</w:t>
      </w:r>
      <w:r w:rsidR="00177848" w:rsidRPr="00C6052E">
        <w:t xml:space="preserve"> </w:t>
      </w:r>
      <w:r w:rsidRPr="00C6052E">
        <w:t>The</w:t>
      </w:r>
      <w:r w:rsidR="00177848" w:rsidRPr="00C6052E">
        <w:t xml:space="preserve"> </w:t>
      </w:r>
      <w:r w:rsidRPr="00C6052E">
        <w:t>2024–25</w:t>
      </w:r>
      <w:r w:rsidR="00177848" w:rsidRPr="00C6052E">
        <w:t xml:space="preserve"> </w:t>
      </w:r>
      <w:r w:rsidRPr="00C6052E">
        <w:t>program</w:t>
      </w:r>
      <w:r w:rsidR="00177848" w:rsidRPr="00C6052E">
        <w:t xml:space="preserve"> </w:t>
      </w:r>
      <w:r w:rsidRPr="00C6052E">
        <w:t>also</w:t>
      </w:r>
      <w:r w:rsidR="00177848" w:rsidRPr="00C6052E">
        <w:t xml:space="preserve"> </w:t>
      </w:r>
      <w:r w:rsidRPr="00C6052E">
        <w:t>assisted</w:t>
      </w:r>
      <w:r w:rsidR="00177848" w:rsidRPr="00C6052E">
        <w:t xml:space="preserve"> </w:t>
      </w:r>
      <w:r w:rsidRPr="00C6052E">
        <w:t>the</w:t>
      </w:r>
      <w:r w:rsidR="00177848" w:rsidRPr="00C6052E">
        <w:t xml:space="preserve"> </w:t>
      </w:r>
      <w:r w:rsidRPr="00C6052E">
        <w:t>wider</w:t>
      </w:r>
      <w:r w:rsidR="00177848" w:rsidRPr="00C6052E">
        <w:t xml:space="preserve"> </w:t>
      </w:r>
      <w:r w:rsidRPr="00C6052E">
        <w:t>economy</w:t>
      </w:r>
      <w:r w:rsidR="00177848" w:rsidRPr="00C6052E">
        <w:t xml:space="preserve"> </w:t>
      </w:r>
      <w:r w:rsidRPr="00C6052E">
        <w:t>by</w:t>
      </w:r>
      <w:r w:rsidR="00177848" w:rsidRPr="00C6052E">
        <w:t xml:space="preserve"> </w:t>
      </w:r>
      <w:r w:rsidRPr="00C6052E">
        <w:t>nominating</w:t>
      </w:r>
      <w:r w:rsidR="00177848" w:rsidRPr="00C6052E">
        <w:t xml:space="preserve"> </w:t>
      </w:r>
      <w:r w:rsidRPr="00C6052E">
        <w:t>more</w:t>
      </w:r>
      <w:r w:rsidR="00177848" w:rsidRPr="00C6052E">
        <w:t xml:space="preserve"> </w:t>
      </w:r>
      <w:r w:rsidRPr="00C6052E">
        <w:t>than</w:t>
      </w:r>
      <w:r w:rsidR="00177848" w:rsidRPr="00C6052E">
        <w:t xml:space="preserve"> </w:t>
      </w:r>
      <w:r w:rsidRPr="00C6052E">
        <w:t>190</w:t>
      </w:r>
      <w:r w:rsidR="00177848" w:rsidRPr="00C6052E">
        <w:t xml:space="preserve"> </w:t>
      </w:r>
      <w:r w:rsidRPr="00C6052E">
        <w:t>senior</w:t>
      </w:r>
      <w:r w:rsidR="00177848" w:rsidRPr="00C6052E">
        <w:t xml:space="preserve"> </w:t>
      </w:r>
      <w:r w:rsidRPr="00C6052E">
        <w:t>chefs,</w:t>
      </w:r>
      <w:r w:rsidR="00177848" w:rsidRPr="00C6052E">
        <w:t xml:space="preserve"> </w:t>
      </w:r>
      <w:r w:rsidRPr="00C6052E">
        <w:t>hotel</w:t>
      </w:r>
      <w:r w:rsidR="00177848" w:rsidRPr="00C6052E">
        <w:t xml:space="preserve"> </w:t>
      </w:r>
      <w:r w:rsidRPr="00C6052E">
        <w:t>managers</w:t>
      </w:r>
      <w:r w:rsidR="00177848" w:rsidRPr="00C6052E">
        <w:t xml:space="preserve"> </w:t>
      </w:r>
      <w:r w:rsidRPr="00C6052E">
        <w:t>and</w:t>
      </w:r>
      <w:r w:rsidR="00177848" w:rsidRPr="00C6052E">
        <w:t xml:space="preserve"> </w:t>
      </w:r>
      <w:r w:rsidRPr="00C6052E">
        <w:t>other</w:t>
      </w:r>
      <w:r w:rsidR="00177848" w:rsidRPr="00C6052E">
        <w:t xml:space="preserve"> </w:t>
      </w:r>
      <w:r w:rsidRPr="00C6052E">
        <w:t>hospitality</w:t>
      </w:r>
      <w:r w:rsidR="00177848" w:rsidRPr="00C6052E">
        <w:t xml:space="preserve"> </w:t>
      </w:r>
      <w:r w:rsidRPr="00C6052E">
        <w:t>and</w:t>
      </w:r>
      <w:r w:rsidR="00177848" w:rsidRPr="00C6052E">
        <w:t xml:space="preserve"> </w:t>
      </w:r>
      <w:r w:rsidRPr="00C6052E">
        <w:t>tourism</w:t>
      </w:r>
      <w:r w:rsidR="00177848" w:rsidRPr="00C6052E">
        <w:t xml:space="preserve"> </w:t>
      </w:r>
      <w:r w:rsidRPr="00C6052E">
        <w:t>workers</w:t>
      </w:r>
      <w:r w:rsidR="00177848" w:rsidRPr="00C6052E">
        <w:t xml:space="preserve"> </w:t>
      </w:r>
      <w:r w:rsidRPr="00C6052E">
        <w:t>for</w:t>
      </w:r>
      <w:r w:rsidR="00177848" w:rsidRPr="00C6052E">
        <w:t xml:space="preserve"> </w:t>
      </w:r>
      <w:r w:rsidRPr="00C6052E">
        <w:lastRenderedPageBreak/>
        <w:t>regional</w:t>
      </w:r>
      <w:r w:rsidR="00177848" w:rsidRPr="00C6052E">
        <w:t xml:space="preserve"> </w:t>
      </w:r>
      <w:r w:rsidRPr="00C6052E">
        <w:t>Victoria</w:t>
      </w:r>
      <w:r w:rsidR="00177848" w:rsidRPr="00C6052E">
        <w:t xml:space="preserve"> </w:t>
      </w:r>
      <w:r w:rsidRPr="00C6052E">
        <w:t>and</w:t>
      </w:r>
      <w:r w:rsidR="00177848" w:rsidRPr="00C6052E">
        <w:t xml:space="preserve"> </w:t>
      </w:r>
      <w:r w:rsidRPr="00C6052E">
        <w:t>more</w:t>
      </w:r>
      <w:r w:rsidR="00177848" w:rsidRPr="00C6052E">
        <w:t xml:space="preserve"> </w:t>
      </w:r>
      <w:r w:rsidRPr="00C6052E">
        <w:t>than</w:t>
      </w:r>
      <w:r w:rsidR="00177848" w:rsidRPr="00C6052E">
        <w:t xml:space="preserve"> </w:t>
      </w:r>
      <w:r w:rsidRPr="00C6052E">
        <w:t>560</w:t>
      </w:r>
      <w:r w:rsidR="00177848" w:rsidRPr="00C6052E">
        <w:t xml:space="preserve"> </w:t>
      </w:r>
      <w:r w:rsidRPr="00C6052E">
        <w:t>skilled</w:t>
      </w:r>
      <w:r w:rsidR="00177848" w:rsidRPr="00C6052E">
        <w:t xml:space="preserve"> </w:t>
      </w:r>
      <w:r w:rsidRPr="00C6052E">
        <w:t>professionals</w:t>
      </w:r>
      <w:r w:rsidR="00177848" w:rsidRPr="00C6052E">
        <w:t xml:space="preserve"> </w:t>
      </w:r>
      <w:r w:rsidRPr="00C6052E">
        <w:t>in</w:t>
      </w:r>
      <w:r w:rsidR="00177848" w:rsidRPr="00C6052E">
        <w:t xml:space="preserve"> </w:t>
      </w:r>
      <w:r w:rsidRPr="00C6052E">
        <w:t>industries</w:t>
      </w:r>
      <w:r w:rsidR="00177848" w:rsidRPr="00C6052E">
        <w:t xml:space="preserve"> </w:t>
      </w:r>
      <w:r w:rsidRPr="00C6052E">
        <w:t>such</w:t>
      </w:r>
      <w:r w:rsidR="00177848" w:rsidRPr="00C6052E">
        <w:t xml:space="preserve"> </w:t>
      </w:r>
      <w:r w:rsidRPr="00C6052E">
        <w:t>as</w:t>
      </w:r>
      <w:r w:rsidR="00177848" w:rsidRPr="00C6052E">
        <w:t xml:space="preserve"> </w:t>
      </w:r>
      <w:r w:rsidRPr="00C6052E">
        <w:t>advanced</w:t>
      </w:r>
      <w:r w:rsidR="00177848" w:rsidRPr="00C6052E">
        <w:t xml:space="preserve"> </w:t>
      </w:r>
      <w:r w:rsidRPr="00C6052E">
        <w:t>manufacturing,</w:t>
      </w:r>
      <w:r w:rsidR="00177848" w:rsidRPr="00C6052E">
        <w:t xml:space="preserve"> </w:t>
      </w:r>
      <w:r w:rsidRPr="00C6052E">
        <w:t>engineering,</w:t>
      </w:r>
      <w:r w:rsidR="00177848" w:rsidRPr="00C6052E">
        <w:t xml:space="preserve"> </w:t>
      </w:r>
      <w:r w:rsidRPr="00C6052E">
        <w:t>infrastructure,</w:t>
      </w:r>
      <w:r w:rsidR="00177848" w:rsidRPr="00C6052E">
        <w:t xml:space="preserve"> </w:t>
      </w:r>
      <w:r w:rsidRPr="00C6052E">
        <w:t>information</w:t>
      </w:r>
      <w:r w:rsidR="00177848" w:rsidRPr="00C6052E">
        <w:t xml:space="preserve"> </w:t>
      </w:r>
      <w:r w:rsidRPr="00C6052E">
        <w:t>technology</w:t>
      </w:r>
      <w:r w:rsidR="00177848" w:rsidRPr="00C6052E">
        <w:t xml:space="preserve"> </w:t>
      </w:r>
      <w:r w:rsidRPr="00C6052E">
        <w:t>and</w:t>
      </w:r>
      <w:r w:rsidR="00177848" w:rsidRPr="00C6052E">
        <w:t xml:space="preserve"> </w:t>
      </w:r>
      <w:r w:rsidRPr="00C6052E">
        <w:t>renewable</w:t>
      </w:r>
      <w:r w:rsidR="00177848" w:rsidRPr="00C6052E">
        <w:t xml:space="preserve"> </w:t>
      </w:r>
      <w:r w:rsidRPr="00C6052E">
        <w:t>energy.</w:t>
      </w:r>
    </w:p>
    <w:p w14:paraId="6A2C9FD4" w14:textId="72A76E92" w:rsidR="00EE5BB8" w:rsidRPr="00C6052E" w:rsidRDefault="00EE5BB8" w:rsidP="00EE5BB8">
      <w:r w:rsidRPr="00C6052E">
        <w:t>The</w:t>
      </w:r>
      <w:r w:rsidR="00177848" w:rsidRPr="00C6052E">
        <w:t xml:space="preserve"> </w:t>
      </w:r>
      <w:r w:rsidRPr="00C6052E">
        <w:t>department</w:t>
      </w:r>
      <w:r w:rsidR="00177848" w:rsidRPr="00C6052E">
        <w:t xml:space="preserve"> </w:t>
      </w:r>
      <w:r w:rsidRPr="00C6052E">
        <w:t>also</w:t>
      </w:r>
      <w:r w:rsidR="00177848" w:rsidRPr="00C6052E">
        <w:t xml:space="preserve"> </w:t>
      </w:r>
      <w:r w:rsidRPr="00C6052E">
        <w:t>assisted</w:t>
      </w:r>
      <w:r w:rsidR="00177848" w:rsidRPr="00C6052E">
        <w:t xml:space="preserve"> </w:t>
      </w:r>
      <w:r w:rsidRPr="00C6052E">
        <w:t>overseas-qualified</w:t>
      </w:r>
      <w:r w:rsidR="00177848" w:rsidRPr="00C6052E">
        <w:t xml:space="preserve"> </w:t>
      </w:r>
      <w:r w:rsidRPr="00C6052E">
        <w:t>professionals</w:t>
      </w:r>
      <w:r w:rsidR="00177848" w:rsidRPr="00C6052E">
        <w:t xml:space="preserve"> </w:t>
      </w:r>
      <w:r w:rsidRPr="00C6052E">
        <w:t>to</w:t>
      </w:r>
      <w:r w:rsidR="00177848" w:rsidRPr="00C6052E">
        <w:t xml:space="preserve"> </w:t>
      </w:r>
      <w:r w:rsidRPr="00C6052E">
        <w:t>access</w:t>
      </w:r>
      <w:r w:rsidR="00177848" w:rsidRPr="00C6052E">
        <w:t xml:space="preserve"> </w:t>
      </w:r>
      <w:r w:rsidRPr="00C6052E">
        <w:t>employment</w:t>
      </w:r>
      <w:r w:rsidR="00177848" w:rsidRPr="00C6052E">
        <w:t xml:space="preserve"> </w:t>
      </w:r>
      <w:r w:rsidRPr="00C6052E">
        <w:t>pathways</w:t>
      </w:r>
      <w:r w:rsidR="00177848" w:rsidRPr="00C6052E">
        <w:t xml:space="preserve"> </w:t>
      </w:r>
      <w:r w:rsidRPr="00C6052E">
        <w:t>by</w:t>
      </w:r>
      <w:r w:rsidR="00177848" w:rsidRPr="00C6052E">
        <w:t xml:space="preserve"> </w:t>
      </w:r>
      <w:r w:rsidRPr="00C6052E">
        <w:rPr>
          <w:spacing w:val="-2"/>
        </w:rPr>
        <w:t>providing</w:t>
      </w:r>
      <w:r w:rsidR="00177848" w:rsidRPr="00C6052E">
        <w:rPr>
          <w:spacing w:val="-2"/>
        </w:rPr>
        <w:t xml:space="preserve"> </w:t>
      </w:r>
      <w:r w:rsidRPr="00C6052E">
        <w:rPr>
          <w:spacing w:val="-2"/>
        </w:rPr>
        <w:t>1,438</w:t>
      </w:r>
      <w:r w:rsidR="00177848" w:rsidRPr="00C6052E">
        <w:rPr>
          <w:spacing w:val="-2"/>
        </w:rPr>
        <w:t xml:space="preserve"> </w:t>
      </w:r>
      <w:r w:rsidRPr="00C6052E">
        <w:rPr>
          <w:spacing w:val="-2"/>
        </w:rPr>
        <w:t>assessments</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overseas</w:t>
      </w:r>
      <w:r w:rsidR="00177848" w:rsidRPr="00C6052E">
        <w:rPr>
          <w:spacing w:val="-2"/>
        </w:rPr>
        <w:t xml:space="preserve"> </w:t>
      </w:r>
      <w:r w:rsidRPr="00C6052E">
        <w:rPr>
          <w:spacing w:val="-2"/>
        </w:rPr>
        <w:t>qualifications.</w:t>
      </w:r>
      <w:r w:rsidR="00177848" w:rsidRPr="00C6052E">
        <w:t xml:space="preserve"> </w:t>
      </w:r>
      <w:r w:rsidRPr="00C6052E">
        <w:t>The</w:t>
      </w:r>
      <w:r w:rsidR="00177848" w:rsidRPr="00C6052E">
        <w:t xml:space="preserve"> </w:t>
      </w:r>
      <w:r w:rsidRPr="00C6052E">
        <w:t>assessment</w:t>
      </w:r>
      <w:r w:rsidR="00177848" w:rsidRPr="00C6052E">
        <w:t xml:space="preserve"> </w:t>
      </w:r>
      <w:r w:rsidRPr="00C6052E">
        <w:t>offered</w:t>
      </w:r>
      <w:r w:rsidR="00177848" w:rsidRPr="00C6052E">
        <w:t xml:space="preserve"> </w:t>
      </w:r>
      <w:r w:rsidRPr="00C6052E">
        <w:t>to</w:t>
      </w:r>
      <w:r w:rsidR="00177848" w:rsidRPr="00C6052E">
        <w:t xml:space="preserve"> </w:t>
      </w:r>
      <w:r w:rsidRPr="00C6052E">
        <w:t>these</w:t>
      </w:r>
      <w:r w:rsidR="00177848" w:rsidRPr="00C6052E">
        <w:t xml:space="preserve"> </w:t>
      </w:r>
      <w:r w:rsidRPr="00C6052E">
        <w:t>professionals</w:t>
      </w:r>
      <w:r w:rsidR="00177848" w:rsidRPr="00C6052E">
        <w:t xml:space="preserve"> </w:t>
      </w:r>
      <w:r w:rsidRPr="00C6052E">
        <w:t>confirmed</w:t>
      </w:r>
      <w:r w:rsidR="00177848" w:rsidRPr="00C6052E">
        <w:t xml:space="preserve"> </w:t>
      </w:r>
      <w:r w:rsidRPr="00C6052E">
        <w:t>that</w:t>
      </w:r>
      <w:r w:rsidR="00177848" w:rsidRPr="00C6052E">
        <w:t xml:space="preserve"> </w:t>
      </w:r>
      <w:r w:rsidRPr="00C6052E">
        <w:t>their</w:t>
      </w:r>
      <w:r w:rsidR="00177848" w:rsidRPr="00C6052E">
        <w:t xml:space="preserve"> </w:t>
      </w:r>
      <w:r w:rsidRPr="00C6052E">
        <w:t>qualifications</w:t>
      </w:r>
      <w:r w:rsidR="00177848" w:rsidRPr="00C6052E">
        <w:t xml:space="preserve"> </w:t>
      </w:r>
      <w:r w:rsidRPr="00C6052E">
        <w:t>were</w:t>
      </w:r>
      <w:r w:rsidR="00177848" w:rsidRPr="00C6052E">
        <w:t xml:space="preserve"> </w:t>
      </w:r>
      <w:r w:rsidRPr="00C6052E">
        <w:t>consistent</w:t>
      </w:r>
      <w:r w:rsidR="00177848" w:rsidRPr="00C6052E">
        <w:t xml:space="preserve"> </w:t>
      </w:r>
      <w:r w:rsidRPr="00C6052E">
        <w:t>with</w:t>
      </w:r>
      <w:r w:rsidR="00177848" w:rsidRPr="00C6052E">
        <w:t xml:space="preserve"> </w:t>
      </w:r>
      <w:r w:rsidRPr="00C6052E">
        <w:t>Australian</w:t>
      </w:r>
      <w:r w:rsidR="00177848" w:rsidRPr="00C6052E">
        <w:t xml:space="preserve"> </w:t>
      </w:r>
      <w:r w:rsidRPr="00C6052E">
        <w:t>qualifications</w:t>
      </w:r>
      <w:r w:rsidR="00177848" w:rsidRPr="00C6052E">
        <w:t xml:space="preserve"> </w:t>
      </w:r>
      <w:r w:rsidRPr="00C6052E">
        <w:t>according</w:t>
      </w:r>
      <w:r w:rsidR="00177848" w:rsidRPr="00C6052E">
        <w:t xml:space="preserve"> </w:t>
      </w:r>
      <w:r w:rsidRPr="00C6052E">
        <w:t>to</w:t>
      </w:r>
      <w:r w:rsidR="00177848" w:rsidRPr="00C6052E">
        <w:t xml:space="preserve"> </w:t>
      </w:r>
      <w:r w:rsidRPr="00C6052E">
        <w:t>the</w:t>
      </w:r>
      <w:r w:rsidR="00177848" w:rsidRPr="00C6052E">
        <w:t xml:space="preserve"> </w:t>
      </w:r>
      <w:r w:rsidRPr="00C6052E">
        <w:t>Australian</w:t>
      </w:r>
      <w:r w:rsidR="00177848" w:rsidRPr="00C6052E">
        <w:t xml:space="preserve"> </w:t>
      </w:r>
      <w:r w:rsidRPr="00C6052E">
        <w:t>Qualification</w:t>
      </w:r>
      <w:r w:rsidR="00177848" w:rsidRPr="00C6052E">
        <w:t xml:space="preserve"> </w:t>
      </w:r>
      <w:r w:rsidRPr="00C6052E">
        <w:t>Framework.</w:t>
      </w:r>
    </w:p>
    <w:p w14:paraId="4CFC6573" w14:textId="25388D39" w:rsidR="00EE5BB8" w:rsidRPr="00C6052E" w:rsidRDefault="00EE5BB8" w:rsidP="00EE5BB8">
      <w:pPr>
        <w:pStyle w:val="Heading3"/>
      </w:pPr>
      <w:bookmarkStart w:id="8" w:name="_Ref210206126"/>
      <w:r w:rsidRPr="00C6052E">
        <w:t>Performance</w:t>
      </w:r>
      <w:r w:rsidR="00177848" w:rsidRPr="00C6052E">
        <w:t xml:space="preserve"> </w:t>
      </w:r>
      <w:r w:rsidRPr="00C6052E">
        <w:t>against</w:t>
      </w:r>
      <w:r w:rsidR="00177848" w:rsidRPr="00C6052E">
        <w:t xml:space="preserve"> </w:t>
      </w:r>
      <w:r w:rsidRPr="00C6052E">
        <w:t>output</w:t>
      </w:r>
      <w:r w:rsidR="00177848" w:rsidRPr="00C6052E">
        <w:t xml:space="preserve"> </w:t>
      </w:r>
      <w:r w:rsidRPr="00C6052E">
        <w:t>measures</w:t>
      </w:r>
      <w:bookmarkEnd w:id="8"/>
    </w:p>
    <w:p w14:paraId="09CCDA07" w14:textId="7E38BA37" w:rsidR="00EE5BB8" w:rsidRPr="00C6052E" w:rsidRDefault="00EE5BB8" w:rsidP="00EE5BB8">
      <w:pPr>
        <w:rPr>
          <w:spacing w:val="-2"/>
        </w:rPr>
      </w:pPr>
      <w:r w:rsidRPr="00C6052E">
        <w:rPr>
          <w:spacing w:val="-2"/>
        </w:rPr>
        <w:t>Table</w:t>
      </w:r>
      <w:r w:rsidR="00177848" w:rsidRPr="00C6052E">
        <w:rPr>
          <w:spacing w:val="-2"/>
        </w:rPr>
        <w:t xml:space="preserve"> </w:t>
      </w:r>
      <w:r w:rsidRPr="00C6052E">
        <w:rPr>
          <w:spacing w:val="-2"/>
        </w:rPr>
        <w:t>2</w:t>
      </w:r>
      <w:r w:rsidR="00177848" w:rsidRPr="00C6052E">
        <w:rPr>
          <w:spacing w:val="-2"/>
        </w:rPr>
        <w:t xml:space="preserve"> </w:t>
      </w:r>
      <w:r w:rsidRPr="00C6052E">
        <w:rPr>
          <w:spacing w:val="-2"/>
        </w:rPr>
        <w:t>represents</w:t>
      </w:r>
      <w:r w:rsidR="00177848" w:rsidRPr="00C6052E">
        <w:rPr>
          <w:spacing w:val="-2"/>
        </w:rPr>
        <w:t xml:space="preserve"> </w:t>
      </w:r>
      <w:r w:rsidRPr="00C6052E">
        <w:rPr>
          <w:spacing w:val="-2"/>
        </w:rPr>
        <w:t>performance</w:t>
      </w:r>
      <w:r w:rsidR="00177848" w:rsidRPr="00C6052E">
        <w:rPr>
          <w:spacing w:val="-2"/>
        </w:rPr>
        <w:t xml:space="preserve"> </w:t>
      </w:r>
      <w:r w:rsidRPr="00C6052E">
        <w:rPr>
          <w:spacing w:val="-2"/>
        </w:rPr>
        <w:t>against</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Jobs</w:t>
      </w:r>
      <w:r w:rsidR="00177848" w:rsidRPr="00C6052E">
        <w:rPr>
          <w:spacing w:val="-2"/>
        </w:rPr>
        <w:t xml:space="preserve"> </w:t>
      </w:r>
      <w:r w:rsidRPr="00C6052E">
        <w:rPr>
          <w:spacing w:val="-2"/>
        </w:rPr>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includes</w:t>
      </w:r>
      <w:r w:rsidR="00177848" w:rsidRPr="00C6052E">
        <w:t xml:space="preserve"> </w:t>
      </w:r>
      <w:r w:rsidRPr="00C6052E">
        <w:t>actions</w:t>
      </w:r>
      <w:r w:rsidR="00177848" w:rsidRPr="00C6052E">
        <w:t xml:space="preserve"> </w:t>
      </w:r>
      <w:r w:rsidRPr="00C6052E">
        <w:t>to</w:t>
      </w:r>
      <w:r w:rsidR="00177848" w:rsidRPr="00C6052E">
        <w:t xml:space="preserve"> </w:t>
      </w:r>
      <w:r w:rsidRPr="00C6052E">
        <w:t>increase</w:t>
      </w:r>
      <w:r w:rsidR="00177848" w:rsidRPr="00C6052E">
        <w:t xml:space="preserve"> </w:t>
      </w:r>
      <w:r w:rsidRPr="00C6052E">
        <w:t>job</w:t>
      </w:r>
      <w:r w:rsidR="00177848" w:rsidRPr="00C6052E">
        <w:rPr>
          <w:spacing w:val="-2"/>
        </w:rPr>
        <w:t xml:space="preserve"> </w:t>
      </w:r>
      <w:r w:rsidRPr="00C6052E">
        <w:rPr>
          <w:spacing w:val="-2"/>
        </w:rPr>
        <w:t>opportunities</w:t>
      </w:r>
      <w:r w:rsidR="00177848" w:rsidRPr="00C6052E">
        <w:rPr>
          <w:spacing w:val="-2"/>
        </w:rPr>
        <w:t xml:space="preserve"> </w:t>
      </w:r>
      <w:r w:rsidRPr="00C6052E">
        <w:rPr>
          <w:spacing w:val="-2"/>
        </w:rPr>
        <w:t>including</w:t>
      </w:r>
      <w:r w:rsidR="00177848" w:rsidRPr="00C6052E">
        <w:rPr>
          <w:spacing w:val="-2"/>
        </w:rPr>
        <w:t xml:space="preserve"> </w:t>
      </w:r>
      <w:r w:rsidRPr="00C6052E">
        <w:rPr>
          <w:spacing w:val="-2"/>
        </w:rPr>
        <w:t>initiatives</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support</w:t>
      </w:r>
      <w:r w:rsidR="00177848" w:rsidRPr="00C6052E">
        <w:rPr>
          <w:spacing w:val="-2"/>
        </w:rPr>
        <w:t xml:space="preserve"> </w:t>
      </w:r>
      <w:r w:rsidRPr="00C6052E">
        <w:rPr>
          <w:spacing w:val="-2"/>
        </w:rPr>
        <w:t>Victorians</w:t>
      </w:r>
      <w:r w:rsidR="00177848" w:rsidRPr="00C6052E">
        <w:rPr>
          <w:spacing w:val="-2"/>
        </w:rPr>
        <w:t xml:space="preserve"> </w:t>
      </w:r>
      <w:r w:rsidRPr="00C6052E">
        <w:rPr>
          <w:spacing w:val="-2"/>
        </w:rPr>
        <w:t>experiencing</w:t>
      </w:r>
      <w:r w:rsidR="00177848" w:rsidRPr="00C6052E">
        <w:rPr>
          <w:spacing w:val="-2"/>
        </w:rPr>
        <w:t xml:space="preserve"> </w:t>
      </w:r>
      <w:r w:rsidRPr="00C6052E">
        <w:rPr>
          <w:spacing w:val="-2"/>
        </w:rPr>
        <w:t>disadvantage</w:t>
      </w:r>
      <w:r w:rsidR="00177848" w:rsidRPr="00C6052E">
        <w:rPr>
          <w:spacing w:val="-2"/>
        </w:rPr>
        <w:t xml:space="preserve"> </w:t>
      </w:r>
      <w:r w:rsidRPr="00C6052E">
        <w:rPr>
          <w:spacing w:val="-2"/>
        </w:rPr>
        <w:t>into</w:t>
      </w:r>
      <w:r w:rsidR="00177848" w:rsidRPr="00C6052E">
        <w:rPr>
          <w:spacing w:val="-2"/>
        </w:rPr>
        <w:t xml:space="preserve"> </w:t>
      </w:r>
      <w:r w:rsidRPr="00C6052E">
        <w:rPr>
          <w:spacing w:val="-2"/>
        </w:rPr>
        <w:t>employment,</w:t>
      </w:r>
      <w:r w:rsidR="00177848" w:rsidRPr="00C6052E">
        <w:rPr>
          <w:spacing w:val="-2"/>
        </w:rPr>
        <w:t xml:space="preserve"> </w:t>
      </w:r>
      <w:r w:rsidRPr="00C6052E">
        <w:rPr>
          <w:spacing w:val="-2"/>
        </w:rPr>
        <w:t>support</w:t>
      </w:r>
      <w:r w:rsidR="00177848" w:rsidRPr="00C6052E">
        <w:rPr>
          <w:spacing w:val="-2"/>
        </w:rPr>
        <w:t xml:space="preserve"> </w:t>
      </w:r>
      <w:r w:rsidRPr="00C6052E">
        <w:rPr>
          <w:spacing w:val="-2"/>
        </w:rPr>
        <w:t>Aboriginal</w:t>
      </w:r>
      <w:r w:rsidR="00177848" w:rsidRPr="00C6052E">
        <w:rPr>
          <w:spacing w:val="-2"/>
        </w:rPr>
        <w:t xml:space="preserve"> </w:t>
      </w:r>
      <w:r w:rsidRPr="00C6052E">
        <w:rPr>
          <w:spacing w:val="-2"/>
        </w:rPr>
        <w:t>economic</w:t>
      </w:r>
      <w:r w:rsidR="00177848" w:rsidRPr="00C6052E">
        <w:rPr>
          <w:spacing w:val="-2"/>
        </w:rPr>
        <w:t xml:space="preserve"> </w:t>
      </w:r>
      <w:r w:rsidRPr="00C6052E">
        <w:rPr>
          <w:spacing w:val="-2"/>
        </w:rPr>
        <w:t>inclusion,</w:t>
      </w:r>
      <w:r w:rsidR="00177848" w:rsidRPr="00C6052E">
        <w:rPr>
          <w:spacing w:val="-2"/>
        </w:rPr>
        <w:t xml:space="preserve"> </w:t>
      </w:r>
      <w:r w:rsidRPr="00C6052E">
        <w:rPr>
          <w:spacing w:val="-2"/>
        </w:rPr>
        <w:t>as</w:t>
      </w:r>
      <w:r w:rsidR="00177848" w:rsidRPr="00C6052E">
        <w:rPr>
          <w:spacing w:val="-2"/>
        </w:rPr>
        <w:t xml:space="preserve"> </w:t>
      </w:r>
      <w:r w:rsidRPr="00C6052E">
        <w:rPr>
          <w:spacing w:val="-2"/>
        </w:rPr>
        <w:t>well</w:t>
      </w:r>
      <w:r w:rsidR="00177848" w:rsidRPr="00C6052E">
        <w:rPr>
          <w:spacing w:val="-2"/>
        </w:rPr>
        <w:t xml:space="preserve"> </w:t>
      </w:r>
      <w:r w:rsidRPr="00C6052E">
        <w:rPr>
          <w:spacing w:val="-2"/>
        </w:rPr>
        <w:t>as</w:t>
      </w:r>
      <w:r w:rsidR="00177848" w:rsidRPr="00C6052E">
        <w:rPr>
          <w:spacing w:val="-2"/>
        </w:rPr>
        <w:t xml:space="preserve"> </w:t>
      </w:r>
      <w:r w:rsidRPr="00C6052E">
        <w:rPr>
          <w:spacing w:val="-2"/>
        </w:rPr>
        <w:t>attract</w:t>
      </w:r>
      <w:r w:rsidR="00177848" w:rsidRPr="00C6052E">
        <w:rPr>
          <w:spacing w:val="-2"/>
        </w:rPr>
        <w:t xml:space="preserve"> </w:t>
      </w:r>
      <w:r w:rsidRPr="00C6052E">
        <w:rPr>
          <w:spacing w:val="-2"/>
        </w:rPr>
        <w:t>new</w:t>
      </w:r>
      <w:r w:rsidR="00177848" w:rsidRPr="00C6052E">
        <w:rPr>
          <w:spacing w:val="-2"/>
        </w:rPr>
        <w:t xml:space="preserve"> </w:t>
      </w:r>
      <w:r w:rsidRPr="00C6052E">
        <w:rPr>
          <w:spacing w:val="-2"/>
        </w:rPr>
        <w:t>investment</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talent</w:t>
      </w:r>
      <w:r w:rsidR="00177848" w:rsidRPr="00C6052E">
        <w:rPr>
          <w:spacing w:val="-2"/>
        </w:rPr>
        <w:t xml:space="preserve"> </w:t>
      </w:r>
      <w:r w:rsidRPr="00C6052E">
        <w:rPr>
          <w:spacing w:val="-2"/>
        </w:rPr>
        <w:t>into</w:t>
      </w:r>
      <w:r w:rsidR="00177848" w:rsidRPr="00C6052E">
        <w:rPr>
          <w:spacing w:val="-2"/>
        </w:rPr>
        <w:t xml:space="preserve"> </w:t>
      </w:r>
      <w:r w:rsidRPr="00C6052E">
        <w:rPr>
          <w:spacing w:val="-2"/>
        </w:rPr>
        <w:t>Victoria</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grow</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economy</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share</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benefits</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economic</w:t>
      </w:r>
      <w:r w:rsidR="00177848" w:rsidRPr="00C6052E">
        <w:rPr>
          <w:spacing w:val="-2"/>
        </w:rPr>
        <w:t xml:space="preserve"> </w:t>
      </w:r>
      <w:r w:rsidRPr="00C6052E">
        <w:rPr>
          <w:spacing w:val="-2"/>
        </w:rPr>
        <w:t>prosperity.</w:t>
      </w:r>
    </w:p>
    <w:p w14:paraId="12D4EB94" w14:textId="433F846B" w:rsidR="00EE5BB8" w:rsidRPr="00C6052E" w:rsidRDefault="00EE5BB8" w:rsidP="00EE5BB8">
      <w:pPr>
        <w:pStyle w:val="TableHeading"/>
      </w:pPr>
      <w:r w:rsidRPr="00C6052E">
        <w:t>Table</w:t>
      </w:r>
      <w:r w:rsidR="00177848" w:rsidRPr="00C6052E">
        <w:t xml:space="preserve"> </w:t>
      </w:r>
      <w:r w:rsidRPr="00C6052E">
        <w:t>2:</w:t>
      </w:r>
      <w:r w:rsidR="00177848" w:rsidRPr="00C6052E">
        <w:t xml:space="preserve"> </w:t>
      </w:r>
      <w:r w:rsidRPr="00C6052E">
        <w:t>Output</w:t>
      </w:r>
      <w:r w:rsidR="00177848" w:rsidRPr="00C6052E">
        <w:t xml:space="preserve"> </w:t>
      </w:r>
      <w:r w:rsidRPr="00C6052E">
        <w:t>–</w:t>
      </w:r>
      <w:r w:rsidR="00177848" w:rsidRPr="00C6052E">
        <w:t xml:space="preserve"> </w:t>
      </w:r>
      <w:r w:rsidRPr="00C6052E">
        <w:t>Jobs</w:t>
      </w:r>
    </w:p>
    <w:tbl>
      <w:tblPr>
        <w:tblStyle w:val="TableGrid"/>
        <w:tblW w:w="9634" w:type="dxa"/>
        <w:tblLayout w:type="fixed"/>
        <w:tblLook w:val="04E0" w:firstRow="1" w:lastRow="1" w:firstColumn="1" w:lastColumn="0" w:noHBand="0" w:noVBand="1"/>
      </w:tblPr>
      <w:tblGrid>
        <w:gridCol w:w="4390"/>
        <w:gridCol w:w="1020"/>
        <w:gridCol w:w="1020"/>
        <w:gridCol w:w="1020"/>
        <w:gridCol w:w="1361"/>
        <w:gridCol w:w="823"/>
      </w:tblGrid>
      <w:tr w:rsidR="00EE5BB8" w:rsidRPr="00C6052E" w14:paraId="3AEC1BD6" w14:textId="77777777" w:rsidTr="0063097D">
        <w:trPr>
          <w:tblHeader/>
        </w:trPr>
        <w:tc>
          <w:tcPr>
            <w:tcW w:w="4390" w:type="dxa"/>
            <w:hideMark/>
          </w:tcPr>
          <w:p w14:paraId="0D5E469D" w14:textId="6BC412F1" w:rsidR="00EE5BB8" w:rsidRPr="00C6052E" w:rsidRDefault="00EE5BB8" w:rsidP="0063097D">
            <w:pPr>
              <w:pStyle w:val="TableColumnHeading"/>
              <w:rPr>
                <w:lang w:val="en-AU"/>
              </w:rPr>
            </w:pPr>
            <w:bookmarkStart w:id="9" w:name="TableColumnHeadings_8"/>
            <w:bookmarkEnd w:id="9"/>
            <w:r w:rsidRPr="00C6052E">
              <w:rPr>
                <w:lang w:val="en-AU"/>
              </w:rPr>
              <w:t>Performance</w:t>
            </w:r>
            <w:r w:rsidR="00177848" w:rsidRPr="00C6052E">
              <w:rPr>
                <w:lang w:val="en-AU"/>
              </w:rPr>
              <w:t xml:space="preserve"> </w:t>
            </w:r>
            <w:r w:rsidRPr="00C6052E">
              <w:rPr>
                <w:lang w:val="en-AU"/>
              </w:rPr>
              <w:t>measures</w:t>
            </w:r>
          </w:p>
        </w:tc>
        <w:tc>
          <w:tcPr>
            <w:tcW w:w="1020" w:type="dxa"/>
            <w:hideMark/>
          </w:tcPr>
          <w:p w14:paraId="74C7B133" w14:textId="62CF8D54" w:rsidR="00EE5BB8" w:rsidRPr="00C6052E" w:rsidRDefault="00EE5BB8" w:rsidP="0063097D">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2BE5EC43" w14:textId="77777777" w:rsidR="00EE5BB8" w:rsidRPr="00C6052E" w:rsidRDefault="00EE5BB8" w:rsidP="0063097D">
            <w:pPr>
              <w:pStyle w:val="TableColumnHeading"/>
              <w:jc w:val="right"/>
              <w:rPr>
                <w:lang w:val="en-AU"/>
              </w:rPr>
            </w:pPr>
            <w:r w:rsidRPr="00C6052E">
              <w:rPr>
                <w:lang w:val="en-AU"/>
              </w:rPr>
              <w:t>2024–25</w:t>
            </w:r>
            <w:r w:rsidRPr="00C6052E">
              <w:rPr>
                <w:lang w:val="en-AU"/>
              </w:rPr>
              <w:br/>
              <w:t>Actual</w:t>
            </w:r>
          </w:p>
        </w:tc>
        <w:tc>
          <w:tcPr>
            <w:tcW w:w="1020" w:type="dxa"/>
            <w:hideMark/>
          </w:tcPr>
          <w:p w14:paraId="2EA58E33" w14:textId="3E90A803" w:rsidR="00EE5BB8" w:rsidRPr="00C6052E" w:rsidRDefault="00EE5BB8" w:rsidP="0063097D">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204CF56C" w14:textId="63D4606E" w:rsidR="00EE5BB8" w:rsidRPr="00C6052E" w:rsidRDefault="00EE5BB8" w:rsidP="0063097D">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823" w:type="dxa"/>
            <w:hideMark/>
          </w:tcPr>
          <w:p w14:paraId="4370013B" w14:textId="77777777" w:rsidR="00EE5BB8" w:rsidRPr="00C6052E" w:rsidRDefault="00EE5BB8" w:rsidP="0063097D">
            <w:pPr>
              <w:pStyle w:val="TableColumnHeading"/>
              <w:jc w:val="right"/>
              <w:rPr>
                <w:lang w:val="en-AU"/>
              </w:rPr>
            </w:pPr>
            <w:r w:rsidRPr="00C6052E">
              <w:rPr>
                <w:lang w:val="en-AU"/>
              </w:rPr>
              <w:t>Result</w:t>
            </w:r>
          </w:p>
        </w:tc>
      </w:tr>
      <w:tr w:rsidR="00EE5BB8" w:rsidRPr="00C6052E" w14:paraId="72CA3660" w14:textId="77777777" w:rsidTr="0063097D">
        <w:tc>
          <w:tcPr>
            <w:tcW w:w="4390" w:type="dxa"/>
          </w:tcPr>
          <w:p w14:paraId="0EF4ADB2" w14:textId="77777777" w:rsidR="00EE5BB8" w:rsidRPr="00C6052E" w:rsidRDefault="00EE5BB8" w:rsidP="00177848">
            <w:pPr>
              <w:pStyle w:val="TableHeading"/>
              <w:rPr>
                <w:lang w:val="en-AU"/>
              </w:rPr>
            </w:pPr>
            <w:r w:rsidRPr="00C6052E">
              <w:rPr>
                <w:lang w:val="en-AU"/>
              </w:rPr>
              <w:t>Quantity</w:t>
            </w:r>
          </w:p>
        </w:tc>
        <w:tc>
          <w:tcPr>
            <w:tcW w:w="1020" w:type="dxa"/>
          </w:tcPr>
          <w:p w14:paraId="5BB84E0B" w14:textId="77777777" w:rsidR="00EE5BB8" w:rsidRPr="00C6052E" w:rsidRDefault="00EE5BB8" w:rsidP="00177848">
            <w:pPr>
              <w:pStyle w:val="TableHeading"/>
              <w:rPr>
                <w:lang w:val="en-AU"/>
              </w:rPr>
            </w:pPr>
          </w:p>
        </w:tc>
        <w:tc>
          <w:tcPr>
            <w:tcW w:w="1020" w:type="dxa"/>
            <w:noWrap/>
          </w:tcPr>
          <w:p w14:paraId="4896E7AB" w14:textId="77777777" w:rsidR="00EE5BB8" w:rsidRPr="00C6052E" w:rsidRDefault="00EE5BB8" w:rsidP="00177848">
            <w:pPr>
              <w:pStyle w:val="TableHeading"/>
              <w:rPr>
                <w:lang w:val="en-AU"/>
              </w:rPr>
            </w:pPr>
          </w:p>
        </w:tc>
        <w:tc>
          <w:tcPr>
            <w:tcW w:w="1020" w:type="dxa"/>
            <w:noWrap/>
          </w:tcPr>
          <w:p w14:paraId="604265A2" w14:textId="77777777" w:rsidR="00EE5BB8" w:rsidRPr="00C6052E" w:rsidRDefault="00EE5BB8" w:rsidP="00177848">
            <w:pPr>
              <w:pStyle w:val="TableHeading"/>
              <w:rPr>
                <w:lang w:val="en-AU"/>
              </w:rPr>
            </w:pPr>
          </w:p>
        </w:tc>
        <w:tc>
          <w:tcPr>
            <w:tcW w:w="1361" w:type="dxa"/>
            <w:noWrap/>
          </w:tcPr>
          <w:p w14:paraId="6E41E1DF" w14:textId="77777777" w:rsidR="00EE5BB8" w:rsidRPr="00C6052E" w:rsidRDefault="00EE5BB8" w:rsidP="00177848">
            <w:pPr>
              <w:pStyle w:val="TableHeading"/>
              <w:rPr>
                <w:lang w:val="en-AU"/>
              </w:rPr>
            </w:pPr>
          </w:p>
        </w:tc>
        <w:tc>
          <w:tcPr>
            <w:tcW w:w="823" w:type="dxa"/>
            <w:noWrap/>
          </w:tcPr>
          <w:p w14:paraId="70832909" w14:textId="77777777" w:rsidR="00EE5BB8" w:rsidRPr="00C6052E" w:rsidRDefault="00EE5BB8" w:rsidP="00177848">
            <w:pPr>
              <w:pStyle w:val="TableHeading"/>
              <w:rPr>
                <w:rStyle w:val="Wingdings"/>
                <w:rFonts w:ascii="Arial" w:hAnsi="Arial"/>
                <w:lang w:val="en-AU"/>
              </w:rPr>
            </w:pPr>
          </w:p>
        </w:tc>
      </w:tr>
      <w:tr w:rsidR="00EE5BB8" w:rsidRPr="00C6052E" w14:paraId="642CB3B2" w14:textId="77777777" w:rsidTr="0063097D">
        <w:tc>
          <w:tcPr>
            <w:tcW w:w="4390" w:type="dxa"/>
            <w:hideMark/>
          </w:tcPr>
          <w:p w14:paraId="69797801" w14:textId="77777777" w:rsidR="00EE5BB8" w:rsidRDefault="00EE5BB8" w:rsidP="0063097D">
            <w:pPr>
              <w:pStyle w:val="TableCopy"/>
              <w:rPr>
                <w:lang w:val="en-AU"/>
              </w:rPr>
            </w:pPr>
            <w:r w:rsidRPr="00C6052E">
              <w:rPr>
                <w:lang w:val="en-AU"/>
              </w:rPr>
              <w:t>Disadvantaged</w:t>
            </w:r>
            <w:r w:rsidR="00177848" w:rsidRPr="00C6052E">
              <w:rPr>
                <w:lang w:val="en-AU"/>
              </w:rPr>
              <w:t xml:space="preserve"> </w:t>
            </w:r>
            <w:r w:rsidRPr="00C6052E">
              <w:rPr>
                <w:lang w:val="en-AU"/>
              </w:rPr>
              <w:t>jobseekers</w:t>
            </w:r>
            <w:r w:rsidR="00177848" w:rsidRPr="00C6052E">
              <w:rPr>
                <w:lang w:val="en-AU"/>
              </w:rPr>
              <w:t xml:space="preserve"> </w:t>
            </w:r>
            <w:r w:rsidRPr="00C6052E">
              <w:rPr>
                <w:lang w:val="en-AU"/>
              </w:rPr>
              <w:t>who</w:t>
            </w:r>
            <w:r w:rsidR="00177848" w:rsidRPr="00C6052E">
              <w:rPr>
                <w:lang w:val="en-AU"/>
              </w:rPr>
              <w:t xml:space="preserve"> </w:t>
            </w:r>
            <w:r w:rsidRPr="00C6052E">
              <w:rPr>
                <w:lang w:val="en-AU"/>
              </w:rPr>
              <w:t>achieve</w:t>
            </w:r>
            <w:r w:rsidR="00177848" w:rsidRPr="00C6052E">
              <w:rPr>
                <w:lang w:val="en-AU"/>
              </w:rPr>
              <w:t xml:space="preserve"> </w:t>
            </w:r>
            <w:r w:rsidRPr="00C6052E">
              <w:rPr>
                <w:lang w:val="en-AU"/>
              </w:rPr>
              <w:t>sustainable</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(minimum</w:t>
            </w:r>
            <w:r w:rsidR="00177848" w:rsidRPr="00C6052E">
              <w:rPr>
                <w:lang w:val="en-AU"/>
              </w:rPr>
              <w:t xml:space="preserve"> </w:t>
            </w: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26</w:t>
            </w:r>
            <w:r w:rsidR="00177848" w:rsidRPr="00C6052E">
              <w:rPr>
                <w:lang w:val="en-AU"/>
              </w:rPr>
              <w:t xml:space="preserve"> </w:t>
            </w:r>
            <w:r w:rsidRPr="00C6052E">
              <w:rPr>
                <w:lang w:val="en-AU"/>
              </w:rPr>
              <w:t>weeks)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Services</w:t>
            </w:r>
          </w:p>
          <w:p w14:paraId="529507AC" w14:textId="4451758E" w:rsidR="006C36CA" w:rsidRPr="00C6052E" w:rsidRDefault="006C36CA" w:rsidP="006C36CA">
            <w:pPr>
              <w:pStyle w:val="Tablenotes-indented"/>
              <w:ind w:left="227" w:firstLine="0"/>
              <w:rPr>
                <w:lang w:val="en-AU"/>
              </w:rPr>
            </w:pPr>
            <w:r w:rsidRPr="00C6052E">
              <w:rPr>
                <w:lang w:val="en-AU"/>
              </w:rPr>
              <w:t>Higher result reflects strong performance of the Jobs Victoria Mentors program in achieving placements in previous periods, which is now driving higher volume of 26-week employment outcomes.</w:t>
            </w:r>
          </w:p>
        </w:tc>
        <w:tc>
          <w:tcPr>
            <w:tcW w:w="1020" w:type="dxa"/>
            <w:hideMark/>
          </w:tcPr>
          <w:p w14:paraId="3A5422A2"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48C16FD3" w14:textId="77777777" w:rsidR="00EE5BB8" w:rsidRPr="00C6052E" w:rsidRDefault="00EE5BB8" w:rsidP="0063097D">
            <w:pPr>
              <w:pStyle w:val="TableCopy"/>
              <w:jc w:val="right"/>
              <w:rPr>
                <w:lang w:val="en-AU"/>
              </w:rPr>
            </w:pPr>
            <w:r w:rsidRPr="00C6052E">
              <w:rPr>
                <w:lang w:val="en-AU"/>
              </w:rPr>
              <w:t>1,524</w:t>
            </w:r>
          </w:p>
        </w:tc>
        <w:tc>
          <w:tcPr>
            <w:tcW w:w="1020" w:type="dxa"/>
            <w:noWrap/>
            <w:hideMark/>
          </w:tcPr>
          <w:p w14:paraId="3FEBDCBA" w14:textId="77777777" w:rsidR="00EE5BB8" w:rsidRPr="00C6052E" w:rsidRDefault="00EE5BB8" w:rsidP="0063097D">
            <w:pPr>
              <w:pStyle w:val="TableCopy"/>
              <w:jc w:val="right"/>
              <w:rPr>
                <w:lang w:val="en-AU"/>
              </w:rPr>
            </w:pPr>
            <w:r w:rsidRPr="00C6052E">
              <w:rPr>
                <w:lang w:val="en-AU"/>
              </w:rPr>
              <w:t>885</w:t>
            </w:r>
          </w:p>
        </w:tc>
        <w:tc>
          <w:tcPr>
            <w:tcW w:w="1361" w:type="dxa"/>
            <w:noWrap/>
            <w:hideMark/>
          </w:tcPr>
          <w:p w14:paraId="567F94B3" w14:textId="77777777" w:rsidR="00EE5BB8" w:rsidRPr="00C6052E" w:rsidRDefault="00EE5BB8" w:rsidP="0063097D">
            <w:pPr>
              <w:pStyle w:val="TableCopy"/>
              <w:jc w:val="right"/>
              <w:rPr>
                <w:lang w:val="en-AU"/>
              </w:rPr>
            </w:pPr>
            <w:r w:rsidRPr="00C6052E">
              <w:rPr>
                <w:lang w:val="en-AU"/>
              </w:rPr>
              <w:t>72.2%</w:t>
            </w:r>
          </w:p>
        </w:tc>
        <w:tc>
          <w:tcPr>
            <w:tcW w:w="823" w:type="dxa"/>
            <w:noWrap/>
            <w:hideMark/>
          </w:tcPr>
          <w:p w14:paraId="77787BA7" w14:textId="77777777" w:rsidR="00EE5BB8" w:rsidRPr="00C6052E" w:rsidRDefault="00EE5BB8" w:rsidP="00177848">
            <w:pPr>
              <w:pStyle w:val="TableCopy"/>
              <w:jc w:val="right"/>
              <w:rPr>
                <w:lang w:val="en-AU"/>
              </w:rPr>
            </w:pPr>
            <w:r w:rsidRPr="00C6052E">
              <w:rPr>
                <w:lang w:val="en-AU"/>
              </w:rPr>
              <w:t>1</w:t>
            </w:r>
          </w:p>
        </w:tc>
      </w:tr>
      <w:tr w:rsidR="00EE5BB8" w:rsidRPr="00C6052E" w14:paraId="4453D9A9" w14:textId="77777777" w:rsidTr="0063097D">
        <w:tc>
          <w:tcPr>
            <w:tcW w:w="4390" w:type="dxa"/>
            <w:hideMark/>
          </w:tcPr>
          <w:p w14:paraId="18AB0DB0" w14:textId="77777777" w:rsidR="00EE5BB8" w:rsidRDefault="00EE5BB8" w:rsidP="0063097D">
            <w:pPr>
              <w:pStyle w:val="TableCopy"/>
              <w:rPr>
                <w:lang w:val="en-AU"/>
              </w:rPr>
            </w:pPr>
            <w:r w:rsidRPr="00C6052E">
              <w:rPr>
                <w:lang w:val="en-AU"/>
              </w:rPr>
              <w:t>Disadvantaged</w:t>
            </w:r>
            <w:r w:rsidR="00177848" w:rsidRPr="00C6052E">
              <w:rPr>
                <w:lang w:val="en-AU"/>
              </w:rPr>
              <w:t xml:space="preserve"> </w:t>
            </w:r>
            <w:r w:rsidRPr="00C6052E">
              <w:rPr>
                <w:lang w:val="en-AU"/>
              </w:rPr>
              <w:t>jobseekers</w:t>
            </w:r>
            <w:r w:rsidR="00177848" w:rsidRPr="00C6052E">
              <w:rPr>
                <w:lang w:val="en-AU"/>
              </w:rPr>
              <w:t xml:space="preserve"> </w:t>
            </w:r>
            <w:r w:rsidRPr="00C6052E">
              <w:rPr>
                <w:lang w:val="en-AU"/>
              </w:rPr>
              <w:t>who</w:t>
            </w:r>
            <w:r w:rsidR="00177848" w:rsidRPr="00C6052E">
              <w:rPr>
                <w:lang w:val="en-AU"/>
              </w:rPr>
              <w:t xml:space="preserve"> </w:t>
            </w:r>
            <w:r w:rsidRPr="00C6052E">
              <w:rPr>
                <w:lang w:val="en-AU"/>
              </w:rPr>
              <w:t>gain</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Services</w:t>
            </w:r>
          </w:p>
          <w:p w14:paraId="36BD9F61" w14:textId="7C16F303" w:rsidR="006C36CA" w:rsidRPr="00C6052E" w:rsidRDefault="006C36CA" w:rsidP="006C36CA">
            <w:pPr>
              <w:pStyle w:val="Tablenotes-indented"/>
              <w:ind w:left="227" w:firstLine="0"/>
              <w:rPr>
                <w:lang w:val="en-AU"/>
              </w:rPr>
            </w:pPr>
            <w:r w:rsidRPr="00C6052E">
              <w:rPr>
                <w:lang w:val="en-AU"/>
              </w:rPr>
              <w:t>Higher result due to increased demand for employment support services, in addition to Jobs Victoria Mentors being extended from March 2025 to June 2025.</w:t>
            </w:r>
          </w:p>
        </w:tc>
        <w:tc>
          <w:tcPr>
            <w:tcW w:w="1020" w:type="dxa"/>
            <w:hideMark/>
          </w:tcPr>
          <w:p w14:paraId="23982C60"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1FEB1414" w14:textId="77777777" w:rsidR="00EE5BB8" w:rsidRPr="00C6052E" w:rsidRDefault="00EE5BB8" w:rsidP="0063097D">
            <w:pPr>
              <w:pStyle w:val="TableCopy"/>
              <w:jc w:val="right"/>
              <w:rPr>
                <w:lang w:val="en-AU"/>
              </w:rPr>
            </w:pPr>
            <w:r w:rsidRPr="00C6052E">
              <w:rPr>
                <w:lang w:val="en-AU"/>
              </w:rPr>
              <w:t>1,716</w:t>
            </w:r>
          </w:p>
        </w:tc>
        <w:tc>
          <w:tcPr>
            <w:tcW w:w="1020" w:type="dxa"/>
            <w:noWrap/>
            <w:hideMark/>
          </w:tcPr>
          <w:p w14:paraId="186DF565" w14:textId="77777777" w:rsidR="00EE5BB8" w:rsidRPr="00C6052E" w:rsidRDefault="00EE5BB8" w:rsidP="0063097D">
            <w:pPr>
              <w:pStyle w:val="TableCopy"/>
              <w:jc w:val="right"/>
              <w:rPr>
                <w:lang w:val="en-AU"/>
              </w:rPr>
            </w:pPr>
            <w:r w:rsidRPr="00C6052E">
              <w:rPr>
                <w:lang w:val="en-AU"/>
              </w:rPr>
              <w:t>900</w:t>
            </w:r>
          </w:p>
        </w:tc>
        <w:tc>
          <w:tcPr>
            <w:tcW w:w="1361" w:type="dxa"/>
            <w:noWrap/>
            <w:hideMark/>
          </w:tcPr>
          <w:p w14:paraId="4D6BEB06" w14:textId="77777777" w:rsidR="00EE5BB8" w:rsidRPr="00C6052E" w:rsidRDefault="00EE5BB8" w:rsidP="0063097D">
            <w:pPr>
              <w:pStyle w:val="TableCopy"/>
              <w:jc w:val="right"/>
              <w:rPr>
                <w:lang w:val="en-AU"/>
              </w:rPr>
            </w:pPr>
            <w:r w:rsidRPr="00C6052E">
              <w:rPr>
                <w:lang w:val="en-AU"/>
              </w:rPr>
              <w:t>90.7%</w:t>
            </w:r>
          </w:p>
        </w:tc>
        <w:tc>
          <w:tcPr>
            <w:tcW w:w="823" w:type="dxa"/>
            <w:noWrap/>
            <w:hideMark/>
          </w:tcPr>
          <w:p w14:paraId="40241C06" w14:textId="77777777" w:rsidR="00EE5BB8" w:rsidRPr="00C6052E" w:rsidRDefault="00EE5BB8" w:rsidP="00177848">
            <w:pPr>
              <w:pStyle w:val="TableCopy"/>
              <w:jc w:val="right"/>
              <w:rPr>
                <w:rStyle w:val="Wingdings"/>
                <w:rFonts w:ascii="Arial" w:hAnsi="Arial"/>
                <w:lang w:val="en-AU"/>
              </w:rPr>
            </w:pPr>
            <w:r w:rsidRPr="00C6052E">
              <w:rPr>
                <w:rStyle w:val="Wingdings"/>
                <w:rFonts w:ascii="Arial" w:hAnsi="Arial"/>
                <w:lang w:val="en-AU"/>
              </w:rPr>
              <w:t>1</w:t>
            </w:r>
          </w:p>
        </w:tc>
      </w:tr>
      <w:tr w:rsidR="00EE5BB8" w:rsidRPr="00C6052E" w14:paraId="17456622" w14:textId="77777777" w:rsidTr="0063097D">
        <w:tc>
          <w:tcPr>
            <w:tcW w:w="4390" w:type="dxa"/>
            <w:hideMark/>
          </w:tcPr>
          <w:p w14:paraId="1B50375F" w14:textId="77777777" w:rsidR="00EE5BB8" w:rsidRDefault="00EE5BB8" w:rsidP="0063097D">
            <w:pPr>
              <w:pStyle w:val="TableCopy"/>
              <w:rPr>
                <w:lang w:val="en-AU"/>
              </w:rPr>
            </w:pPr>
            <w:r w:rsidRPr="00C6052E">
              <w:rPr>
                <w:lang w:val="en-AU"/>
              </w:rPr>
              <w:t>Government</w:t>
            </w:r>
            <w:r w:rsidR="00177848" w:rsidRPr="00C6052E">
              <w:rPr>
                <w:lang w:val="en-AU"/>
              </w:rPr>
              <w:t xml:space="preserve"> </w:t>
            </w:r>
            <w:r w:rsidRPr="00C6052E">
              <w:rPr>
                <w:lang w:val="en-AU"/>
              </w:rPr>
              <w:t>Youth</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Scheme</w:t>
            </w:r>
            <w:r w:rsidR="00177848" w:rsidRPr="00C6052E">
              <w:rPr>
                <w:lang w:val="en-AU"/>
              </w:rPr>
              <w:t xml:space="preserve"> </w:t>
            </w:r>
            <w:r w:rsidRPr="00C6052E">
              <w:rPr>
                <w:lang w:val="en-AU"/>
              </w:rPr>
              <w:t>traineeships</w:t>
            </w:r>
            <w:r w:rsidR="00177848" w:rsidRPr="00C6052E">
              <w:rPr>
                <w:lang w:val="en-AU"/>
              </w:rPr>
              <w:t xml:space="preserve"> </w:t>
            </w:r>
            <w:r w:rsidRPr="00C6052E">
              <w:rPr>
                <w:lang w:val="en-AU"/>
              </w:rPr>
              <w:t>commenced</w:t>
            </w:r>
          </w:p>
          <w:p w14:paraId="0DCB7F1B" w14:textId="0A26AA63" w:rsidR="006C36CA" w:rsidRPr="00C6052E" w:rsidRDefault="006C36CA" w:rsidP="006C36CA">
            <w:pPr>
              <w:pStyle w:val="Tablenotes-indented"/>
              <w:ind w:left="227" w:firstLine="0"/>
              <w:rPr>
                <w:lang w:val="en-AU"/>
              </w:rPr>
            </w:pPr>
            <w:r w:rsidRPr="00C6052E">
              <w:rPr>
                <w:lang w:val="en-AU"/>
              </w:rPr>
              <w:t>Higher result due to strong interest from participants and strong uptake of trainees by VPS agencies.</w:t>
            </w:r>
          </w:p>
        </w:tc>
        <w:tc>
          <w:tcPr>
            <w:tcW w:w="1020" w:type="dxa"/>
            <w:hideMark/>
          </w:tcPr>
          <w:p w14:paraId="52D7DAA4"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3DEBA962" w14:textId="77777777" w:rsidR="00EE5BB8" w:rsidRPr="00C6052E" w:rsidRDefault="00EE5BB8" w:rsidP="0063097D">
            <w:pPr>
              <w:pStyle w:val="TableCopy"/>
              <w:jc w:val="right"/>
              <w:rPr>
                <w:lang w:val="en-AU"/>
              </w:rPr>
            </w:pPr>
            <w:r w:rsidRPr="00C6052E">
              <w:rPr>
                <w:lang w:val="en-AU"/>
              </w:rPr>
              <w:t>139</w:t>
            </w:r>
          </w:p>
        </w:tc>
        <w:tc>
          <w:tcPr>
            <w:tcW w:w="1020" w:type="dxa"/>
            <w:noWrap/>
            <w:hideMark/>
          </w:tcPr>
          <w:p w14:paraId="14CDEC58" w14:textId="77777777" w:rsidR="00EE5BB8" w:rsidRPr="00C6052E" w:rsidRDefault="00EE5BB8" w:rsidP="0063097D">
            <w:pPr>
              <w:pStyle w:val="TableCopy"/>
              <w:jc w:val="right"/>
              <w:rPr>
                <w:lang w:val="en-AU"/>
              </w:rPr>
            </w:pPr>
            <w:r w:rsidRPr="00C6052E">
              <w:rPr>
                <w:lang w:val="en-AU"/>
              </w:rPr>
              <w:t>100</w:t>
            </w:r>
          </w:p>
        </w:tc>
        <w:tc>
          <w:tcPr>
            <w:tcW w:w="1361" w:type="dxa"/>
            <w:noWrap/>
            <w:hideMark/>
          </w:tcPr>
          <w:p w14:paraId="3AF0BA58" w14:textId="77777777" w:rsidR="00EE5BB8" w:rsidRPr="00C6052E" w:rsidRDefault="00EE5BB8" w:rsidP="0063097D">
            <w:pPr>
              <w:pStyle w:val="TableCopy"/>
              <w:jc w:val="right"/>
              <w:rPr>
                <w:lang w:val="en-AU"/>
              </w:rPr>
            </w:pPr>
            <w:r w:rsidRPr="00C6052E">
              <w:rPr>
                <w:lang w:val="en-AU"/>
              </w:rPr>
              <w:t>39.0%</w:t>
            </w:r>
          </w:p>
        </w:tc>
        <w:tc>
          <w:tcPr>
            <w:tcW w:w="823" w:type="dxa"/>
            <w:noWrap/>
            <w:hideMark/>
          </w:tcPr>
          <w:p w14:paraId="40299BA9" w14:textId="77777777" w:rsidR="00EE5BB8" w:rsidRPr="00C6052E" w:rsidRDefault="00EE5BB8" w:rsidP="00177848">
            <w:pPr>
              <w:pStyle w:val="TableCopy"/>
              <w:jc w:val="right"/>
              <w:rPr>
                <w:rStyle w:val="Wingdings"/>
                <w:rFonts w:ascii="Arial" w:hAnsi="Arial"/>
                <w:lang w:val="en-AU"/>
              </w:rPr>
            </w:pPr>
            <w:r w:rsidRPr="00C6052E">
              <w:rPr>
                <w:rStyle w:val="Wingdings"/>
                <w:rFonts w:ascii="Arial" w:hAnsi="Arial"/>
                <w:lang w:val="en-AU"/>
              </w:rPr>
              <w:t>1</w:t>
            </w:r>
          </w:p>
        </w:tc>
      </w:tr>
      <w:tr w:rsidR="00EE5BB8" w:rsidRPr="00C6052E" w14:paraId="72F2AE96" w14:textId="77777777" w:rsidTr="0063097D">
        <w:tc>
          <w:tcPr>
            <w:tcW w:w="4390" w:type="dxa"/>
            <w:hideMark/>
          </w:tcPr>
          <w:p w14:paraId="135FB7E1" w14:textId="78D65CB2" w:rsidR="00EE5BB8" w:rsidRPr="00C6052E" w:rsidRDefault="00EE5BB8" w:rsidP="0063097D">
            <w:pPr>
              <w:pStyle w:val="TableCopy"/>
              <w:rPr>
                <w:lang w:val="en-AU"/>
              </w:rPr>
            </w:pPr>
            <w:r w:rsidRPr="00C6052E">
              <w:rPr>
                <w:lang w:val="en-AU"/>
              </w:rPr>
              <w:t>Industry</w:t>
            </w:r>
            <w:r w:rsidR="00177848" w:rsidRPr="00C6052E">
              <w:rPr>
                <w:lang w:val="en-AU"/>
              </w:rPr>
              <w:t xml:space="preserve"> </w:t>
            </w:r>
            <w:r w:rsidRPr="00C6052E">
              <w:rPr>
                <w:lang w:val="en-AU"/>
              </w:rPr>
              <w:t>stakeholders</w:t>
            </w:r>
            <w:r w:rsidR="00177848" w:rsidRPr="00C6052E">
              <w:rPr>
                <w:lang w:val="en-AU"/>
              </w:rPr>
              <w:t xml:space="preserve"> </w:t>
            </w:r>
            <w:r w:rsidRPr="00C6052E">
              <w:rPr>
                <w:lang w:val="en-AU"/>
              </w:rPr>
              <w:t>engaged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Local</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First</w:t>
            </w:r>
            <w:r w:rsidR="00177848" w:rsidRPr="00C6052E">
              <w:rPr>
                <w:lang w:val="en-AU"/>
              </w:rPr>
              <w:t xml:space="preserve"> </w:t>
            </w:r>
            <w:r w:rsidRPr="00C6052E">
              <w:rPr>
                <w:lang w:val="en-AU"/>
              </w:rPr>
              <w:t>Policy</w:t>
            </w:r>
          </w:p>
        </w:tc>
        <w:tc>
          <w:tcPr>
            <w:tcW w:w="1020" w:type="dxa"/>
            <w:hideMark/>
          </w:tcPr>
          <w:p w14:paraId="5A1DDDAC"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46CDEC65" w14:textId="77777777" w:rsidR="00EE5BB8" w:rsidRPr="00C6052E" w:rsidRDefault="00EE5BB8" w:rsidP="0063097D">
            <w:pPr>
              <w:pStyle w:val="TableCopy"/>
              <w:jc w:val="right"/>
              <w:rPr>
                <w:lang w:val="en-AU"/>
              </w:rPr>
            </w:pPr>
            <w:r w:rsidRPr="00C6052E">
              <w:rPr>
                <w:lang w:val="en-AU"/>
              </w:rPr>
              <w:t>793</w:t>
            </w:r>
          </w:p>
        </w:tc>
        <w:tc>
          <w:tcPr>
            <w:tcW w:w="1020" w:type="dxa"/>
            <w:noWrap/>
            <w:hideMark/>
          </w:tcPr>
          <w:p w14:paraId="64F2C185" w14:textId="77777777" w:rsidR="00EE5BB8" w:rsidRPr="00C6052E" w:rsidRDefault="00EE5BB8" w:rsidP="0063097D">
            <w:pPr>
              <w:pStyle w:val="TableCopy"/>
              <w:jc w:val="right"/>
              <w:rPr>
                <w:lang w:val="en-AU"/>
              </w:rPr>
            </w:pPr>
            <w:r w:rsidRPr="00C6052E">
              <w:rPr>
                <w:lang w:val="en-AU"/>
              </w:rPr>
              <w:t>800</w:t>
            </w:r>
          </w:p>
        </w:tc>
        <w:tc>
          <w:tcPr>
            <w:tcW w:w="1361" w:type="dxa"/>
            <w:noWrap/>
            <w:hideMark/>
          </w:tcPr>
          <w:p w14:paraId="4FF6FB8F" w14:textId="77777777" w:rsidR="00EE5BB8" w:rsidRPr="00C6052E" w:rsidRDefault="00EE5BB8" w:rsidP="0063097D">
            <w:pPr>
              <w:pStyle w:val="TableCopy"/>
              <w:jc w:val="right"/>
              <w:rPr>
                <w:lang w:val="en-AU"/>
              </w:rPr>
            </w:pPr>
            <w:r w:rsidRPr="00C6052E">
              <w:rPr>
                <w:lang w:val="en-AU"/>
              </w:rPr>
              <w:t>-0.9%</w:t>
            </w:r>
          </w:p>
        </w:tc>
        <w:tc>
          <w:tcPr>
            <w:tcW w:w="823" w:type="dxa"/>
            <w:noWrap/>
            <w:hideMark/>
          </w:tcPr>
          <w:p w14:paraId="511D7A89" w14:textId="77777777" w:rsidR="00EE5BB8" w:rsidRPr="00C6052E" w:rsidRDefault="00EE5BB8" w:rsidP="00177848">
            <w:pPr>
              <w:pStyle w:val="TableCopy"/>
              <w:jc w:val="right"/>
              <w:rPr>
                <w:rStyle w:val="Wingdings"/>
                <w:rFonts w:ascii="Arial" w:hAnsi="Arial"/>
                <w:lang w:val="en-AU"/>
              </w:rPr>
            </w:pPr>
            <w:r w:rsidRPr="00C6052E">
              <w:rPr>
                <w:rStyle w:val="Wingdings"/>
                <w:rFonts w:ascii="Arial" w:hAnsi="Arial"/>
                <w:lang w:val="en-AU"/>
              </w:rPr>
              <w:t>2</w:t>
            </w:r>
          </w:p>
        </w:tc>
      </w:tr>
      <w:tr w:rsidR="00EE5BB8" w:rsidRPr="00C6052E" w14:paraId="212AAEAB" w14:textId="77777777" w:rsidTr="0063097D">
        <w:tc>
          <w:tcPr>
            <w:tcW w:w="4390" w:type="dxa"/>
            <w:hideMark/>
          </w:tcPr>
          <w:p w14:paraId="72E605ED" w14:textId="77777777" w:rsidR="00EE5BB8" w:rsidRDefault="00EE5BB8" w:rsidP="00177848">
            <w:pPr>
              <w:pStyle w:val="TableCopy"/>
              <w:keepNext/>
              <w:rPr>
                <w:lang w:val="en-AU"/>
              </w:rPr>
            </w:pPr>
            <w:r w:rsidRPr="00C6052E">
              <w:rPr>
                <w:lang w:val="en-AU"/>
              </w:rPr>
              <w:lastRenderedPageBreak/>
              <w:t>Migrant</w:t>
            </w:r>
            <w:r w:rsidR="00177848" w:rsidRPr="00C6052E">
              <w:rPr>
                <w:lang w:val="en-AU"/>
              </w:rPr>
              <w:t xml:space="preserve"> </w:t>
            </w:r>
            <w:r w:rsidRPr="00C6052E">
              <w:rPr>
                <w:lang w:val="en-AU"/>
              </w:rPr>
              <w:t>talent</w:t>
            </w:r>
            <w:r w:rsidR="00177848" w:rsidRPr="00C6052E">
              <w:rPr>
                <w:lang w:val="en-AU"/>
              </w:rPr>
              <w:t xml:space="preserve"> </w:t>
            </w:r>
            <w:r w:rsidRPr="00C6052E">
              <w:rPr>
                <w:lang w:val="en-AU"/>
              </w:rPr>
              <w:t>nominated</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Skilled,</w:t>
            </w:r>
            <w:r w:rsidR="00177848" w:rsidRPr="00C6052E">
              <w:rPr>
                <w:lang w:val="en-AU"/>
              </w:rPr>
              <w:t xml:space="preserve"> </w:t>
            </w:r>
            <w:r w:rsidRPr="00C6052E">
              <w:rPr>
                <w:lang w:val="en-AU"/>
              </w:rPr>
              <w:t>Investor</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Migration</w:t>
            </w:r>
            <w:r w:rsidR="00177848" w:rsidRPr="00C6052E">
              <w:rPr>
                <w:lang w:val="en-AU"/>
              </w:rPr>
              <w:t xml:space="preserve"> </w:t>
            </w:r>
            <w:r w:rsidRPr="00C6052E">
              <w:rPr>
                <w:lang w:val="en-AU"/>
              </w:rPr>
              <w:t>Program</w:t>
            </w:r>
          </w:p>
          <w:p w14:paraId="6320A202" w14:textId="649A6DE6" w:rsidR="00D807D2" w:rsidRPr="00C6052E" w:rsidRDefault="00D807D2" w:rsidP="00D807D2">
            <w:pPr>
              <w:pStyle w:val="Tablenotes-indented"/>
              <w:ind w:left="227" w:firstLine="0"/>
              <w:rPr>
                <w:lang w:val="en-AU"/>
              </w:rPr>
            </w:pPr>
            <w:r w:rsidRPr="00C6052E">
              <w:rPr>
                <w:lang w:val="en-AU"/>
              </w:rPr>
              <w:t>Higher result due to the Commonwealth providing Victoria a larger number of visa nominations than expected.</w:t>
            </w:r>
          </w:p>
        </w:tc>
        <w:tc>
          <w:tcPr>
            <w:tcW w:w="1020" w:type="dxa"/>
            <w:hideMark/>
          </w:tcPr>
          <w:p w14:paraId="75F407C1" w14:textId="77777777" w:rsidR="00EE5BB8" w:rsidRPr="00C6052E" w:rsidRDefault="00EE5BB8" w:rsidP="00177848">
            <w:pPr>
              <w:pStyle w:val="TableCopy"/>
              <w:keepNext/>
              <w:jc w:val="right"/>
              <w:rPr>
                <w:lang w:val="en-AU"/>
              </w:rPr>
            </w:pPr>
            <w:r w:rsidRPr="00C6052E">
              <w:rPr>
                <w:lang w:val="en-AU"/>
              </w:rPr>
              <w:t>number</w:t>
            </w:r>
          </w:p>
        </w:tc>
        <w:tc>
          <w:tcPr>
            <w:tcW w:w="1020" w:type="dxa"/>
            <w:noWrap/>
            <w:hideMark/>
          </w:tcPr>
          <w:p w14:paraId="2DDA7FEF" w14:textId="77777777" w:rsidR="00EE5BB8" w:rsidRPr="00C6052E" w:rsidRDefault="00EE5BB8" w:rsidP="00177848">
            <w:pPr>
              <w:pStyle w:val="TableCopy"/>
              <w:keepNext/>
              <w:jc w:val="right"/>
              <w:rPr>
                <w:lang w:val="en-AU"/>
              </w:rPr>
            </w:pPr>
            <w:r w:rsidRPr="00C6052E">
              <w:rPr>
                <w:lang w:val="en-AU"/>
              </w:rPr>
              <w:t>5,000</w:t>
            </w:r>
          </w:p>
        </w:tc>
        <w:tc>
          <w:tcPr>
            <w:tcW w:w="1020" w:type="dxa"/>
            <w:noWrap/>
            <w:hideMark/>
          </w:tcPr>
          <w:p w14:paraId="326AC160" w14:textId="77777777" w:rsidR="00EE5BB8" w:rsidRPr="00C6052E" w:rsidRDefault="00EE5BB8" w:rsidP="00177848">
            <w:pPr>
              <w:pStyle w:val="TableCopy"/>
              <w:keepNext/>
              <w:jc w:val="right"/>
              <w:rPr>
                <w:lang w:val="en-AU"/>
              </w:rPr>
            </w:pPr>
            <w:r w:rsidRPr="00C6052E">
              <w:rPr>
                <w:lang w:val="en-AU"/>
              </w:rPr>
              <w:t>4,000</w:t>
            </w:r>
          </w:p>
        </w:tc>
        <w:tc>
          <w:tcPr>
            <w:tcW w:w="1361" w:type="dxa"/>
            <w:noWrap/>
            <w:hideMark/>
          </w:tcPr>
          <w:p w14:paraId="448959A4" w14:textId="77777777" w:rsidR="00EE5BB8" w:rsidRPr="00C6052E" w:rsidRDefault="00EE5BB8" w:rsidP="00177848">
            <w:pPr>
              <w:pStyle w:val="TableCopy"/>
              <w:keepNext/>
              <w:jc w:val="right"/>
              <w:rPr>
                <w:lang w:val="en-AU"/>
              </w:rPr>
            </w:pPr>
            <w:r w:rsidRPr="00C6052E">
              <w:rPr>
                <w:lang w:val="en-AU"/>
              </w:rPr>
              <w:t>25.0%</w:t>
            </w:r>
          </w:p>
        </w:tc>
        <w:tc>
          <w:tcPr>
            <w:tcW w:w="823" w:type="dxa"/>
            <w:noWrap/>
            <w:hideMark/>
          </w:tcPr>
          <w:p w14:paraId="6440B348" w14:textId="77777777" w:rsidR="00EE5BB8" w:rsidRPr="00C6052E" w:rsidRDefault="00EE5BB8" w:rsidP="00177848">
            <w:pPr>
              <w:pStyle w:val="TableCopy"/>
              <w:keepNext/>
              <w:jc w:val="right"/>
              <w:rPr>
                <w:rStyle w:val="Wingdings"/>
                <w:rFonts w:ascii="Arial" w:hAnsi="Arial"/>
                <w:lang w:val="en-AU"/>
              </w:rPr>
            </w:pPr>
            <w:r w:rsidRPr="00C6052E">
              <w:rPr>
                <w:rStyle w:val="Wingdings"/>
                <w:rFonts w:ascii="Arial" w:hAnsi="Arial"/>
                <w:lang w:val="en-AU"/>
              </w:rPr>
              <w:t>1</w:t>
            </w:r>
          </w:p>
        </w:tc>
      </w:tr>
      <w:tr w:rsidR="00EE5BB8" w:rsidRPr="00C6052E" w14:paraId="25B03502" w14:textId="77777777" w:rsidTr="0063097D">
        <w:tc>
          <w:tcPr>
            <w:tcW w:w="4390" w:type="dxa"/>
            <w:hideMark/>
          </w:tcPr>
          <w:p w14:paraId="580A4852" w14:textId="77777777" w:rsidR="00EE5BB8" w:rsidRDefault="00EE5BB8" w:rsidP="0063097D">
            <w:pPr>
              <w:pStyle w:val="TableCopy"/>
              <w:rPr>
                <w:lang w:val="en-AU"/>
              </w:rPr>
            </w:pPr>
            <w:r w:rsidRPr="00C6052E">
              <w:rPr>
                <w:lang w:val="en-AU"/>
              </w:rPr>
              <w:t>Retrenched</w:t>
            </w:r>
            <w:r w:rsidR="00177848" w:rsidRPr="00C6052E">
              <w:rPr>
                <w:lang w:val="en-AU"/>
              </w:rPr>
              <w:t xml:space="preserve"> </w:t>
            </w:r>
            <w:r w:rsidRPr="00C6052E">
              <w:rPr>
                <w:lang w:val="en-AU"/>
              </w:rPr>
              <w:t>workers</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assistance</w:t>
            </w:r>
          </w:p>
          <w:p w14:paraId="46A96298" w14:textId="622E234C" w:rsidR="00D807D2" w:rsidRPr="00C6052E" w:rsidRDefault="00D807D2" w:rsidP="00D807D2">
            <w:pPr>
              <w:pStyle w:val="Tablenotes-indented"/>
              <w:ind w:left="227" w:firstLine="0"/>
              <w:rPr>
                <w:lang w:val="en-AU"/>
              </w:rPr>
            </w:pPr>
            <w:r w:rsidRPr="00C6052E">
              <w:rPr>
                <w:lang w:val="en-AU"/>
              </w:rPr>
              <w:t>Higher result due to support provided to retrenched workers after closures of large-scale business sites.</w:t>
            </w:r>
          </w:p>
        </w:tc>
        <w:tc>
          <w:tcPr>
            <w:tcW w:w="1020" w:type="dxa"/>
            <w:hideMark/>
          </w:tcPr>
          <w:p w14:paraId="6B382F11"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657294D0" w14:textId="77777777" w:rsidR="00EE5BB8" w:rsidRPr="00C6052E" w:rsidRDefault="00EE5BB8" w:rsidP="0063097D">
            <w:pPr>
              <w:pStyle w:val="TableCopy"/>
              <w:jc w:val="right"/>
              <w:rPr>
                <w:lang w:val="en-AU"/>
              </w:rPr>
            </w:pPr>
            <w:r w:rsidRPr="00C6052E">
              <w:rPr>
                <w:lang w:val="en-AU"/>
              </w:rPr>
              <w:t>2,147</w:t>
            </w:r>
          </w:p>
        </w:tc>
        <w:tc>
          <w:tcPr>
            <w:tcW w:w="1020" w:type="dxa"/>
            <w:noWrap/>
            <w:hideMark/>
          </w:tcPr>
          <w:p w14:paraId="77C3D04B" w14:textId="77777777" w:rsidR="00EE5BB8" w:rsidRPr="00C6052E" w:rsidRDefault="00EE5BB8" w:rsidP="0063097D">
            <w:pPr>
              <w:pStyle w:val="TableCopy"/>
              <w:jc w:val="right"/>
              <w:rPr>
                <w:lang w:val="en-AU"/>
              </w:rPr>
            </w:pPr>
            <w:r w:rsidRPr="00C6052E">
              <w:rPr>
                <w:lang w:val="en-AU"/>
              </w:rPr>
              <w:t>2,000</w:t>
            </w:r>
          </w:p>
        </w:tc>
        <w:tc>
          <w:tcPr>
            <w:tcW w:w="1361" w:type="dxa"/>
            <w:noWrap/>
            <w:hideMark/>
          </w:tcPr>
          <w:p w14:paraId="2E1ABA31" w14:textId="77777777" w:rsidR="00EE5BB8" w:rsidRPr="00C6052E" w:rsidRDefault="00EE5BB8" w:rsidP="0063097D">
            <w:pPr>
              <w:pStyle w:val="TableCopy"/>
              <w:jc w:val="right"/>
              <w:rPr>
                <w:lang w:val="en-AU"/>
              </w:rPr>
            </w:pPr>
            <w:r w:rsidRPr="00C6052E">
              <w:rPr>
                <w:lang w:val="en-AU"/>
              </w:rPr>
              <w:t>7.4%</w:t>
            </w:r>
          </w:p>
        </w:tc>
        <w:tc>
          <w:tcPr>
            <w:tcW w:w="823" w:type="dxa"/>
            <w:noWrap/>
            <w:hideMark/>
          </w:tcPr>
          <w:p w14:paraId="5265C7D6" w14:textId="77777777" w:rsidR="00EE5BB8" w:rsidRPr="00C6052E" w:rsidRDefault="00EE5BB8" w:rsidP="00177848">
            <w:pPr>
              <w:pStyle w:val="TableCopy"/>
              <w:jc w:val="right"/>
              <w:rPr>
                <w:rStyle w:val="Wingdings"/>
                <w:rFonts w:ascii="Arial" w:hAnsi="Arial"/>
                <w:lang w:val="en-AU"/>
              </w:rPr>
            </w:pPr>
            <w:r w:rsidRPr="00C6052E">
              <w:rPr>
                <w:rStyle w:val="Wingdings"/>
                <w:rFonts w:ascii="Arial" w:hAnsi="Arial"/>
                <w:lang w:val="en-AU"/>
              </w:rPr>
              <w:t>1</w:t>
            </w:r>
          </w:p>
        </w:tc>
      </w:tr>
      <w:tr w:rsidR="00177848" w:rsidRPr="00C6052E" w14:paraId="37F1FB29" w14:textId="77777777" w:rsidTr="0063097D">
        <w:tc>
          <w:tcPr>
            <w:tcW w:w="4390" w:type="dxa"/>
          </w:tcPr>
          <w:p w14:paraId="6BB08D15" w14:textId="7F0B5ECB" w:rsidR="00177848" w:rsidRPr="00C6052E" w:rsidRDefault="00177848" w:rsidP="00177848">
            <w:pPr>
              <w:pStyle w:val="TableHeading"/>
              <w:rPr>
                <w:lang w:val="en-AU"/>
              </w:rPr>
            </w:pPr>
            <w:r w:rsidRPr="00C6052E">
              <w:rPr>
                <w:lang w:val="en-AU"/>
              </w:rPr>
              <w:t>Quality</w:t>
            </w:r>
          </w:p>
        </w:tc>
        <w:tc>
          <w:tcPr>
            <w:tcW w:w="1020" w:type="dxa"/>
          </w:tcPr>
          <w:p w14:paraId="6F215084" w14:textId="77777777" w:rsidR="00177848" w:rsidRPr="00C6052E" w:rsidRDefault="00177848" w:rsidP="00177848">
            <w:pPr>
              <w:pStyle w:val="TableHeading"/>
              <w:rPr>
                <w:lang w:val="en-AU"/>
              </w:rPr>
            </w:pPr>
          </w:p>
        </w:tc>
        <w:tc>
          <w:tcPr>
            <w:tcW w:w="1020" w:type="dxa"/>
            <w:noWrap/>
          </w:tcPr>
          <w:p w14:paraId="6C1ADBC0" w14:textId="77777777" w:rsidR="00177848" w:rsidRPr="00C6052E" w:rsidRDefault="00177848" w:rsidP="00177848">
            <w:pPr>
              <w:pStyle w:val="TableHeading"/>
              <w:rPr>
                <w:lang w:val="en-AU"/>
              </w:rPr>
            </w:pPr>
          </w:p>
        </w:tc>
        <w:tc>
          <w:tcPr>
            <w:tcW w:w="1020" w:type="dxa"/>
            <w:noWrap/>
          </w:tcPr>
          <w:p w14:paraId="5D6D4212" w14:textId="77777777" w:rsidR="00177848" w:rsidRPr="00C6052E" w:rsidRDefault="00177848" w:rsidP="00177848">
            <w:pPr>
              <w:pStyle w:val="TableHeading"/>
              <w:rPr>
                <w:lang w:val="en-AU"/>
              </w:rPr>
            </w:pPr>
          </w:p>
        </w:tc>
        <w:tc>
          <w:tcPr>
            <w:tcW w:w="1361" w:type="dxa"/>
            <w:noWrap/>
          </w:tcPr>
          <w:p w14:paraId="438C86FA" w14:textId="77777777" w:rsidR="00177848" w:rsidRPr="00C6052E" w:rsidRDefault="00177848" w:rsidP="00177848">
            <w:pPr>
              <w:pStyle w:val="TableHeading"/>
              <w:rPr>
                <w:lang w:val="en-AU"/>
              </w:rPr>
            </w:pPr>
          </w:p>
        </w:tc>
        <w:tc>
          <w:tcPr>
            <w:tcW w:w="823" w:type="dxa"/>
            <w:noWrap/>
          </w:tcPr>
          <w:p w14:paraId="012307E1" w14:textId="77777777" w:rsidR="00177848" w:rsidRPr="00C6052E" w:rsidRDefault="00177848" w:rsidP="00177848">
            <w:pPr>
              <w:pStyle w:val="TableHeading"/>
              <w:rPr>
                <w:rStyle w:val="Wingdings"/>
                <w:rFonts w:ascii="Arial" w:hAnsi="Arial"/>
                <w:lang w:val="en-AU"/>
              </w:rPr>
            </w:pPr>
          </w:p>
        </w:tc>
      </w:tr>
      <w:tr w:rsidR="00EE5BB8" w:rsidRPr="00C6052E" w14:paraId="46B558D4" w14:textId="77777777" w:rsidTr="0063097D">
        <w:tc>
          <w:tcPr>
            <w:tcW w:w="4390" w:type="dxa"/>
            <w:hideMark/>
          </w:tcPr>
          <w:p w14:paraId="74AFEBDB" w14:textId="77777777" w:rsidR="00EE5BB8" w:rsidRDefault="00EE5BB8" w:rsidP="0063097D">
            <w:pPr>
              <w:pStyle w:val="TableCopy"/>
              <w:rPr>
                <w:lang w:val="en-AU"/>
              </w:rPr>
            </w:pPr>
            <w:r w:rsidRPr="00C6052E">
              <w:rPr>
                <w:lang w:val="en-AU"/>
              </w:rPr>
              <w:t>Client</w:t>
            </w:r>
            <w:r w:rsidR="00177848" w:rsidRPr="00C6052E">
              <w:rPr>
                <w:lang w:val="en-AU"/>
              </w:rPr>
              <w:t xml:space="preserve"> </w:t>
            </w:r>
            <w:r w:rsidRPr="00C6052E">
              <w:rPr>
                <w:lang w:val="en-AU"/>
              </w:rPr>
              <w:t>satisfaction</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investor,</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skilled</w:t>
            </w:r>
            <w:r w:rsidR="00177848" w:rsidRPr="00C6052E">
              <w:rPr>
                <w:lang w:val="en-AU"/>
              </w:rPr>
              <w:t xml:space="preserve"> </w:t>
            </w:r>
            <w:r w:rsidRPr="00C6052E">
              <w:rPr>
                <w:lang w:val="en-AU"/>
              </w:rPr>
              <w:t>migration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provided</w:t>
            </w:r>
          </w:p>
          <w:p w14:paraId="5AC755A2" w14:textId="3FE7F480" w:rsidR="00D807D2" w:rsidRPr="00C6052E" w:rsidRDefault="00D807D2" w:rsidP="00D807D2">
            <w:pPr>
              <w:pStyle w:val="Tablenotes-indented"/>
              <w:ind w:left="227" w:firstLine="0"/>
              <w:rPr>
                <w:lang w:val="en-AU"/>
              </w:rPr>
            </w:pPr>
            <w:r w:rsidRPr="00C6052E">
              <w:rPr>
                <w:lang w:val="en-AU"/>
              </w:rPr>
              <w:t>Higher result due to efficiencies gained through a high performing and experienced team supported by refinements to automated systems and processes, and policies and guidelines on the Live in Melbourne website.</w:t>
            </w:r>
          </w:p>
        </w:tc>
        <w:tc>
          <w:tcPr>
            <w:tcW w:w="1020" w:type="dxa"/>
            <w:hideMark/>
          </w:tcPr>
          <w:p w14:paraId="2C2D0A89" w14:textId="65A49BB5"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56F9E5B6" w14:textId="77777777" w:rsidR="00EE5BB8" w:rsidRPr="00C6052E" w:rsidRDefault="00EE5BB8" w:rsidP="0063097D">
            <w:pPr>
              <w:pStyle w:val="TableCopy"/>
              <w:jc w:val="right"/>
              <w:rPr>
                <w:lang w:val="en-AU"/>
              </w:rPr>
            </w:pPr>
            <w:r w:rsidRPr="00C6052E">
              <w:rPr>
                <w:lang w:val="en-AU"/>
              </w:rPr>
              <w:t>93.5</w:t>
            </w:r>
          </w:p>
        </w:tc>
        <w:tc>
          <w:tcPr>
            <w:tcW w:w="1020" w:type="dxa"/>
            <w:noWrap/>
            <w:hideMark/>
          </w:tcPr>
          <w:p w14:paraId="4BEE5CF2" w14:textId="77777777" w:rsidR="00EE5BB8" w:rsidRPr="00C6052E" w:rsidRDefault="00EE5BB8" w:rsidP="0063097D">
            <w:pPr>
              <w:pStyle w:val="TableCopy"/>
              <w:jc w:val="right"/>
              <w:rPr>
                <w:lang w:val="en-AU"/>
              </w:rPr>
            </w:pPr>
            <w:r w:rsidRPr="00C6052E">
              <w:rPr>
                <w:lang w:val="en-AU"/>
              </w:rPr>
              <w:t>85</w:t>
            </w:r>
          </w:p>
        </w:tc>
        <w:tc>
          <w:tcPr>
            <w:tcW w:w="1361" w:type="dxa"/>
            <w:noWrap/>
            <w:hideMark/>
          </w:tcPr>
          <w:p w14:paraId="127083FD" w14:textId="77777777" w:rsidR="00EE5BB8" w:rsidRPr="00C6052E" w:rsidRDefault="00EE5BB8" w:rsidP="0063097D">
            <w:pPr>
              <w:pStyle w:val="TableCopy"/>
              <w:jc w:val="right"/>
              <w:rPr>
                <w:lang w:val="en-AU"/>
              </w:rPr>
            </w:pPr>
            <w:r w:rsidRPr="00C6052E">
              <w:rPr>
                <w:lang w:val="en-AU"/>
              </w:rPr>
              <w:t>10.0%</w:t>
            </w:r>
          </w:p>
        </w:tc>
        <w:tc>
          <w:tcPr>
            <w:tcW w:w="823" w:type="dxa"/>
            <w:noWrap/>
            <w:hideMark/>
          </w:tcPr>
          <w:p w14:paraId="01842CBF" w14:textId="77777777" w:rsidR="00EE5BB8" w:rsidRPr="00C6052E" w:rsidRDefault="00EE5BB8" w:rsidP="00177848">
            <w:pPr>
              <w:pStyle w:val="TableCopy"/>
              <w:jc w:val="right"/>
              <w:rPr>
                <w:lang w:val="en-AU"/>
              </w:rPr>
            </w:pPr>
            <w:r w:rsidRPr="00C6052E">
              <w:rPr>
                <w:lang w:val="en-AU"/>
              </w:rPr>
              <w:t>1</w:t>
            </w:r>
          </w:p>
        </w:tc>
      </w:tr>
      <w:tr w:rsidR="00177848" w:rsidRPr="00C6052E" w14:paraId="256CEA88" w14:textId="77777777" w:rsidTr="0063097D">
        <w:tc>
          <w:tcPr>
            <w:tcW w:w="4390" w:type="dxa"/>
          </w:tcPr>
          <w:p w14:paraId="593D251E" w14:textId="26701665" w:rsidR="00177848" w:rsidRPr="00C6052E" w:rsidRDefault="00177848" w:rsidP="00177848">
            <w:pPr>
              <w:pStyle w:val="TableHeading"/>
              <w:rPr>
                <w:lang w:val="en-AU"/>
              </w:rPr>
            </w:pPr>
            <w:r w:rsidRPr="00C6052E">
              <w:rPr>
                <w:lang w:val="en-AU"/>
              </w:rPr>
              <w:t>Timeliness</w:t>
            </w:r>
          </w:p>
        </w:tc>
        <w:tc>
          <w:tcPr>
            <w:tcW w:w="1020" w:type="dxa"/>
          </w:tcPr>
          <w:p w14:paraId="19C5D14F" w14:textId="77777777" w:rsidR="00177848" w:rsidRPr="00C6052E" w:rsidRDefault="00177848" w:rsidP="00177848">
            <w:pPr>
              <w:pStyle w:val="TableHeading"/>
              <w:rPr>
                <w:lang w:val="en-AU"/>
              </w:rPr>
            </w:pPr>
          </w:p>
        </w:tc>
        <w:tc>
          <w:tcPr>
            <w:tcW w:w="1020" w:type="dxa"/>
            <w:noWrap/>
          </w:tcPr>
          <w:p w14:paraId="54FB7C45" w14:textId="77777777" w:rsidR="00177848" w:rsidRPr="00C6052E" w:rsidRDefault="00177848" w:rsidP="00177848">
            <w:pPr>
              <w:pStyle w:val="TableHeading"/>
              <w:rPr>
                <w:lang w:val="en-AU"/>
              </w:rPr>
            </w:pPr>
          </w:p>
        </w:tc>
        <w:tc>
          <w:tcPr>
            <w:tcW w:w="1020" w:type="dxa"/>
            <w:noWrap/>
          </w:tcPr>
          <w:p w14:paraId="4EDB423A" w14:textId="77777777" w:rsidR="00177848" w:rsidRPr="00C6052E" w:rsidRDefault="00177848" w:rsidP="00177848">
            <w:pPr>
              <w:pStyle w:val="TableHeading"/>
              <w:rPr>
                <w:lang w:val="en-AU"/>
              </w:rPr>
            </w:pPr>
          </w:p>
        </w:tc>
        <w:tc>
          <w:tcPr>
            <w:tcW w:w="1361" w:type="dxa"/>
            <w:noWrap/>
          </w:tcPr>
          <w:p w14:paraId="4C8878C5" w14:textId="77777777" w:rsidR="00177848" w:rsidRPr="00C6052E" w:rsidRDefault="00177848" w:rsidP="00177848">
            <w:pPr>
              <w:pStyle w:val="TableHeading"/>
              <w:rPr>
                <w:lang w:val="en-AU"/>
              </w:rPr>
            </w:pPr>
          </w:p>
        </w:tc>
        <w:tc>
          <w:tcPr>
            <w:tcW w:w="823" w:type="dxa"/>
            <w:noWrap/>
          </w:tcPr>
          <w:p w14:paraId="2A8E0545" w14:textId="77777777" w:rsidR="00177848" w:rsidRPr="00C6052E" w:rsidRDefault="00177848" w:rsidP="00177848">
            <w:pPr>
              <w:pStyle w:val="TableHeading"/>
              <w:rPr>
                <w:rStyle w:val="Wingdings"/>
                <w:rFonts w:ascii="Arial" w:hAnsi="Arial"/>
                <w:lang w:val="en-AU"/>
              </w:rPr>
            </w:pPr>
          </w:p>
        </w:tc>
      </w:tr>
      <w:tr w:rsidR="00EE5BB8" w:rsidRPr="00C6052E" w14:paraId="586BC158" w14:textId="77777777" w:rsidTr="0063097D">
        <w:tc>
          <w:tcPr>
            <w:tcW w:w="4390" w:type="dxa"/>
            <w:hideMark/>
          </w:tcPr>
          <w:p w14:paraId="2F579578" w14:textId="77777777" w:rsidR="00EE5BB8" w:rsidRDefault="00EE5BB8" w:rsidP="0063097D">
            <w:pPr>
              <w:pStyle w:val="TableCopy"/>
              <w:rPr>
                <w:lang w:val="en-AU"/>
              </w:rPr>
            </w:pPr>
            <w:r w:rsidRPr="00C6052E">
              <w:rPr>
                <w:lang w:val="en-AU"/>
              </w:rPr>
              <w:t>Average</w:t>
            </w:r>
            <w:r w:rsidR="00177848" w:rsidRPr="00C6052E">
              <w:rPr>
                <w:lang w:val="en-AU"/>
              </w:rPr>
              <w:t xml:space="preserve"> </w:t>
            </w:r>
            <w:r w:rsidRPr="00C6052E">
              <w:rPr>
                <w:lang w:val="en-AU"/>
              </w:rPr>
              <w:t>processing</w:t>
            </w:r>
            <w:r w:rsidR="00177848" w:rsidRPr="00C6052E">
              <w:rPr>
                <w:lang w:val="en-AU"/>
              </w:rPr>
              <w:t xml:space="preserve"> </w:t>
            </w:r>
            <w:r w:rsidRPr="00C6052E">
              <w:rPr>
                <w:lang w:val="en-AU"/>
              </w:rPr>
              <w:t>time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investor,</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skilled</w:t>
            </w:r>
            <w:r w:rsidR="00177848" w:rsidRPr="00C6052E">
              <w:rPr>
                <w:lang w:val="en-AU"/>
              </w:rPr>
              <w:t xml:space="preserve"> </w:t>
            </w:r>
            <w:r w:rsidRPr="00C6052E">
              <w:rPr>
                <w:lang w:val="en-AU"/>
              </w:rPr>
              <w:t>migration</w:t>
            </w:r>
            <w:r w:rsidR="00177848" w:rsidRPr="00C6052E">
              <w:rPr>
                <w:lang w:val="en-AU"/>
              </w:rPr>
              <w:t xml:space="preserve"> </w:t>
            </w:r>
            <w:r w:rsidRPr="00C6052E">
              <w:rPr>
                <w:lang w:val="en-AU"/>
              </w:rPr>
              <w:t>visa</w:t>
            </w:r>
            <w:r w:rsidR="00177848" w:rsidRPr="00C6052E">
              <w:rPr>
                <w:lang w:val="en-AU"/>
              </w:rPr>
              <w:t xml:space="preserve"> </w:t>
            </w:r>
            <w:r w:rsidRPr="00C6052E">
              <w:rPr>
                <w:lang w:val="en-AU"/>
              </w:rPr>
              <w:t>nomination</w:t>
            </w:r>
            <w:r w:rsidR="00177848" w:rsidRPr="00C6052E">
              <w:rPr>
                <w:lang w:val="en-AU"/>
              </w:rPr>
              <w:t xml:space="preserve"> </w:t>
            </w:r>
            <w:r w:rsidRPr="00C6052E">
              <w:rPr>
                <w:lang w:val="en-AU"/>
              </w:rPr>
              <w:t>applications</w:t>
            </w:r>
          </w:p>
          <w:p w14:paraId="7AAD4245" w14:textId="0DCA2A9A" w:rsidR="00D807D2" w:rsidRPr="00C6052E" w:rsidRDefault="00D807D2" w:rsidP="00D807D2">
            <w:pPr>
              <w:pStyle w:val="Tablenotes-indented"/>
              <w:ind w:left="227" w:firstLine="0"/>
              <w:rPr>
                <w:lang w:val="en-AU"/>
              </w:rPr>
            </w:pPr>
            <w:r w:rsidRPr="00C6052E">
              <w:rPr>
                <w:lang w:val="en-AU"/>
              </w:rPr>
              <w:t>Higher result due to efficiencies gained by refinements to automated systems and processes, and policies and guidelines on the Live in Melbourne website.</w:t>
            </w:r>
          </w:p>
        </w:tc>
        <w:tc>
          <w:tcPr>
            <w:tcW w:w="1020" w:type="dxa"/>
            <w:hideMark/>
          </w:tcPr>
          <w:p w14:paraId="63D44461" w14:textId="77777777" w:rsidR="00EE5BB8" w:rsidRPr="00C6052E" w:rsidRDefault="00EE5BB8" w:rsidP="0063097D">
            <w:pPr>
              <w:pStyle w:val="TableCopy"/>
              <w:jc w:val="right"/>
              <w:rPr>
                <w:lang w:val="en-AU"/>
              </w:rPr>
            </w:pPr>
            <w:r w:rsidRPr="00C6052E">
              <w:rPr>
                <w:lang w:val="en-AU"/>
              </w:rPr>
              <w:t>days</w:t>
            </w:r>
          </w:p>
        </w:tc>
        <w:tc>
          <w:tcPr>
            <w:tcW w:w="1020" w:type="dxa"/>
            <w:noWrap/>
            <w:hideMark/>
          </w:tcPr>
          <w:p w14:paraId="61502C0E" w14:textId="77777777" w:rsidR="00EE5BB8" w:rsidRPr="00C6052E" w:rsidRDefault="00EE5BB8" w:rsidP="0063097D">
            <w:pPr>
              <w:pStyle w:val="TableCopy"/>
              <w:jc w:val="right"/>
              <w:rPr>
                <w:lang w:val="en-AU"/>
              </w:rPr>
            </w:pPr>
            <w:r w:rsidRPr="00C6052E">
              <w:rPr>
                <w:lang w:val="en-AU"/>
              </w:rPr>
              <w:t>15.4</w:t>
            </w:r>
          </w:p>
        </w:tc>
        <w:tc>
          <w:tcPr>
            <w:tcW w:w="1020" w:type="dxa"/>
            <w:noWrap/>
            <w:hideMark/>
          </w:tcPr>
          <w:p w14:paraId="5BB707BA" w14:textId="77777777" w:rsidR="00EE5BB8" w:rsidRPr="00C6052E" w:rsidRDefault="00EE5BB8" w:rsidP="0063097D">
            <w:pPr>
              <w:pStyle w:val="TableCopy"/>
              <w:jc w:val="right"/>
              <w:rPr>
                <w:lang w:val="en-AU"/>
              </w:rPr>
            </w:pPr>
            <w:r w:rsidRPr="00C6052E">
              <w:rPr>
                <w:lang w:val="en-AU"/>
              </w:rPr>
              <w:t>20</w:t>
            </w:r>
          </w:p>
        </w:tc>
        <w:tc>
          <w:tcPr>
            <w:tcW w:w="1361" w:type="dxa"/>
            <w:noWrap/>
            <w:hideMark/>
          </w:tcPr>
          <w:p w14:paraId="17B040F7" w14:textId="77777777" w:rsidR="00EE5BB8" w:rsidRPr="00C6052E" w:rsidRDefault="00EE5BB8" w:rsidP="0063097D">
            <w:pPr>
              <w:pStyle w:val="TableCopy"/>
              <w:jc w:val="right"/>
              <w:rPr>
                <w:lang w:val="en-AU"/>
              </w:rPr>
            </w:pPr>
            <w:r w:rsidRPr="00C6052E">
              <w:rPr>
                <w:lang w:val="en-AU"/>
              </w:rPr>
              <w:t>23.0%</w:t>
            </w:r>
          </w:p>
        </w:tc>
        <w:tc>
          <w:tcPr>
            <w:tcW w:w="823" w:type="dxa"/>
            <w:noWrap/>
            <w:hideMark/>
          </w:tcPr>
          <w:p w14:paraId="5FB907C4" w14:textId="77777777" w:rsidR="00EE5BB8" w:rsidRPr="00C6052E" w:rsidRDefault="00EE5BB8" w:rsidP="00177848">
            <w:pPr>
              <w:pStyle w:val="TableCopy"/>
              <w:jc w:val="right"/>
              <w:rPr>
                <w:lang w:val="en-AU"/>
              </w:rPr>
            </w:pPr>
            <w:r w:rsidRPr="00C6052E">
              <w:rPr>
                <w:lang w:val="en-AU"/>
              </w:rPr>
              <w:t>1</w:t>
            </w:r>
          </w:p>
        </w:tc>
      </w:tr>
      <w:tr w:rsidR="00177848" w:rsidRPr="00C6052E" w14:paraId="260FCE6E" w14:textId="77777777" w:rsidTr="008A4279">
        <w:tc>
          <w:tcPr>
            <w:tcW w:w="4390" w:type="dxa"/>
          </w:tcPr>
          <w:p w14:paraId="5AC2F9C8" w14:textId="2111268C" w:rsidR="00177848" w:rsidRPr="00C6052E" w:rsidRDefault="00177848" w:rsidP="008A4279">
            <w:pPr>
              <w:pStyle w:val="TableHeading"/>
              <w:rPr>
                <w:lang w:val="en-AU"/>
              </w:rPr>
            </w:pPr>
            <w:r w:rsidRPr="00C6052E">
              <w:rPr>
                <w:lang w:val="en-AU"/>
              </w:rPr>
              <w:t>Cost</w:t>
            </w:r>
          </w:p>
        </w:tc>
        <w:tc>
          <w:tcPr>
            <w:tcW w:w="1020" w:type="dxa"/>
          </w:tcPr>
          <w:p w14:paraId="04F562D9" w14:textId="77777777" w:rsidR="00177848" w:rsidRPr="00C6052E" w:rsidRDefault="00177848" w:rsidP="008A4279">
            <w:pPr>
              <w:pStyle w:val="TableHeading"/>
              <w:rPr>
                <w:lang w:val="en-AU"/>
              </w:rPr>
            </w:pPr>
          </w:p>
        </w:tc>
        <w:tc>
          <w:tcPr>
            <w:tcW w:w="1020" w:type="dxa"/>
            <w:noWrap/>
          </w:tcPr>
          <w:p w14:paraId="54DDD59B" w14:textId="77777777" w:rsidR="00177848" w:rsidRPr="00C6052E" w:rsidRDefault="00177848" w:rsidP="008A4279">
            <w:pPr>
              <w:pStyle w:val="TableHeading"/>
              <w:rPr>
                <w:lang w:val="en-AU"/>
              </w:rPr>
            </w:pPr>
          </w:p>
        </w:tc>
        <w:tc>
          <w:tcPr>
            <w:tcW w:w="1020" w:type="dxa"/>
            <w:noWrap/>
          </w:tcPr>
          <w:p w14:paraId="5D586CAE" w14:textId="77777777" w:rsidR="00177848" w:rsidRPr="00C6052E" w:rsidRDefault="00177848" w:rsidP="008A4279">
            <w:pPr>
              <w:pStyle w:val="TableHeading"/>
              <w:rPr>
                <w:lang w:val="en-AU"/>
              </w:rPr>
            </w:pPr>
          </w:p>
        </w:tc>
        <w:tc>
          <w:tcPr>
            <w:tcW w:w="1361" w:type="dxa"/>
            <w:noWrap/>
          </w:tcPr>
          <w:p w14:paraId="244E3318" w14:textId="77777777" w:rsidR="00177848" w:rsidRPr="00C6052E" w:rsidRDefault="00177848" w:rsidP="008A4279">
            <w:pPr>
              <w:pStyle w:val="TableHeading"/>
              <w:rPr>
                <w:lang w:val="en-AU"/>
              </w:rPr>
            </w:pPr>
          </w:p>
        </w:tc>
        <w:tc>
          <w:tcPr>
            <w:tcW w:w="823" w:type="dxa"/>
            <w:noWrap/>
          </w:tcPr>
          <w:p w14:paraId="670AD810" w14:textId="77777777" w:rsidR="00177848" w:rsidRPr="00C6052E" w:rsidRDefault="00177848" w:rsidP="008A4279">
            <w:pPr>
              <w:pStyle w:val="TableHeading"/>
              <w:rPr>
                <w:rStyle w:val="Wingdings"/>
                <w:rFonts w:ascii="Arial" w:hAnsi="Arial"/>
                <w:lang w:val="en-AU"/>
              </w:rPr>
            </w:pPr>
          </w:p>
        </w:tc>
      </w:tr>
      <w:tr w:rsidR="00EE5BB8" w:rsidRPr="00C6052E" w14:paraId="18CF6CAB" w14:textId="77777777" w:rsidTr="0063097D">
        <w:tc>
          <w:tcPr>
            <w:tcW w:w="4390" w:type="dxa"/>
            <w:hideMark/>
          </w:tcPr>
          <w:p w14:paraId="2C3CA021" w14:textId="6A5A1EED" w:rsidR="00EE5BB8" w:rsidRPr="00C6052E"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tc>
        <w:tc>
          <w:tcPr>
            <w:tcW w:w="1020" w:type="dxa"/>
            <w:hideMark/>
          </w:tcPr>
          <w:p w14:paraId="2CD7DA85" w14:textId="1812D659" w:rsidR="00EE5BB8" w:rsidRPr="00C6052E" w:rsidRDefault="00EE5BB8" w:rsidP="00B53837">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6FE6F38F" w14:textId="77777777" w:rsidR="00EE5BB8" w:rsidRPr="00C6052E" w:rsidRDefault="00EE5BB8" w:rsidP="00B53837">
            <w:pPr>
              <w:pStyle w:val="Tabletotal"/>
              <w:jc w:val="right"/>
              <w:rPr>
                <w:lang w:val="en-AU"/>
              </w:rPr>
            </w:pPr>
            <w:r w:rsidRPr="00C6052E">
              <w:rPr>
                <w:lang w:val="en-AU"/>
              </w:rPr>
              <w:t>49.7</w:t>
            </w:r>
          </w:p>
        </w:tc>
        <w:tc>
          <w:tcPr>
            <w:tcW w:w="1020" w:type="dxa"/>
            <w:noWrap/>
            <w:hideMark/>
          </w:tcPr>
          <w:p w14:paraId="0A1AAD96" w14:textId="77777777" w:rsidR="00EE5BB8" w:rsidRPr="00C6052E" w:rsidRDefault="00EE5BB8" w:rsidP="00B53837">
            <w:pPr>
              <w:pStyle w:val="Tabletotal"/>
              <w:jc w:val="right"/>
              <w:rPr>
                <w:lang w:val="en-AU"/>
              </w:rPr>
            </w:pPr>
            <w:r w:rsidRPr="00C6052E">
              <w:rPr>
                <w:lang w:val="en-AU"/>
              </w:rPr>
              <w:t>51.0</w:t>
            </w:r>
          </w:p>
        </w:tc>
        <w:tc>
          <w:tcPr>
            <w:tcW w:w="1361" w:type="dxa"/>
            <w:noWrap/>
            <w:hideMark/>
          </w:tcPr>
          <w:p w14:paraId="3C82180D" w14:textId="77777777" w:rsidR="00EE5BB8" w:rsidRPr="00C6052E" w:rsidRDefault="00EE5BB8" w:rsidP="00B53837">
            <w:pPr>
              <w:pStyle w:val="Tabletotal"/>
              <w:jc w:val="right"/>
              <w:rPr>
                <w:lang w:val="en-AU"/>
              </w:rPr>
            </w:pPr>
            <w:r w:rsidRPr="00C6052E">
              <w:rPr>
                <w:lang w:val="en-AU"/>
              </w:rPr>
              <w:t>-2.5%</w:t>
            </w:r>
          </w:p>
        </w:tc>
        <w:tc>
          <w:tcPr>
            <w:tcW w:w="823" w:type="dxa"/>
            <w:noWrap/>
            <w:hideMark/>
          </w:tcPr>
          <w:p w14:paraId="65E18C47" w14:textId="77777777" w:rsidR="00EE5BB8" w:rsidRPr="00C6052E" w:rsidRDefault="00EE5BB8" w:rsidP="00B53837">
            <w:pPr>
              <w:pStyle w:val="Tabletotal"/>
              <w:jc w:val="right"/>
              <w:rPr>
                <w:lang w:val="en-AU"/>
              </w:rPr>
            </w:pPr>
            <w:r w:rsidRPr="00C6052E">
              <w:rPr>
                <w:lang w:val="en-AU"/>
              </w:rPr>
              <w:t>1</w:t>
            </w:r>
          </w:p>
        </w:tc>
      </w:tr>
    </w:tbl>
    <w:p w14:paraId="68888CAC" w14:textId="73FD11B0" w:rsidR="00EE5BB8" w:rsidRPr="00C6052E" w:rsidRDefault="00EE5BB8" w:rsidP="00EE5BB8">
      <w:pPr>
        <w:pStyle w:val="Tablenotes"/>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00177848" w:rsidRPr="00C6052E">
        <w:t xml:space="preserve"> </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r w:rsidR="00177848" w:rsidRPr="00C6052E">
        <w:t xml:space="preserve"> </w:t>
      </w:r>
    </w:p>
    <w:p w14:paraId="5989974C" w14:textId="77777777" w:rsidR="00EE5BB8" w:rsidRPr="00C6052E" w:rsidRDefault="00EE5BB8" w:rsidP="00EE5BB8"/>
    <w:p w14:paraId="0E7E1F45" w14:textId="243AC7BB" w:rsidR="00EE5BB8" w:rsidRPr="00C6052E" w:rsidRDefault="00EE5BB8" w:rsidP="00EE5BB8">
      <w:pPr>
        <w:pStyle w:val="Heading3"/>
      </w:pPr>
      <w:bookmarkStart w:id="10" w:name="_Toc152067212"/>
      <w:r w:rsidRPr="00C6052E">
        <w:t>Objective</w:t>
      </w:r>
      <w:r w:rsidR="00177848" w:rsidRPr="00C6052E">
        <w:t xml:space="preserve"> </w:t>
      </w:r>
      <w:r w:rsidRPr="00C6052E">
        <w:t>2:</w:t>
      </w:r>
      <w:r w:rsidR="00177848" w:rsidRPr="00C6052E">
        <w:t xml:space="preserve"> </w:t>
      </w:r>
      <w:r w:rsidRPr="00C6052E">
        <w:t>Foster</w:t>
      </w:r>
      <w:r w:rsidR="00177848" w:rsidRPr="00C6052E">
        <w:t xml:space="preserve"> </w:t>
      </w:r>
      <w:r w:rsidRPr="00C6052E">
        <w:t>a</w:t>
      </w:r>
      <w:r w:rsidR="00177848" w:rsidRPr="00C6052E">
        <w:t xml:space="preserve"> </w:t>
      </w:r>
      <w:r w:rsidRPr="00C6052E">
        <w:t>competitive</w:t>
      </w:r>
      <w:r w:rsidR="00177848" w:rsidRPr="00C6052E">
        <w:t xml:space="preserve"> </w:t>
      </w:r>
      <w:r w:rsidRPr="00C6052E">
        <w:t>business</w:t>
      </w:r>
      <w:r w:rsidR="00177848" w:rsidRPr="00C6052E">
        <w:t xml:space="preserve"> </w:t>
      </w:r>
      <w:r w:rsidRPr="00C6052E">
        <w:t>environment</w:t>
      </w:r>
      <w:bookmarkEnd w:id="10"/>
    </w:p>
    <w:p w14:paraId="178259AF" w14:textId="3DEF8CB5"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grow</w:t>
      </w:r>
      <w:r w:rsidR="00177848" w:rsidRPr="00C6052E">
        <w:t xml:space="preserve"> </w:t>
      </w:r>
      <w:r w:rsidRPr="00C6052E">
        <w:t>Victorian</w:t>
      </w:r>
      <w:r w:rsidR="00177848" w:rsidRPr="00C6052E">
        <w:t xml:space="preserve"> </w:t>
      </w:r>
      <w:r w:rsidRPr="00C6052E">
        <w:t>industries</w:t>
      </w:r>
      <w:r w:rsidR="00177848" w:rsidRPr="00C6052E">
        <w:t xml:space="preserve"> </w:t>
      </w:r>
      <w:r w:rsidRPr="00C6052E">
        <w:t>and</w:t>
      </w:r>
      <w:r w:rsidR="00177848" w:rsidRPr="00C6052E">
        <w:t xml:space="preserve"> </w:t>
      </w:r>
      <w:r w:rsidRPr="00C6052E">
        <w:t>businesses</w:t>
      </w:r>
      <w:r w:rsidR="00177848" w:rsidRPr="00C6052E">
        <w:t xml:space="preserve"> </w:t>
      </w:r>
      <w:r w:rsidRPr="00C6052E">
        <w:t>by</w:t>
      </w:r>
      <w:r w:rsidR="00177848" w:rsidRPr="00C6052E">
        <w:t xml:space="preserve"> </w:t>
      </w:r>
      <w:r w:rsidRPr="00C6052E">
        <w:t>working</w:t>
      </w:r>
      <w:r w:rsidR="00177848" w:rsidRPr="00C6052E">
        <w:t xml:space="preserve"> </w:t>
      </w:r>
      <w:r w:rsidRPr="00C6052E">
        <w:t>with</w:t>
      </w:r>
      <w:r w:rsidR="00177848" w:rsidRPr="00C6052E">
        <w:t xml:space="preserve"> </w:t>
      </w:r>
      <w:r w:rsidRPr="00C6052E">
        <w:t>priority</w:t>
      </w:r>
      <w:r w:rsidR="00177848" w:rsidRPr="00C6052E">
        <w:t xml:space="preserve"> </w:t>
      </w:r>
      <w:r w:rsidRPr="00C6052E">
        <w:t>industry</w:t>
      </w:r>
      <w:r w:rsidR="00177848" w:rsidRPr="00C6052E">
        <w:t xml:space="preserve"> </w:t>
      </w:r>
      <w:r w:rsidRPr="00C6052E">
        <w:t>sectors,</w:t>
      </w:r>
      <w:r w:rsidR="00177848" w:rsidRPr="00C6052E">
        <w:t xml:space="preserve"> </w:t>
      </w:r>
      <w:r w:rsidRPr="00C6052E">
        <w:t>supporting</w:t>
      </w:r>
      <w:r w:rsidR="00177848" w:rsidRPr="00C6052E">
        <w:t xml:space="preserve"> </w:t>
      </w:r>
      <w:r w:rsidRPr="00C6052E">
        <w:t>growth</w:t>
      </w:r>
      <w:r w:rsidR="00177848" w:rsidRPr="00C6052E">
        <w:t xml:space="preserve"> </w:t>
      </w:r>
      <w:r w:rsidRPr="00C6052E">
        <w:t>and</w:t>
      </w:r>
      <w:r w:rsidR="00177848" w:rsidRPr="00C6052E">
        <w:t xml:space="preserve"> </w:t>
      </w:r>
      <w:r w:rsidRPr="00C6052E">
        <w:t>innovation</w:t>
      </w:r>
      <w:r w:rsidR="00177848" w:rsidRPr="00C6052E">
        <w:t xml:space="preserve"> </w:t>
      </w:r>
      <w:r w:rsidRPr="00C6052E">
        <w:t>and</w:t>
      </w:r>
      <w:r w:rsidR="00177848" w:rsidRPr="00C6052E">
        <w:t xml:space="preserve"> </w:t>
      </w:r>
      <w:r w:rsidRPr="00C6052E">
        <w:t>commercialisation</w:t>
      </w:r>
      <w:r w:rsidR="00177848" w:rsidRPr="00C6052E">
        <w:t xml:space="preserve"> </w:t>
      </w:r>
      <w:r w:rsidRPr="00C6052E">
        <w:t>opportunities,</w:t>
      </w:r>
      <w:r w:rsidR="00177848" w:rsidRPr="00C6052E">
        <w:t xml:space="preserve"> </w:t>
      </w:r>
      <w:r w:rsidRPr="00C6052E">
        <w:t>supporting</w:t>
      </w:r>
      <w:r w:rsidR="00177848" w:rsidRPr="00C6052E">
        <w:t xml:space="preserve"> </w:t>
      </w:r>
      <w:r w:rsidRPr="00C6052E">
        <w:t>startups</w:t>
      </w:r>
      <w:r w:rsidR="00177848" w:rsidRPr="00C6052E">
        <w:t xml:space="preserve"> </w:t>
      </w:r>
      <w:r w:rsidRPr="00C6052E">
        <w:t>and</w:t>
      </w:r>
      <w:r w:rsidR="00177848" w:rsidRPr="00C6052E">
        <w:t xml:space="preserve"> </w:t>
      </w:r>
      <w:r w:rsidRPr="00C6052E">
        <w:t>small</w:t>
      </w:r>
      <w:r w:rsidR="00177848" w:rsidRPr="00C6052E">
        <w:t xml:space="preserve"> </w:t>
      </w:r>
      <w:r w:rsidRPr="00C6052E">
        <w:t>businesses,</w:t>
      </w:r>
      <w:r w:rsidR="00177848" w:rsidRPr="00C6052E">
        <w:t xml:space="preserve"> </w:t>
      </w:r>
      <w:r w:rsidRPr="00C6052E">
        <w:t>and</w:t>
      </w:r>
      <w:r w:rsidR="00177848" w:rsidRPr="00C6052E">
        <w:t xml:space="preserve"> </w:t>
      </w:r>
      <w:r w:rsidRPr="00C6052E">
        <w:t>assisting</w:t>
      </w:r>
      <w:r w:rsidR="00177848" w:rsidRPr="00C6052E">
        <w:t xml:space="preserve"> </w:t>
      </w:r>
      <w:r w:rsidRPr="00C6052E">
        <w:t>industries</w:t>
      </w:r>
      <w:r w:rsidR="00177848" w:rsidRPr="00C6052E">
        <w:t xml:space="preserve"> </w:t>
      </w:r>
      <w:r w:rsidRPr="00C6052E">
        <w:t>in</w:t>
      </w:r>
      <w:r w:rsidR="00177848" w:rsidRPr="00C6052E">
        <w:t xml:space="preserve"> </w:t>
      </w:r>
      <w:r w:rsidRPr="00C6052E">
        <w:t>transition.</w:t>
      </w:r>
    </w:p>
    <w:p w14:paraId="7EB74A37" w14:textId="1F84A5BC" w:rsidR="00EE5BB8" w:rsidRPr="00C6052E" w:rsidRDefault="00EE5BB8" w:rsidP="00EE5BB8">
      <w:pPr>
        <w:pStyle w:val="Heading4"/>
      </w:pPr>
      <w:r w:rsidRPr="00C6052E">
        <w:lastRenderedPageBreak/>
        <w:t>Progress</w:t>
      </w:r>
      <w:r w:rsidR="00177848" w:rsidRPr="00C6052E">
        <w:t xml:space="preserve"> </w:t>
      </w:r>
      <w:r w:rsidRPr="00C6052E">
        <w:t>towards</w:t>
      </w:r>
      <w:r w:rsidR="00177848" w:rsidRPr="00C6052E">
        <w:t xml:space="preserve"> </w:t>
      </w:r>
      <w:r w:rsidRPr="00C6052E">
        <w:t>achieving</w:t>
      </w:r>
      <w:r w:rsidR="00177848" w:rsidRPr="00C6052E">
        <w:t xml:space="preserve"> </w:t>
      </w:r>
      <w:r w:rsidRPr="00C6052E">
        <w:t>this</w:t>
      </w:r>
      <w:r w:rsidR="00177848" w:rsidRPr="00C6052E">
        <w:t xml:space="preserve"> </w:t>
      </w:r>
      <w:r w:rsidRPr="00C6052E">
        <w:t>objective</w:t>
      </w:r>
    </w:p>
    <w:p w14:paraId="58A7104C" w14:textId="7110F059" w:rsidR="00EE5BB8" w:rsidRPr="00C6052E" w:rsidRDefault="00EE5BB8" w:rsidP="0028635E">
      <w:pPr>
        <w:pStyle w:val="Normalbeforebullets"/>
      </w:pPr>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reported</w:t>
      </w:r>
      <w:r w:rsidR="00177848" w:rsidRPr="00C6052E">
        <w:t xml:space="preserve"> </w:t>
      </w:r>
      <w:r w:rsidRPr="00C6052E">
        <w:t>progress</w:t>
      </w:r>
      <w:r w:rsidR="00177848" w:rsidRPr="00C6052E">
        <w:t xml:space="preserve"> </w:t>
      </w:r>
      <w:r w:rsidRPr="00C6052E">
        <w:t>against</w:t>
      </w:r>
      <w:r w:rsidR="00177848" w:rsidRPr="00C6052E">
        <w:t xml:space="preserve"> </w:t>
      </w:r>
      <w:r w:rsidRPr="00C6052E">
        <w:t>this</w:t>
      </w:r>
      <w:r w:rsidR="00177848" w:rsidRPr="00C6052E">
        <w:t xml:space="preserve"> </w:t>
      </w:r>
      <w:r w:rsidRPr="00C6052E">
        <w:t>objective</w:t>
      </w:r>
      <w:r w:rsidR="00177848" w:rsidRPr="00C6052E">
        <w:t xml:space="preserve"> </w:t>
      </w:r>
      <w:r w:rsidRPr="00C6052E">
        <w:t>using</w:t>
      </w:r>
      <w:r w:rsidR="00177848" w:rsidRPr="00C6052E">
        <w:t xml:space="preserve"> </w:t>
      </w:r>
      <w:r w:rsidRPr="00C6052E">
        <w:t>the</w:t>
      </w:r>
      <w:r w:rsidR="00177848" w:rsidRPr="00C6052E">
        <w:t xml:space="preserve"> </w:t>
      </w:r>
      <w:r w:rsidRPr="00C6052E">
        <w:t>following</w:t>
      </w:r>
      <w:r w:rsidR="00177848" w:rsidRPr="00C6052E">
        <w:t xml:space="preserve"> </w:t>
      </w:r>
      <w:r w:rsidRPr="00C6052E">
        <w:t>objective</w:t>
      </w:r>
      <w:r w:rsidR="00177848" w:rsidRPr="00C6052E">
        <w:t xml:space="preserve"> </w:t>
      </w:r>
      <w:r w:rsidRPr="00C6052E">
        <w:t>indicators</w:t>
      </w:r>
      <w:r w:rsidR="00177848" w:rsidRPr="00C6052E">
        <w:t xml:space="preserve"> </w:t>
      </w:r>
      <w:r w:rsidRPr="00C6052E">
        <w:t>and</w:t>
      </w:r>
      <w:r w:rsidR="00177848" w:rsidRPr="00C6052E">
        <w:t xml:space="preserve"> </w:t>
      </w:r>
      <w:r w:rsidRPr="00C6052E">
        <w:t>outputs:</w:t>
      </w:r>
    </w:p>
    <w:p w14:paraId="1C29183E" w14:textId="34B0BEFB" w:rsidR="00EE5BB8" w:rsidRPr="00C6052E" w:rsidRDefault="00EE5BB8" w:rsidP="00EE5BB8">
      <w:pPr>
        <w:pStyle w:val="Heading5"/>
        <w:numPr>
          <w:ilvl w:val="0"/>
          <w:numId w:val="0"/>
        </w:numPr>
      </w:pPr>
      <w:r w:rsidRPr="00C6052E">
        <w:t>Objective</w:t>
      </w:r>
      <w:r w:rsidR="00177848" w:rsidRPr="00C6052E">
        <w:t xml:space="preserve"> </w:t>
      </w:r>
      <w:r w:rsidRPr="00C6052E">
        <w:t>Indicators</w:t>
      </w:r>
    </w:p>
    <w:p w14:paraId="6F93B3D3" w14:textId="04EF09B5" w:rsidR="00EE5BB8" w:rsidRPr="00C6052E" w:rsidRDefault="00EE5BB8" w:rsidP="00EE5BB8">
      <w:pPr>
        <w:pStyle w:val="Bullet1"/>
        <w:numPr>
          <w:ilvl w:val="0"/>
          <w:numId w:val="1"/>
        </w:numPr>
        <w:spacing w:line="278" w:lineRule="auto"/>
        <w:ind w:left="284" w:hanging="284"/>
        <w:rPr>
          <w:lang w:val="en-AU"/>
        </w:rPr>
      </w:pPr>
      <w:r w:rsidRPr="00C6052E">
        <w:rPr>
          <w:lang w:val="en-AU"/>
        </w:rPr>
        <w:t>Change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real</w:t>
      </w:r>
      <w:r w:rsidR="00177848" w:rsidRPr="00C6052E">
        <w:rPr>
          <w:lang w:val="en-AU"/>
        </w:rPr>
        <w:t xml:space="preserve"> </w:t>
      </w:r>
      <w:r w:rsidRPr="00C6052E">
        <w:rPr>
          <w:lang w:val="en-AU"/>
        </w:rPr>
        <w:t>gross</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product</w:t>
      </w:r>
    </w:p>
    <w:p w14:paraId="1066936D" w14:textId="2AB6E229" w:rsidR="00EE5BB8" w:rsidRPr="00C6052E" w:rsidRDefault="00EE5BB8" w:rsidP="00EE5BB8">
      <w:pPr>
        <w:pStyle w:val="Bullet1last"/>
        <w:numPr>
          <w:ilvl w:val="0"/>
          <w:numId w:val="1"/>
        </w:numPr>
        <w:spacing w:line="278" w:lineRule="auto"/>
        <w:ind w:left="284" w:hanging="284"/>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employing</w:t>
      </w:r>
      <w:r w:rsidR="00177848" w:rsidRPr="00C6052E">
        <w:rPr>
          <w:lang w:val="en-AU"/>
        </w:rPr>
        <w:t xml:space="preserve"> </w:t>
      </w:r>
      <w:r w:rsidRPr="00C6052E">
        <w:rPr>
          <w:lang w:val="en-AU"/>
        </w:rPr>
        <w:t>businesses</w:t>
      </w:r>
    </w:p>
    <w:p w14:paraId="4A32741F" w14:textId="77777777" w:rsidR="00EE5BB8" w:rsidRPr="00C6052E" w:rsidRDefault="00EE5BB8" w:rsidP="00EE5BB8">
      <w:pPr>
        <w:pStyle w:val="Heading5"/>
        <w:numPr>
          <w:ilvl w:val="0"/>
          <w:numId w:val="0"/>
        </w:numPr>
      </w:pPr>
      <w:r w:rsidRPr="00C6052E">
        <w:t>Outputs</w:t>
      </w:r>
    </w:p>
    <w:p w14:paraId="0C9D9398" w14:textId="1D899D00" w:rsidR="00EE5BB8" w:rsidRPr="00C6052E" w:rsidRDefault="00EE5BB8" w:rsidP="00EE5BB8">
      <w:pPr>
        <w:pStyle w:val="Bullet1last"/>
        <w:numPr>
          <w:ilvl w:val="0"/>
          <w:numId w:val="1"/>
        </w:numPr>
        <w:spacing w:line="278" w:lineRule="auto"/>
        <w:ind w:left="284" w:hanging="284"/>
        <w:rPr>
          <w:lang w:val="en-AU"/>
        </w:rPr>
      </w:pPr>
      <w:r w:rsidRPr="00C6052E">
        <w:rPr>
          <w:lang w:val="en-AU"/>
        </w:rPr>
        <w:t>Industry,</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Medical</w:t>
      </w:r>
      <w:r w:rsidR="00177848" w:rsidRPr="00C6052E">
        <w:rPr>
          <w:lang w:val="en-AU"/>
        </w:rPr>
        <w:t xml:space="preserve"> </w:t>
      </w:r>
      <w:r w:rsidRPr="00C6052E">
        <w:rPr>
          <w:lang w:val="en-AU"/>
        </w:rPr>
        <w:t>Research</w:t>
      </w:r>
    </w:p>
    <w:p w14:paraId="1433E8E4" w14:textId="522384F3" w:rsidR="00EE5BB8" w:rsidRPr="00C6052E" w:rsidRDefault="00EE5BB8" w:rsidP="00EE5BB8">
      <w:pPr>
        <w:pStyle w:val="Heading3"/>
      </w:pPr>
      <w:r w:rsidRPr="00C6052E">
        <w:t>Indicator:</w:t>
      </w:r>
      <w:r w:rsidR="00177848" w:rsidRPr="00C6052E">
        <w:t xml:space="preserve"> </w:t>
      </w:r>
      <w:r w:rsidRPr="00C6052E">
        <w:t>Change</w:t>
      </w:r>
      <w:r w:rsidR="00177848" w:rsidRPr="00C6052E">
        <w:t xml:space="preserve"> </w:t>
      </w:r>
      <w:r w:rsidRPr="00C6052E">
        <w:t>in</w:t>
      </w:r>
      <w:r w:rsidR="00177848" w:rsidRPr="00C6052E">
        <w:t xml:space="preserve"> </w:t>
      </w:r>
      <w:r w:rsidRPr="00C6052E">
        <w:t>Victoria’s</w:t>
      </w:r>
      <w:r w:rsidR="00177848" w:rsidRPr="00C6052E">
        <w:t xml:space="preserve"> </w:t>
      </w:r>
      <w:r w:rsidRPr="00C6052E">
        <w:t>real</w:t>
      </w:r>
      <w:r w:rsidR="00177848" w:rsidRPr="00C6052E">
        <w:t xml:space="preserve"> </w:t>
      </w:r>
      <w:r w:rsidRPr="00C6052E">
        <w:t>gross</w:t>
      </w:r>
      <w:r w:rsidR="00177848" w:rsidRPr="00C6052E">
        <w:t xml:space="preserve"> </w:t>
      </w:r>
      <w:r w:rsidRPr="00C6052E">
        <w:t>state</w:t>
      </w:r>
      <w:r w:rsidR="00177848" w:rsidRPr="00C6052E">
        <w:t xml:space="preserve"> </w:t>
      </w:r>
      <w:r w:rsidRPr="00C6052E">
        <w:t>product</w:t>
      </w:r>
    </w:p>
    <w:p w14:paraId="267A2EEC" w14:textId="118B1B43" w:rsidR="00EE5BB8" w:rsidRPr="00C6052E" w:rsidRDefault="00EE5BB8" w:rsidP="00EE5BB8">
      <w:pPr>
        <w:pStyle w:val="TableHeading"/>
      </w:pPr>
      <w:r w:rsidRPr="00C6052E">
        <w:t>Table</w:t>
      </w:r>
      <w:r w:rsidR="00177848" w:rsidRPr="00C6052E">
        <w:t xml:space="preserve"> </w:t>
      </w:r>
      <w:r w:rsidRPr="00C6052E">
        <w:t>3:</w:t>
      </w:r>
      <w:r w:rsidR="00177848" w:rsidRPr="00C6052E">
        <w:t xml:space="preserve"> </w:t>
      </w:r>
      <w:r w:rsidRPr="00C6052E">
        <w:t>Change</w:t>
      </w:r>
      <w:r w:rsidR="00177848" w:rsidRPr="00C6052E">
        <w:t xml:space="preserve"> </w:t>
      </w:r>
      <w:r w:rsidRPr="00C6052E">
        <w:t>in</w:t>
      </w:r>
      <w:r w:rsidR="00177848" w:rsidRPr="00C6052E">
        <w:t xml:space="preserve"> </w:t>
      </w:r>
      <w:r w:rsidRPr="00C6052E">
        <w:t>Victoria’s</w:t>
      </w:r>
      <w:r w:rsidR="00177848" w:rsidRPr="00C6052E">
        <w:t xml:space="preserve"> </w:t>
      </w:r>
      <w:r w:rsidRPr="00C6052E">
        <w:t>real</w:t>
      </w:r>
      <w:r w:rsidR="00177848" w:rsidRPr="00C6052E">
        <w:t xml:space="preserve"> </w:t>
      </w:r>
      <w:r w:rsidRPr="00C6052E">
        <w:t>gross</w:t>
      </w:r>
      <w:r w:rsidR="00177848" w:rsidRPr="00C6052E">
        <w:t xml:space="preserve"> </w:t>
      </w:r>
      <w:r w:rsidRPr="00C6052E">
        <w:t>state</w:t>
      </w:r>
      <w:r w:rsidR="00177848" w:rsidRPr="00C6052E">
        <w:t xml:space="preserve"> </w:t>
      </w:r>
      <w:r w:rsidRPr="00C6052E">
        <w:t>product</w:t>
      </w:r>
    </w:p>
    <w:tbl>
      <w:tblPr>
        <w:tblStyle w:val="TableGrid"/>
        <w:tblW w:w="9634" w:type="dxa"/>
        <w:tblLayout w:type="fixed"/>
        <w:tblLook w:val="0060" w:firstRow="1" w:lastRow="1" w:firstColumn="0" w:lastColumn="0" w:noHBand="0" w:noVBand="0"/>
      </w:tblPr>
      <w:tblGrid>
        <w:gridCol w:w="4390"/>
        <w:gridCol w:w="1311"/>
        <w:gridCol w:w="1311"/>
        <w:gridCol w:w="1311"/>
        <w:gridCol w:w="1311"/>
      </w:tblGrid>
      <w:tr w:rsidR="00EE5BB8" w:rsidRPr="00C6052E" w14:paraId="05B877A1" w14:textId="77777777" w:rsidTr="0063097D">
        <w:tc>
          <w:tcPr>
            <w:tcW w:w="4390" w:type="dxa"/>
            <w:hideMark/>
          </w:tcPr>
          <w:p w14:paraId="3866E123" w14:textId="5DEC7C8A" w:rsidR="00EE5BB8" w:rsidRPr="00C6052E" w:rsidRDefault="00EE5BB8" w:rsidP="0063097D">
            <w:pPr>
              <w:pStyle w:val="TableColumnHeading"/>
              <w:rPr>
                <w:lang w:val="en-AU"/>
              </w:rPr>
            </w:pPr>
            <w:bookmarkStart w:id="11" w:name="TableColumnHeadings_9"/>
            <w:bookmarkEnd w:id="11"/>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311" w:type="dxa"/>
            <w:hideMark/>
          </w:tcPr>
          <w:p w14:paraId="5DD7C78A" w14:textId="77777777" w:rsidR="00EE5BB8" w:rsidRPr="00C6052E" w:rsidRDefault="00EE5BB8" w:rsidP="0063097D">
            <w:pPr>
              <w:pStyle w:val="TableColumnHeading"/>
              <w:jc w:val="right"/>
              <w:rPr>
                <w:lang w:val="en-AU"/>
              </w:rPr>
            </w:pPr>
            <w:r w:rsidRPr="00C6052E">
              <w:rPr>
                <w:lang w:val="en-AU"/>
              </w:rPr>
              <w:t>2021–22</w:t>
            </w:r>
          </w:p>
        </w:tc>
        <w:tc>
          <w:tcPr>
            <w:tcW w:w="1311" w:type="dxa"/>
            <w:hideMark/>
          </w:tcPr>
          <w:p w14:paraId="3A0EF271" w14:textId="77777777" w:rsidR="00EE5BB8" w:rsidRPr="00C6052E" w:rsidRDefault="00EE5BB8" w:rsidP="0063097D">
            <w:pPr>
              <w:pStyle w:val="TableColumnHeading"/>
              <w:jc w:val="right"/>
              <w:rPr>
                <w:lang w:val="en-AU"/>
              </w:rPr>
            </w:pPr>
            <w:r w:rsidRPr="00C6052E">
              <w:rPr>
                <w:lang w:val="en-AU"/>
              </w:rPr>
              <w:t>2022–23</w:t>
            </w:r>
          </w:p>
        </w:tc>
        <w:tc>
          <w:tcPr>
            <w:tcW w:w="1311" w:type="dxa"/>
          </w:tcPr>
          <w:p w14:paraId="6A77B5CF" w14:textId="77777777" w:rsidR="00EE5BB8" w:rsidRPr="00C6052E" w:rsidRDefault="00EE5BB8" w:rsidP="0063097D">
            <w:pPr>
              <w:pStyle w:val="TableColumnHeading"/>
              <w:jc w:val="right"/>
              <w:rPr>
                <w:lang w:val="en-AU"/>
              </w:rPr>
            </w:pPr>
            <w:r w:rsidRPr="00C6052E">
              <w:rPr>
                <w:lang w:val="en-AU"/>
              </w:rPr>
              <w:t>2023–24</w:t>
            </w:r>
          </w:p>
        </w:tc>
        <w:tc>
          <w:tcPr>
            <w:tcW w:w="1311" w:type="dxa"/>
          </w:tcPr>
          <w:p w14:paraId="0D86C176"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65ADA7EE" w14:textId="77777777" w:rsidTr="0063097D">
        <w:tc>
          <w:tcPr>
            <w:tcW w:w="4390" w:type="dxa"/>
            <w:hideMark/>
          </w:tcPr>
          <w:p w14:paraId="10D211F7" w14:textId="31673FA8" w:rsidR="00EE5BB8" w:rsidRPr="00C6052E" w:rsidRDefault="00EE5BB8" w:rsidP="0063097D">
            <w:pPr>
              <w:pStyle w:val="TableCopy"/>
              <w:rPr>
                <w:lang w:val="en-AU"/>
              </w:rPr>
            </w:pPr>
            <w:r w:rsidRPr="00C6052E">
              <w:rPr>
                <w:lang w:val="en-AU"/>
              </w:rPr>
              <w:t>Change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real</w:t>
            </w:r>
            <w:r w:rsidR="00177848" w:rsidRPr="00C6052E">
              <w:rPr>
                <w:lang w:val="en-AU"/>
              </w:rPr>
              <w:t xml:space="preserve"> </w:t>
            </w:r>
            <w:r w:rsidRPr="00C6052E">
              <w:rPr>
                <w:lang w:val="en-AU"/>
              </w:rPr>
              <w:t>gross</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product</w:t>
            </w:r>
            <w:r w:rsidR="00177848" w:rsidRPr="00C6052E">
              <w:rPr>
                <w:lang w:val="en-AU"/>
              </w:rPr>
              <w:t xml:space="preserve"> </w:t>
            </w:r>
            <w:r w:rsidRPr="00C6052E">
              <w:rPr>
                <w:lang w:val="en-AU"/>
              </w:rPr>
              <w:t>(per</w:t>
            </w:r>
            <w:r w:rsidR="00177848" w:rsidRPr="00C6052E">
              <w:rPr>
                <w:lang w:val="en-AU"/>
              </w:rPr>
              <w:t xml:space="preserve"> </w:t>
            </w:r>
            <w:r w:rsidRPr="00C6052E">
              <w:rPr>
                <w:lang w:val="en-AU"/>
              </w:rPr>
              <w:t>cent)</w:t>
            </w:r>
          </w:p>
        </w:tc>
        <w:tc>
          <w:tcPr>
            <w:tcW w:w="1311" w:type="dxa"/>
            <w:hideMark/>
          </w:tcPr>
          <w:p w14:paraId="6607E63A" w14:textId="77777777" w:rsidR="00EE5BB8" w:rsidRPr="00C6052E" w:rsidRDefault="00EE5BB8" w:rsidP="0063097D">
            <w:pPr>
              <w:pStyle w:val="TableCopy"/>
              <w:jc w:val="right"/>
              <w:rPr>
                <w:lang w:val="en-AU"/>
              </w:rPr>
            </w:pPr>
            <w:r w:rsidRPr="00C6052E">
              <w:rPr>
                <w:lang w:val="en-AU"/>
              </w:rPr>
              <w:t>6.3</w:t>
            </w:r>
          </w:p>
        </w:tc>
        <w:tc>
          <w:tcPr>
            <w:tcW w:w="1311" w:type="dxa"/>
            <w:hideMark/>
          </w:tcPr>
          <w:p w14:paraId="5818336F" w14:textId="77777777" w:rsidR="00EE5BB8" w:rsidRPr="00C6052E" w:rsidRDefault="00EE5BB8" w:rsidP="0063097D">
            <w:pPr>
              <w:pStyle w:val="TableCopy"/>
              <w:jc w:val="right"/>
              <w:rPr>
                <w:lang w:val="en-AU"/>
              </w:rPr>
            </w:pPr>
            <w:r w:rsidRPr="00C6052E">
              <w:rPr>
                <w:lang w:val="en-AU"/>
              </w:rPr>
              <w:t>3.4*</w:t>
            </w:r>
          </w:p>
        </w:tc>
        <w:tc>
          <w:tcPr>
            <w:tcW w:w="1311" w:type="dxa"/>
          </w:tcPr>
          <w:p w14:paraId="337A0689" w14:textId="77777777" w:rsidR="00EE5BB8" w:rsidRPr="00C6052E" w:rsidRDefault="00EE5BB8" w:rsidP="0063097D">
            <w:pPr>
              <w:pStyle w:val="TableCopy"/>
              <w:jc w:val="right"/>
              <w:rPr>
                <w:lang w:val="en-AU"/>
              </w:rPr>
            </w:pPr>
            <w:r w:rsidRPr="00C6052E">
              <w:rPr>
                <w:lang w:val="en-AU"/>
              </w:rPr>
              <w:t>1.5*</w:t>
            </w:r>
          </w:p>
        </w:tc>
        <w:tc>
          <w:tcPr>
            <w:tcW w:w="1311" w:type="dxa"/>
          </w:tcPr>
          <w:p w14:paraId="6B598E1C" w14:textId="77777777" w:rsidR="00EE5BB8" w:rsidRPr="00C6052E" w:rsidRDefault="00EE5BB8" w:rsidP="0063097D">
            <w:pPr>
              <w:pStyle w:val="TableCopy"/>
              <w:jc w:val="right"/>
              <w:rPr>
                <w:lang w:val="en-AU"/>
              </w:rPr>
            </w:pPr>
            <w:r w:rsidRPr="00C6052E">
              <w:rPr>
                <w:lang w:val="en-AU"/>
              </w:rPr>
              <w:t>N/A**</w:t>
            </w:r>
          </w:p>
        </w:tc>
      </w:tr>
    </w:tbl>
    <w:p w14:paraId="521034B2" w14:textId="0B1D9823" w:rsidR="00EE5BB8" w:rsidRPr="00C6052E" w:rsidRDefault="00EE5BB8" w:rsidP="00EE5BB8">
      <w:pPr>
        <w:pStyle w:val="Tablenotes"/>
        <w:ind w:left="170" w:hanging="170"/>
      </w:pPr>
      <w:r w:rsidRPr="00C6052E">
        <w:t>*</w:t>
      </w:r>
      <w:r w:rsidR="00177848" w:rsidRPr="00C6052E">
        <w:t xml:space="preserve">   </w:t>
      </w:r>
      <w:r w:rsidRPr="00C6052E">
        <w:t>This</w:t>
      </w:r>
      <w:r w:rsidR="00177848" w:rsidRPr="00C6052E">
        <w:t xml:space="preserve"> </w:t>
      </w:r>
      <w:r w:rsidRPr="00C6052E">
        <w:t>is</w:t>
      </w:r>
      <w:r w:rsidR="00177848" w:rsidRPr="00C6052E">
        <w:t xml:space="preserve"> </w:t>
      </w:r>
      <w:r w:rsidRPr="00C6052E">
        <w:t>the</w:t>
      </w:r>
      <w:r w:rsidR="00177848" w:rsidRPr="00C6052E">
        <w:t xml:space="preserve"> </w:t>
      </w:r>
      <w:r w:rsidRPr="00C6052E">
        <w:t>latest</w:t>
      </w:r>
      <w:r w:rsidR="00177848" w:rsidRPr="00C6052E">
        <w:t xml:space="preserve"> </w:t>
      </w:r>
      <w:r w:rsidRPr="00C6052E">
        <w:t>available</w:t>
      </w:r>
      <w:r w:rsidR="00177848" w:rsidRPr="00C6052E">
        <w:t xml:space="preserve"> </w:t>
      </w:r>
      <w:r w:rsidRPr="00C6052E">
        <w:t>data.</w:t>
      </w:r>
      <w:r w:rsidR="00177848" w:rsidRPr="00C6052E">
        <w:t xml:space="preserve"> </w:t>
      </w:r>
      <w:r w:rsidRPr="00C6052E">
        <w:t>Changes</w:t>
      </w:r>
      <w:r w:rsidR="00177848" w:rsidRPr="00C6052E">
        <w:t xml:space="preserve"> </w:t>
      </w:r>
      <w:r w:rsidRPr="00C6052E">
        <w:t>to</w:t>
      </w:r>
      <w:r w:rsidR="00177848" w:rsidRPr="00C6052E">
        <w:t xml:space="preserve"> </w:t>
      </w:r>
      <w:r w:rsidRPr="00C6052E">
        <w:t>the</w:t>
      </w:r>
      <w:r w:rsidR="00177848" w:rsidRPr="00C6052E">
        <w:t xml:space="preserve"> </w:t>
      </w:r>
      <w:r w:rsidRPr="00C6052E">
        <w:t>inputs</w:t>
      </w:r>
      <w:r w:rsidR="00177848" w:rsidRPr="00C6052E">
        <w:t xml:space="preserve"> </w:t>
      </w:r>
      <w:r w:rsidRPr="00C6052E">
        <w:t>used</w:t>
      </w:r>
      <w:r w:rsidR="00177848" w:rsidRPr="00C6052E">
        <w:t xml:space="preserve"> </w:t>
      </w:r>
      <w:r w:rsidRPr="00C6052E">
        <w:t>to</w:t>
      </w:r>
      <w:r w:rsidR="00177848" w:rsidRPr="00C6052E">
        <w:t xml:space="preserve"> </w:t>
      </w:r>
      <w:r w:rsidRPr="00C6052E">
        <w:t>produce</w:t>
      </w:r>
      <w:r w:rsidR="00177848" w:rsidRPr="00C6052E">
        <w:t xml:space="preserve"> </w:t>
      </w:r>
      <w:r w:rsidRPr="00C6052E">
        <w:t>this</w:t>
      </w:r>
      <w:r w:rsidR="00177848" w:rsidRPr="00C6052E">
        <w:t xml:space="preserve"> </w:t>
      </w:r>
      <w:r w:rsidRPr="00C6052E">
        <w:t>data</w:t>
      </w:r>
      <w:r w:rsidR="00177848" w:rsidRPr="00C6052E">
        <w:t xml:space="preserve"> </w:t>
      </w:r>
      <w:r w:rsidRPr="00C6052E">
        <w:t>have</w:t>
      </w:r>
      <w:r w:rsidR="00177848" w:rsidRPr="00C6052E">
        <w:t xml:space="preserve"> </w:t>
      </w:r>
      <w:r w:rsidRPr="00C6052E">
        <w:t>resulted</w:t>
      </w:r>
      <w:r w:rsidR="00177848" w:rsidRPr="00C6052E">
        <w:t xml:space="preserve"> </w:t>
      </w:r>
      <w:r w:rsidRPr="00C6052E">
        <w:t>in</w:t>
      </w:r>
      <w:r w:rsidR="00177848" w:rsidRPr="00C6052E">
        <w:t xml:space="preserve"> </w:t>
      </w:r>
      <w:r w:rsidRPr="00C6052E">
        <w:t>revised</w:t>
      </w:r>
      <w:r w:rsidR="00177848" w:rsidRPr="00C6052E">
        <w:t xml:space="preserve"> </w:t>
      </w:r>
      <w:r w:rsidRPr="00C6052E">
        <w:t>historical</w:t>
      </w:r>
      <w:r w:rsidR="00177848" w:rsidRPr="00C6052E">
        <w:t xml:space="preserve"> </w:t>
      </w:r>
      <w:r w:rsidRPr="00C6052E">
        <w:t>estimates</w:t>
      </w:r>
      <w:r w:rsidR="00177848" w:rsidRPr="00C6052E">
        <w:t xml:space="preserve"> </w:t>
      </w:r>
      <w:r w:rsidRPr="00C6052E">
        <w:t>that</w:t>
      </w:r>
      <w:r w:rsidR="00177848" w:rsidRPr="00C6052E">
        <w:t xml:space="preserve"> </w:t>
      </w:r>
      <w:r w:rsidRPr="00C6052E">
        <w:t>should</w:t>
      </w:r>
      <w:r w:rsidR="00177848" w:rsidRPr="00C6052E">
        <w:t xml:space="preserve"> </w:t>
      </w:r>
      <w:r w:rsidRPr="00C6052E">
        <w:t>not</w:t>
      </w:r>
      <w:r w:rsidR="00177848" w:rsidRPr="00C6052E">
        <w:t xml:space="preserve"> </w:t>
      </w:r>
      <w:r w:rsidRPr="00C6052E">
        <w:t>be</w:t>
      </w:r>
      <w:r w:rsidR="00177848" w:rsidRPr="00C6052E">
        <w:t xml:space="preserve"> </w:t>
      </w:r>
      <w:r w:rsidRPr="00C6052E">
        <w:t>compared</w:t>
      </w:r>
      <w:r w:rsidR="00177848" w:rsidRPr="00C6052E">
        <w:t xml:space="preserve"> </w:t>
      </w:r>
      <w:r w:rsidRPr="00C6052E">
        <w:t>to</w:t>
      </w:r>
      <w:r w:rsidR="00177848" w:rsidRPr="00C6052E">
        <w:t xml:space="preserve"> </w:t>
      </w:r>
      <w:r w:rsidRPr="00C6052E">
        <w:t>previously</w:t>
      </w:r>
      <w:r w:rsidR="00177848" w:rsidRPr="00C6052E">
        <w:t xml:space="preserve"> </w:t>
      </w:r>
      <w:r w:rsidRPr="00C6052E">
        <w:t>published</w:t>
      </w:r>
      <w:r w:rsidR="00177848" w:rsidRPr="00C6052E">
        <w:t xml:space="preserve"> </w:t>
      </w:r>
      <w:r w:rsidRPr="00C6052E">
        <w:t>results.</w:t>
      </w:r>
    </w:p>
    <w:p w14:paraId="52C26555" w14:textId="2E5E8D7B" w:rsidR="00EE5BB8" w:rsidRPr="00C6052E" w:rsidRDefault="00EE5BB8" w:rsidP="00EE5BB8">
      <w:pPr>
        <w:pStyle w:val="Tablenotes"/>
        <w:spacing w:after="240"/>
        <w:ind w:left="170" w:hanging="170"/>
      </w:pPr>
      <w:r w:rsidRPr="00C6052E">
        <w:t>**</w:t>
      </w:r>
      <w:r w:rsidR="00177848" w:rsidRPr="00C6052E">
        <w:t xml:space="preserve"> </w:t>
      </w:r>
      <w:r w:rsidRPr="00C6052E">
        <w:t>Data</w:t>
      </w:r>
      <w:r w:rsidR="00177848" w:rsidRPr="00C6052E">
        <w:t xml:space="preserve"> </w:t>
      </w:r>
      <w:r w:rsidRPr="00C6052E">
        <w:t>unavailable</w:t>
      </w:r>
      <w:r w:rsidR="00177848" w:rsidRPr="00C6052E">
        <w:t xml:space="preserve"> </w:t>
      </w:r>
      <w:r w:rsidRPr="00C6052E">
        <w:t>at</w:t>
      </w:r>
      <w:r w:rsidR="00177848" w:rsidRPr="00C6052E">
        <w:t xml:space="preserve"> </w:t>
      </w:r>
      <w:r w:rsidRPr="00C6052E">
        <w:t>time</w:t>
      </w:r>
      <w:r w:rsidR="00177848" w:rsidRPr="00C6052E">
        <w:t xml:space="preserve"> </w:t>
      </w:r>
      <w:r w:rsidRPr="00C6052E">
        <w:t>of</w:t>
      </w:r>
      <w:r w:rsidR="00177848" w:rsidRPr="00C6052E">
        <w:t xml:space="preserve"> </w:t>
      </w:r>
      <w:r w:rsidRPr="00C6052E">
        <w:t>writing.</w:t>
      </w:r>
      <w:r w:rsidR="00177848" w:rsidRPr="00C6052E">
        <w:t xml:space="preserve"> </w:t>
      </w:r>
    </w:p>
    <w:p w14:paraId="06B65176" w14:textId="5704A711" w:rsidR="00EE5BB8" w:rsidRPr="00C6052E" w:rsidRDefault="00EE5BB8" w:rsidP="00EE5BB8">
      <w:pPr>
        <w:pStyle w:val="TableHeading"/>
      </w:pPr>
      <w:r w:rsidRPr="00C6052E">
        <w:t>Figure</w:t>
      </w:r>
      <w:r w:rsidR="00177848" w:rsidRPr="00C6052E">
        <w:t xml:space="preserve"> </w:t>
      </w:r>
      <w:r w:rsidRPr="00C6052E">
        <w:t>2:</w:t>
      </w:r>
      <w:r w:rsidR="00177848" w:rsidRPr="00C6052E">
        <w:t xml:space="preserve"> </w:t>
      </w:r>
      <w:r w:rsidRPr="00C6052E">
        <w:t>Change</w:t>
      </w:r>
      <w:r w:rsidR="00177848" w:rsidRPr="00C6052E">
        <w:t xml:space="preserve"> </w:t>
      </w:r>
      <w:r w:rsidRPr="00C6052E">
        <w:t>in</w:t>
      </w:r>
      <w:r w:rsidR="00177848" w:rsidRPr="00C6052E">
        <w:t xml:space="preserve"> </w:t>
      </w:r>
      <w:r w:rsidRPr="00C6052E">
        <w:t>Victoria’s</w:t>
      </w:r>
      <w:r w:rsidR="00177848" w:rsidRPr="00C6052E">
        <w:t xml:space="preserve"> </w:t>
      </w:r>
      <w:r w:rsidRPr="00C6052E">
        <w:t>real</w:t>
      </w:r>
      <w:r w:rsidR="00177848" w:rsidRPr="00C6052E">
        <w:t xml:space="preserve"> </w:t>
      </w:r>
      <w:r w:rsidRPr="00C6052E">
        <w:t>gross</w:t>
      </w:r>
      <w:r w:rsidR="00177848" w:rsidRPr="00C6052E">
        <w:t xml:space="preserve"> </w:t>
      </w:r>
      <w:r w:rsidRPr="00C6052E">
        <w:t>state</w:t>
      </w:r>
      <w:r w:rsidR="00177848" w:rsidRPr="00C6052E">
        <w:t xml:space="preserve"> </w:t>
      </w:r>
      <w:r w:rsidRPr="00C6052E">
        <w:t>product</w:t>
      </w:r>
    </w:p>
    <w:p w14:paraId="1B5FDEB5" w14:textId="77777777" w:rsidR="00EE5BB8" w:rsidRPr="00C6052E" w:rsidRDefault="00EE5BB8" w:rsidP="00EE5BB8">
      <w:pPr>
        <w:pStyle w:val="Graph"/>
        <w:rPr>
          <w:noProof w:val="0"/>
        </w:rPr>
      </w:pPr>
      <w:r w:rsidRPr="00C6052E">
        <w:drawing>
          <wp:inline distT="0" distB="0" distL="0" distR="0" wp14:anchorId="3F5E92D0" wp14:editId="18104321">
            <wp:extent cx="4125600" cy="2700000"/>
            <wp:effectExtent l="0" t="0" r="8255" b="5715"/>
            <wp:docPr id="1086932760" name="Chart 1" descr="Line graph showing data from Table 3: Change in Victoria’s real gross state product (above).">
              <a:extLst xmlns:a="http://schemas.openxmlformats.org/drawingml/2006/main">
                <a:ext uri="{FF2B5EF4-FFF2-40B4-BE49-F238E27FC236}">
                  <a16:creationId xmlns:a16="http://schemas.microsoft.com/office/drawing/2014/main" id="{00000000-0008-0000-06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EF7A21" w14:textId="09135C93" w:rsidR="00EE5BB8" w:rsidRPr="00C6052E" w:rsidRDefault="00EE5BB8" w:rsidP="00EE5BB8">
      <w:r w:rsidRPr="00C6052E">
        <w:t>Victoria’s</w:t>
      </w:r>
      <w:r w:rsidR="00177848" w:rsidRPr="00C6052E">
        <w:t xml:space="preserve"> </w:t>
      </w:r>
      <w:r w:rsidRPr="00C6052E">
        <w:t>economy</w:t>
      </w:r>
      <w:r w:rsidR="00177848" w:rsidRPr="00C6052E">
        <w:t xml:space="preserve"> </w:t>
      </w:r>
      <w:r w:rsidRPr="00C6052E">
        <w:t>grew</w:t>
      </w:r>
      <w:r w:rsidR="00177848" w:rsidRPr="00C6052E">
        <w:t xml:space="preserve"> </w:t>
      </w:r>
      <w:r w:rsidRPr="00C6052E">
        <w:t>by</w:t>
      </w:r>
      <w:r w:rsidR="00177848" w:rsidRPr="00C6052E">
        <w:t xml:space="preserve"> </w:t>
      </w:r>
      <w:r w:rsidRPr="00C6052E">
        <w:t>1.5%</w:t>
      </w:r>
      <w:r w:rsidR="00177848" w:rsidRPr="00C6052E">
        <w:t xml:space="preserve"> </w:t>
      </w:r>
      <w:r w:rsidRPr="00C6052E">
        <w:t>in</w:t>
      </w:r>
      <w:r w:rsidR="00177848" w:rsidRPr="00C6052E">
        <w:t xml:space="preserve"> </w:t>
      </w:r>
      <w:r w:rsidRPr="00C6052E">
        <w:t>2023–24,</w:t>
      </w:r>
      <w:r w:rsidR="00177848" w:rsidRPr="00C6052E">
        <w:t xml:space="preserve"> </w:t>
      </w:r>
      <w:r w:rsidRPr="00C6052E">
        <w:t>following</w:t>
      </w:r>
      <w:r w:rsidR="00177848" w:rsidRPr="00C6052E">
        <w:t xml:space="preserve"> </w:t>
      </w:r>
      <w:r w:rsidRPr="00C6052E">
        <w:t>a</w:t>
      </w:r>
      <w:r w:rsidR="00177848" w:rsidRPr="00C6052E">
        <w:t xml:space="preserve"> </w:t>
      </w:r>
      <w:r w:rsidRPr="00C6052E">
        <w:t>stronger</w:t>
      </w:r>
      <w:r w:rsidR="00177848" w:rsidRPr="00C6052E">
        <w:t xml:space="preserve"> </w:t>
      </w:r>
      <w:r w:rsidRPr="00C6052E">
        <w:t>3.4%</w:t>
      </w:r>
      <w:r w:rsidR="00177848" w:rsidRPr="00C6052E">
        <w:t xml:space="preserve"> </w:t>
      </w:r>
      <w:r w:rsidRPr="00C6052E">
        <w:t>rise</w:t>
      </w:r>
      <w:r w:rsidR="00177848" w:rsidRPr="00C6052E">
        <w:t xml:space="preserve"> </w:t>
      </w:r>
      <w:r w:rsidRPr="00C6052E">
        <w:t>the</w:t>
      </w:r>
      <w:r w:rsidR="00177848" w:rsidRPr="00C6052E">
        <w:t xml:space="preserve"> </w:t>
      </w:r>
      <w:r w:rsidRPr="00C6052E">
        <w:t>previous</w:t>
      </w:r>
      <w:r w:rsidR="00177848" w:rsidRPr="00C6052E">
        <w:t xml:space="preserve"> </w:t>
      </w:r>
      <w:r w:rsidRPr="00C6052E">
        <w:t>year.</w:t>
      </w:r>
      <w:r w:rsidR="00177848" w:rsidRPr="00C6052E">
        <w:t xml:space="preserve"> </w:t>
      </w:r>
      <w:r w:rsidRPr="00C6052E">
        <w:t>Growth</w:t>
      </w:r>
      <w:r w:rsidR="00177848" w:rsidRPr="00C6052E">
        <w:t xml:space="preserve"> </w:t>
      </w:r>
      <w:r w:rsidRPr="00C6052E">
        <w:t>was</w:t>
      </w:r>
      <w:r w:rsidR="00177848" w:rsidRPr="00C6052E">
        <w:t xml:space="preserve"> </w:t>
      </w:r>
      <w:r w:rsidRPr="00C6052E">
        <w:t>led</w:t>
      </w:r>
      <w:r w:rsidR="00177848" w:rsidRPr="00C6052E">
        <w:t xml:space="preserve"> </w:t>
      </w:r>
      <w:r w:rsidRPr="00C6052E">
        <w:t>by</w:t>
      </w:r>
      <w:r w:rsidR="00177848" w:rsidRPr="00C6052E">
        <w:t xml:space="preserve"> </w:t>
      </w:r>
      <w:r w:rsidRPr="00C6052E">
        <w:t>agriculture,</w:t>
      </w:r>
      <w:r w:rsidR="00177848" w:rsidRPr="00C6052E">
        <w:t xml:space="preserve"> </w:t>
      </w:r>
      <w:r w:rsidRPr="00C6052E">
        <w:t>forestry</w:t>
      </w:r>
      <w:r w:rsidR="00177848" w:rsidRPr="00C6052E">
        <w:t xml:space="preserve"> </w:t>
      </w:r>
      <w:r w:rsidRPr="00C6052E">
        <w:t>and</w:t>
      </w:r>
      <w:r w:rsidR="00177848" w:rsidRPr="00C6052E">
        <w:t xml:space="preserve"> </w:t>
      </w:r>
      <w:r w:rsidRPr="00C6052E">
        <w:t>fishing</w:t>
      </w:r>
      <w:r w:rsidR="00177848" w:rsidRPr="00C6052E">
        <w:t xml:space="preserve"> </w:t>
      </w:r>
      <w:r w:rsidRPr="00C6052E">
        <w:t>(up</w:t>
      </w:r>
      <w:r w:rsidR="00177848" w:rsidRPr="00C6052E">
        <w:t xml:space="preserve"> </w:t>
      </w:r>
      <w:r w:rsidRPr="00C6052E">
        <w:t>20.0%),</w:t>
      </w:r>
      <w:r w:rsidR="00177848" w:rsidRPr="00C6052E">
        <w:t xml:space="preserve"> </w:t>
      </w:r>
      <w:r w:rsidRPr="00C6052E">
        <w:t>driven</w:t>
      </w:r>
      <w:r w:rsidR="00177848" w:rsidRPr="00C6052E">
        <w:t xml:space="preserve"> </w:t>
      </w:r>
      <w:r w:rsidRPr="00C6052E">
        <w:t>by</w:t>
      </w:r>
      <w:r w:rsidR="00177848" w:rsidRPr="00C6052E">
        <w:t xml:space="preserve"> </w:t>
      </w:r>
      <w:r w:rsidRPr="00C6052E">
        <w:t>increased</w:t>
      </w:r>
      <w:r w:rsidR="00177848" w:rsidRPr="00C6052E">
        <w:t xml:space="preserve"> </w:t>
      </w:r>
      <w:r w:rsidRPr="00C6052E">
        <w:t>livestock</w:t>
      </w:r>
      <w:r w:rsidR="00177848" w:rsidRPr="00C6052E">
        <w:t xml:space="preserve"> </w:t>
      </w:r>
      <w:r w:rsidRPr="00C6052E">
        <w:t>and</w:t>
      </w:r>
      <w:r w:rsidR="00177848" w:rsidRPr="00C6052E">
        <w:t xml:space="preserve"> </w:t>
      </w:r>
      <w:r w:rsidRPr="00C6052E">
        <w:t>crop</w:t>
      </w:r>
      <w:r w:rsidR="00177848" w:rsidRPr="00C6052E">
        <w:t xml:space="preserve"> </w:t>
      </w:r>
      <w:r w:rsidRPr="00C6052E">
        <w:t>production.</w:t>
      </w:r>
      <w:r w:rsidR="00177848" w:rsidRPr="00C6052E">
        <w:t xml:space="preserve"> </w:t>
      </w:r>
      <w:r w:rsidRPr="00C6052E">
        <w:t>Arts</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services</w:t>
      </w:r>
      <w:r w:rsidR="00177848" w:rsidRPr="00C6052E">
        <w:t xml:space="preserve"> </w:t>
      </w:r>
      <w:r w:rsidRPr="00C6052E">
        <w:t>(up</w:t>
      </w:r>
      <w:r w:rsidR="00177848" w:rsidRPr="00C6052E">
        <w:t xml:space="preserve"> </w:t>
      </w:r>
      <w:r w:rsidRPr="00C6052E">
        <w:t>4.1%)</w:t>
      </w:r>
      <w:r w:rsidR="00177848" w:rsidRPr="00C6052E">
        <w:t xml:space="preserve"> </w:t>
      </w:r>
      <w:r w:rsidRPr="00C6052E">
        <w:t>continued</w:t>
      </w:r>
      <w:r w:rsidR="00177848" w:rsidRPr="00C6052E">
        <w:t xml:space="preserve"> </w:t>
      </w:r>
      <w:r w:rsidRPr="00C6052E">
        <w:t>recovering,</w:t>
      </w:r>
      <w:r w:rsidR="00177848" w:rsidRPr="00C6052E">
        <w:t xml:space="preserve"> </w:t>
      </w:r>
      <w:r w:rsidRPr="00C6052E">
        <w:t>boosted</w:t>
      </w:r>
      <w:r w:rsidR="00177848" w:rsidRPr="00C6052E">
        <w:t xml:space="preserve"> </w:t>
      </w:r>
      <w:r w:rsidRPr="00C6052E">
        <w:t>by</w:t>
      </w:r>
      <w:r w:rsidR="00177848" w:rsidRPr="00C6052E">
        <w:t xml:space="preserve"> </w:t>
      </w:r>
      <w:r w:rsidRPr="00C6052E">
        <w:t>record</w:t>
      </w:r>
      <w:r w:rsidR="00177848" w:rsidRPr="00C6052E">
        <w:t xml:space="preserve"> </w:t>
      </w:r>
      <w:r w:rsidRPr="00C6052E">
        <w:t>attendance</w:t>
      </w:r>
      <w:r w:rsidR="00177848" w:rsidRPr="00C6052E">
        <w:t xml:space="preserve"> </w:t>
      </w:r>
      <w:r w:rsidRPr="00C6052E">
        <w:t>at</w:t>
      </w:r>
      <w:r w:rsidR="00177848" w:rsidRPr="00C6052E">
        <w:t xml:space="preserve"> </w:t>
      </w:r>
      <w:r w:rsidRPr="00C6052E">
        <w:t>major</w:t>
      </w:r>
      <w:r w:rsidR="00177848" w:rsidRPr="00C6052E">
        <w:t xml:space="preserve"> </w:t>
      </w:r>
      <w:r w:rsidRPr="00C6052E">
        <w:t>sporting</w:t>
      </w:r>
      <w:r w:rsidR="00177848" w:rsidRPr="00C6052E">
        <w:t xml:space="preserve"> </w:t>
      </w:r>
      <w:r w:rsidRPr="00C6052E">
        <w:t>events.</w:t>
      </w:r>
      <w:r w:rsidR="00177848" w:rsidRPr="00C6052E">
        <w:t xml:space="preserve"> </w:t>
      </w:r>
      <w:r w:rsidRPr="00C6052E">
        <w:t>Transport,</w:t>
      </w:r>
      <w:r w:rsidR="00177848" w:rsidRPr="00C6052E">
        <w:t xml:space="preserve"> </w:t>
      </w:r>
      <w:r w:rsidRPr="00C6052E">
        <w:t>postal</w:t>
      </w:r>
      <w:r w:rsidR="00177848" w:rsidRPr="00C6052E">
        <w:t xml:space="preserve"> </w:t>
      </w:r>
      <w:r w:rsidRPr="00C6052E">
        <w:t>and</w:t>
      </w:r>
      <w:r w:rsidR="00177848" w:rsidRPr="00C6052E">
        <w:t xml:space="preserve"> </w:t>
      </w:r>
      <w:r w:rsidRPr="00C6052E">
        <w:t>warehousing</w:t>
      </w:r>
      <w:r w:rsidR="00177848" w:rsidRPr="00C6052E">
        <w:t xml:space="preserve"> </w:t>
      </w:r>
      <w:r w:rsidRPr="00C6052E">
        <w:t>(up</w:t>
      </w:r>
      <w:r w:rsidR="00177848" w:rsidRPr="00C6052E">
        <w:t xml:space="preserve"> </w:t>
      </w:r>
      <w:r w:rsidRPr="00C6052E">
        <w:t>3.7%)</w:t>
      </w:r>
      <w:r w:rsidR="00177848" w:rsidRPr="00C6052E">
        <w:t xml:space="preserve"> </w:t>
      </w:r>
      <w:r w:rsidRPr="00C6052E">
        <w:t>saw</w:t>
      </w:r>
      <w:r w:rsidR="00177848" w:rsidRPr="00C6052E">
        <w:t xml:space="preserve"> </w:t>
      </w:r>
      <w:r w:rsidRPr="00C6052E">
        <w:t>gains</w:t>
      </w:r>
      <w:r w:rsidR="00177848" w:rsidRPr="00C6052E">
        <w:t xml:space="preserve"> </w:t>
      </w:r>
      <w:r w:rsidRPr="00C6052E">
        <w:t>from</w:t>
      </w:r>
      <w:r w:rsidR="00177848" w:rsidRPr="00C6052E">
        <w:t xml:space="preserve"> </w:t>
      </w:r>
      <w:r w:rsidRPr="00C6052E">
        <w:t>rebounding</w:t>
      </w:r>
      <w:r w:rsidR="00177848" w:rsidRPr="00C6052E">
        <w:t xml:space="preserve"> </w:t>
      </w:r>
      <w:r w:rsidRPr="00C6052E">
        <w:t>air</w:t>
      </w:r>
      <w:r w:rsidR="00177848" w:rsidRPr="00C6052E">
        <w:t xml:space="preserve"> </w:t>
      </w:r>
      <w:r w:rsidRPr="00C6052E">
        <w:t>travel</w:t>
      </w:r>
      <w:r w:rsidR="00177848" w:rsidRPr="00C6052E">
        <w:t xml:space="preserve"> </w:t>
      </w:r>
      <w:r w:rsidRPr="00C6052E">
        <w:t>and</w:t>
      </w:r>
      <w:r w:rsidR="00177848" w:rsidRPr="00C6052E">
        <w:t xml:space="preserve"> </w:t>
      </w:r>
      <w:r w:rsidRPr="00C6052E">
        <w:t>strong</w:t>
      </w:r>
      <w:r w:rsidR="00177848" w:rsidRPr="00C6052E">
        <w:t xml:space="preserve"> </w:t>
      </w:r>
      <w:r w:rsidRPr="00C6052E">
        <w:t>road</w:t>
      </w:r>
      <w:r w:rsidR="00177848" w:rsidRPr="00C6052E">
        <w:t xml:space="preserve"> </w:t>
      </w:r>
      <w:r w:rsidRPr="00C6052E">
        <w:t>transport.</w:t>
      </w:r>
      <w:r w:rsidR="00177848" w:rsidRPr="00C6052E">
        <w:t xml:space="preserve"> </w:t>
      </w:r>
      <w:r w:rsidRPr="00C6052E">
        <w:lastRenderedPageBreak/>
        <w:t>Health</w:t>
      </w:r>
      <w:r w:rsidR="00177848" w:rsidRPr="00C6052E">
        <w:t xml:space="preserve"> </w:t>
      </w:r>
      <w:r w:rsidRPr="00C6052E">
        <w:t>care</w:t>
      </w:r>
      <w:r w:rsidR="00177848" w:rsidRPr="00C6052E">
        <w:t xml:space="preserve"> </w:t>
      </w:r>
      <w:r w:rsidRPr="00C6052E">
        <w:t>and</w:t>
      </w:r>
      <w:r w:rsidR="00177848" w:rsidRPr="00C6052E">
        <w:t xml:space="preserve"> </w:t>
      </w:r>
      <w:r w:rsidRPr="00C6052E">
        <w:t>social</w:t>
      </w:r>
      <w:r w:rsidR="00177848" w:rsidRPr="00C6052E">
        <w:t xml:space="preserve"> </w:t>
      </w:r>
      <w:r w:rsidRPr="00C6052E">
        <w:t>assistance</w:t>
      </w:r>
      <w:r w:rsidR="00177848" w:rsidRPr="00C6052E">
        <w:t xml:space="preserve"> </w:t>
      </w:r>
      <w:r w:rsidRPr="00C6052E">
        <w:t>(up</w:t>
      </w:r>
      <w:r w:rsidR="00177848" w:rsidRPr="00C6052E">
        <w:t xml:space="preserve"> </w:t>
      </w:r>
      <w:r w:rsidRPr="00C6052E">
        <w:t>3.3%)</w:t>
      </w:r>
      <w:r w:rsidR="00177848" w:rsidRPr="00C6052E">
        <w:t xml:space="preserve"> </w:t>
      </w:r>
      <w:r w:rsidRPr="00C6052E">
        <w:t>grew</w:t>
      </w:r>
      <w:r w:rsidR="00177848" w:rsidRPr="00C6052E">
        <w:t xml:space="preserve"> </w:t>
      </w:r>
      <w:r w:rsidRPr="00C6052E">
        <w:t>due</w:t>
      </w:r>
      <w:r w:rsidR="00177848" w:rsidRPr="00C6052E">
        <w:t xml:space="preserve"> </w:t>
      </w:r>
      <w:r w:rsidRPr="00C6052E">
        <w:t>to</w:t>
      </w:r>
      <w:r w:rsidR="00177848" w:rsidRPr="00C6052E">
        <w:t xml:space="preserve"> </w:t>
      </w:r>
      <w:r w:rsidRPr="00C6052E">
        <w:t>rising</w:t>
      </w:r>
      <w:r w:rsidR="00177848" w:rsidRPr="00C6052E">
        <w:t xml:space="preserve"> </w:t>
      </w:r>
      <w:r w:rsidRPr="00C6052E">
        <w:t>demand</w:t>
      </w:r>
      <w:r w:rsidR="00177848" w:rsidRPr="00C6052E">
        <w:t xml:space="preserve"> </w:t>
      </w:r>
      <w:r w:rsidRPr="00C6052E">
        <w:t>for</w:t>
      </w:r>
      <w:r w:rsidR="00177848" w:rsidRPr="00C6052E">
        <w:t xml:space="preserve"> </w:t>
      </w:r>
      <w:r w:rsidRPr="00C6052E">
        <w:t>key</w:t>
      </w:r>
      <w:r w:rsidR="00177848" w:rsidRPr="00C6052E">
        <w:t xml:space="preserve"> </w:t>
      </w:r>
      <w:r w:rsidRPr="00C6052E">
        <w:t>health</w:t>
      </w:r>
      <w:r w:rsidR="00177848" w:rsidRPr="00C6052E">
        <w:t xml:space="preserve"> </w:t>
      </w:r>
      <w:r w:rsidRPr="00C6052E">
        <w:t>services.</w:t>
      </w:r>
      <w:r w:rsidRPr="00C6052E">
        <w:rPr>
          <w:rStyle w:val="FootnoteReference"/>
        </w:rPr>
        <w:footnoteReference w:id="2"/>
      </w:r>
    </w:p>
    <w:p w14:paraId="492D1C8E" w14:textId="5E0034DC" w:rsidR="00EE5BB8" w:rsidRPr="00C6052E" w:rsidRDefault="00EE5BB8" w:rsidP="00EE5BB8">
      <w:pPr>
        <w:pStyle w:val="Heading3"/>
      </w:pPr>
      <w:bookmarkStart w:id="12" w:name="_Toc152067214"/>
      <w:r w:rsidRPr="00C6052E">
        <w:t>Indicator:</w:t>
      </w:r>
      <w:r w:rsidR="00177848" w:rsidRPr="00C6052E">
        <w:t xml:space="preserve"> </w:t>
      </w:r>
      <w:bookmarkEnd w:id="12"/>
      <w:r w:rsidRPr="00C6052E">
        <w:t>Number</w:t>
      </w:r>
      <w:r w:rsidR="00177848" w:rsidRPr="00C6052E">
        <w:t xml:space="preserve"> </w:t>
      </w:r>
      <w:r w:rsidRPr="00C6052E">
        <w:t>of</w:t>
      </w:r>
      <w:r w:rsidR="00177848" w:rsidRPr="00C6052E">
        <w:t xml:space="preserve"> </w:t>
      </w:r>
      <w:r w:rsidRPr="00C6052E">
        <w:t>employing</w:t>
      </w:r>
      <w:r w:rsidR="00177848" w:rsidRPr="00C6052E">
        <w:t xml:space="preserve"> </w:t>
      </w:r>
      <w:r w:rsidRPr="00C6052E">
        <w:t>businesses</w:t>
      </w:r>
    </w:p>
    <w:p w14:paraId="62AD41E2" w14:textId="11A29639" w:rsidR="00EE5BB8" w:rsidRPr="00C6052E" w:rsidRDefault="00EE5BB8" w:rsidP="00EE5BB8">
      <w:pPr>
        <w:pStyle w:val="TableHeading"/>
      </w:pPr>
      <w:r w:rsidRPr="00C6052E">
        <w:t>Table</w:t>
      </w:r>
      <w:r w:rsidR="00177848" w:rsidRPr="00C6052E">
        <w:t xml:space="preserve"> </w:t>
      </w:r>
      <w:r w:rsidRPr="00C6052E">
        <w:t>4:</w:t>
      </w:r>
      <w:r w:rsidR="00177848" w:rsidRPr="00C6052E">
        <w:t xml:space="preserve"> </w:t>
      </w:r>
      <w:r w:rsidRPr="00C6052E">
        <w:t>Number</w:t>
      </w:r>
      <w:r w:rsidR="00177848" w:rsidRPr="00C6052E">
        <w:t xml:space="preserve"> </w:t>
      </w:r>
      <w:r w:rsidRPr="00C6052E">
        <w:t>of</w:t>
      </w:r>
      <w:r w:rsidR="00177848" w:rsidRPr="00C6052E">
        <w:t xml:space="preserve"> </w:t>
      </w:r>
      <w:r w:rsidRPr="00C6052E">
        <w:t>employing</w:t>
      </w:r>
      <w:r w:rsidR="00177848" w:rsidRPr="00C6052E">
        <w:t xml:space="preserve"> </w:t>
      </w:r>
      <w:r w:rsidRPr="00C6052E">
        <w:t>businesses</w:t>
      </w:r>
    </w:p>
    <w:tbl>
      <w:tblPr>
        <w:tblStyle w:val="TableGrid"/>
        <w:tblW w:w="9634" w:type="dxa"/>
        <w:tblLayout w:type="fixed"/>
        <w:tblLook w:val="0060" w:firstRow="1" w:lastRow="1" w:firstColumn="0" w:lastColumn="0" w:noHBand="0" w:noVBand="0"/>
      </w:tblPr>
      <w:tblGrid>
        <w:gridCol w:w="4531"/>
        <w:gridCol w:w="1275"/>
        <w:gridCol w:w="1276"/>
        <w:gridCol w:w="1276"/>
        <w:gridCol w:w="1276"/>
      </w:tblGrid>
      <w:tr w:rsidR="00EE5BB8" w:rsidRPr="00C6052E" w14:paraId="28CD901B" w14:textId="77777777" w:rsidTr="0063097D">
        <w:tc>
          <w:tcPr>
            <w:tcW w:w="4531" w:type="dxa"/>
            <w:hideMark/>
          </w:tcPr>
          <w:p w14:paraId="2BC57430" w14:textId="2EE1016E" w:rsidR="00EE5BB8" w:rsidRPr="00C6052E" w:rsidRDefault="00EE5BB8" w:rsidP="0063097D">
            <w:pPr>
              <w:pStyle w:val="TableColumnHeading"/>
              <w:rPr>
                <w:lang w:val="en-AU"/>
              </w:rPr>
            </w:pPr>
            <w:bookmarkStart w:id="13" w:name="TableColumnHeadings_10"/>
            <w:bookmarkEnd w:id="13"/>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75" w:type="dxa"/>
            <w:hideMark/>
          </w:tcPr>
          <w:p w14:paraId="51071D4B" w14:textId="77777777" w:rsidR="00EE5BB8" w:rsidRPr="00C6052E" w:rsidRDefault="00EE5BB8" w:rsidP="0063097D">
            <w:pPr>
              <w:pStyle w:val="TableColumnHeading"/>
              <w:jc w:val="right"/>
              <w:rPr>
                <w:lang w:val="en-AU"/>
              </w:rPr>
            </w:pPr>
            <w:r w:rsidRPr="00C6052E">
              <w:rPr>
                <w:lang w:val="en-AU"/>
              </w:rPr>
              <w:t>2021–22</w:t>
            </w:r>
          </w:p>
        </w:tc>
        <w:tc>
          <w:tcPr>
            <w:tcW w:w="1276" w:type="dxa"/>
            <w:hideMark/>
          </w:tcPr>
          <w:p w14:paraId="18FBA781" w14:textId="77777777" w:rsidR="00EE5BB8" w:rsidRPr="00C6052E" w:rsidRDefault="00EE5BB8" w:rsidP="0063097D">
            <w:pPr>
              <w:pStyle w:val="TableColumnHeading"/>
              <w:jc w:val="right"/>
              <w:rPr>
                <w:lang w:val="en-AU"/>
              </w:rPr>
            </w:pPr>
            <w:r w:rsidRPr="00C6052E">
              <w:rPr>
                <w:lang w:val="en-AU"/>
              </w:rPr>
              <w:t>2022–23</w:t>
            </w:r>
          </w:p>
        </w:tc>
        <w:tc>
          <w:tcPr>
            <w:tcW w:w="1276" w:type="dxa"/>
          </w:tcPr>
          <w:p w14:paraId="0955D0DD" w14:textId="77777777" w:rsidR="00EE5BB8" w:rsidRPr="00C6052E" w:rsidRDefault="00EE5BB8" w:rsidP="0063097D">
            <w:pPr>
              <w:pStyle w:val="TableColumnHeading"/>
              <w:jc w:val="right"/>
              <w:rPr>
                <w:lang w:val="en-AU"/>
              </w:rPr>
            </w:pPr>
            <w:r w:rsidRPr="00C6052E">
              <w:rPr>
                <w:lang w:val="en-AU"/>
              </w:rPr>
              <w:t>2023–24</w:t>
            </w:r>
          </w:p>
        </w:tc>
        <w:tc>
          <w:tcPr>
            <w:tcW w:w="1276" w:type="dxa"/>
          </w:tcPr>
          <w:p w14:paraId="3C3A6F53"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00C6F2B1" w14:textId="77777777" w:rsidTr="0063097D">
        <w:tc>
          <w:tcPr>
            <w:tcW w:w="4531" w:type="dxa"/>
            <w:hideMark/>
          </w:tcPr>
          <w:p w14:paraId="711E2430" w14:textId="1F61C2AF" w:rsidR="00EE5BB8" w:rsidRPr="00C6052E"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employing</w:t>
            </w:r>
            <w:r w:rsidR="00177848" w:rsidRPr="00C6052E">
              <w:rPr>
                <w:lang w:val="en-AU"/>
              </w:rPr>
              <w:t xml:space="preserve"> </w:t>
            </w:r>
            <w:r w:rsidRPr="00C6052E">
              <w:rPr>
                <w:lang w:val="en-AU"/>
              </w:rPr>
              <w:t>businesses</w:t>
            </w:r>
            <w:r w:rsidR="00177848" w:rsidRPr="00C6052E">
              <w:rPr>
                <w:lang w:val="en-AU"/>
              </w:rPr>
              <w:t xml:space="preserve"> </w:t>
            </w:r>
            <w:r w:rsidRPr="00C6052E">
              <w:rPr>
                <w:lang w:val="en-AU"/>
              </w:rPr>
              <w:t>(number)*</w:t>
            </w:r>
          </w:p>
        </w:tc>
        <w:tc>
          <w:tcPr>
            <w:tcW w:w="1275" w:type="dxa"/>
          </w:tcPr>
          <w:p w14:paraId="2C5F311C" w14:textId="77777777" w:rsidR="00EE5BB8" w:rsidRPr="00C6052E" w:rsidRDefault="00EE5BB8" w:rsidP="0063097D">
            <w:pPr>
              <w:pStyle w:val="TableCopy"/>
              <w:jc w:val="right"/>
              <w:rPr>
                <w:lang w:val="en-AU"/>
              </w:rPr>
            </w:pPr>
            <w:r w:rsidRPr="00C6052E">
              <w:rPr>
                <w:lang w:val="en-AU"/>
              </w:rPr>
              <w:t>265,428</w:t>
            </w:r>
          </w:p>
        </w:tc>
        <w:tc>
          <w:tcPr>
            <w:tcW w:w="1276" w:type="dxa"/>
          </w:tcPr>
          <w:p w14:paraId="5AEBD9C2" w14:textId="77777777" w:rsidR="00EE5BB8" w:rsidRPr="00C6052E" w:rsidRDefault="00EE5BB8" w:rsidP="0063097D">
            <w:pPr>
              <w:pStyle w:val="TableCopy"/>
              <w:jc w:val="right"/>
              <w:rPr>
                <w:lang w:val="en-AU"/>
              </w:rPr>
            </w:pPr>
            <w:r w:rsidRPr="00C6052E">
              <w:rPr>
                <w:lang w:val="en-AU"/>
              </w:rPr>
              <w:t>257,911</w:t>
            </w:r>
          </w:p>
        </w:tc>
        <w:tc>
          <w:tcPr>
            <w:tcW w:w="1276" w:type="dxa"/>
          </w:tcPr>
          <w:p w14:paraId="250DD878" w14:textId="77777777" w:rsidR="00EE5BB8" w:rsidRPr="00C6052E" w:rsidRDefault="00EE5BB8" w:rsidP="0063097D">
            <w:pPr>
              <w:pStyle w:val="TableCopy"/>
              <w:jc w:val="right"/>
              <w:rPr>
                <w:lang w:val="en-AU"/>
              </w:rPr>
            </w:pPr>
            <w:r w:rsidRPr="00C6052E">
              <w:rPr>
                <w:lang w:val="en-AU"/>
              </w:rPr>
              <w:t>254,401</w:t>
            </w:r>
          </w:p>
        </w:tc>
        <w:tc>
          <w:tcPr>
            <w:tcW w:w="1276" w:type="dxa"/>
          </w:tcPr>
          <w:p w14:paraId="1F364A23" w14:textId="77777777" w:rsidR="00EE5BB8" w:rsidRPr="00C6052E" w:rsidRDefault="00EE5BB8" w:rsidP="0063097D">
            <w:pPr>
              <w:pStyle w:val="TableCopy"/>
              <w:jc w:val="right"/>
              <w:rPr>
                <w:lang w:val="en-AU"/>
              </w:rPr>
            </w:pPr>
            <w:r w:rsidRPr="00C6052E">
              <w:rPr>
                <w:lang w:val="en-AU"/>
              </w:rPr>
              <w:t>N/A**</w:t>
            </w:r>
          </w:p>
        </w:tc>
      </w:tr>
    </w:tbl>
    <w:p w14:paraId="6B5918D6" w14:textId="6117FD79" w:rsidR="00EE5BB8" w:rsidRPr="00C6052E" w:rsidRDefault="00EE5BB8" w:rsidP="00EE5BB8">
      <w:pPr>
        <w:pStyle w:val="Tablenotes"/>
        <w:ind w:left="170" w:hanging="170"/>
      </w:pPr>
      <w:r w:rsidRPr="00C6052E">
        <w:t>*</w:t>
      </w:r>
      <w:r w:rsidR="00177848" w:rsidRPr="00C6052E">
        <w:t xml:space="preserve">   </w:t>
      </w:r>
      <w:r w:rsidRPr="00C6052E">
        <w:t>New</w:t>
      </w:r>
      <w:r w:rsidR="00177848" w:rsidRPr="00C6052E">
        <w:t xml:space="preserve"> </w:t>
      </w:r>
      <w:r w:rsidRPr="00C6052E">
        <w:t>indicator</w:t>
      </w:r>
      <w:r w:rsidR="00177848" w:rsidRPr="00C6052E">
        <w:t xml:space="preserve"> </w:t>
      </w:r>
      <w:r w:rsidRPr="00C6052E">
        <w:t>as</w:t>
      </w:r>
      <w:r w:rsidR="00177848" w:rsidRPr="00C6052E">
        <w:t xml:space="preserve"> </w:t>
      </w:r>
      <w:r w:rsidRPr="00C6052E">
        <w:t>of</w:t>
      </w:r>
      <w:r w:rsidR="00177848" w:rsidRPr="00C6052E">
        <w:t xml:space="preserve"> </w:t>
      </w:r>
      <w:r w:rsidRPr="00C6052E">
        <w:t>2024–25.</w:t>
      </w:r>
      <w:r w:rsidR="00177848" w:rsidRPr="00C6052E">
        <w:t xml:space="preserve"> </w:t>
      </w:r>
      <w:r w:rsidRPr="00C6052E">
        <w:t>Figures</w:t>
      </w:r>
      <w:r w:rsidR="00177848" w:rsidRPr="00C6052E">
        <w:t xml:space="preserve"> </w:t>
      </w:r>
      <w:r w:rsidRPr="00C6052E">
        <w:t>are</w:t>
      </w:r>
      <w:r w:rsidR="00177848" w:rsidRPr="00C6052E">
        <w:t xml:space="preserve"> </w:t>
      </w:r>
      <w:r w:rsidRPr="00C6052E">
        <w:t>as</w:t>
      </w:r>
      <w:r w:rsidR="00177848" w:rsidRPr="00C6052E">
        <w:t xml:space="preserve"> </w:t>
      </w:r>
      <w:r w:rsidRPr="00C6052E">
        <w:t>at</w:t>
      </w:r>
      <w:r w:rsidR="00177848" w:rsidRPr="00C6052E">
        <w:t xml:space="preserve"> </w:t>
      </w:r>
      <w:r w:rsidRPr="00C6052E">
        <w:t>end</w:t>
      </w:r>
      <w:r w:rsidR="00177848" w:rsidRPr="00C6052E">
        <w:t xml:space="preserve"> </w:t>
      </w:r>
      <w:r w:rsidRPr="00C6052E">
        <w:t>of</w:t>
      </w:r>
      <w:r w:rsidR="00177848" w:rsidRPr="00C6052E">
        <w:t xml:space="preserve"> </w:t>
      </w:r>
      <w:r w:rsidRPr="00C6052E">
        <w:t>the</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Business</w:t>
      </w:r>
      <w:r w:rsidR="00177848" w:rsidRPr="00C6052E">
        <w:t xml:space="preserve"> </w:t>
      </w:r>
      <w:r w:rsidRPr="00C6052E">
        <w:t>counts</w:t>
      </w:r>
      <w:r w:rsidR="00177848" w:rsidRPr="00C6052E">
        <w:t xml:space="preserve"> </w:t>
      </w:r>
      <w:r w:rsidRPr="00C6052E">
        <w:t>data</w:t>
      </w:r>
      <w:r w:rsidR="00177848" w:rsidRPr="00C6052E">
        <w:t xml:space="preserve"> </w:t>
      </w:r>
      <w:r w:rsidRPr="00C6052E">
        <w:t>captures</w:t>
      </w:r>
      <w:r w:rsidR="00177848" w:rsidRPr="00C6052E">
        <w:t xml:space="preserve"> </w:t>
      </w:r>
      <w:r w:rsidRPr="00C6052E">
        <w:t>only</w:t>
      </w:r>
      <w:r w:rsidR="00177848" w:rsidRPr="00C6052E">
        <w:t xml:space="preserve"> </w:t>
      </w:r>
      <w:r w:rsidRPr="00C6052E">
        <w:t>market-sector</w:t>
      </w:r>
      <w:r w:rsidR="00177848" w:rsidRPr="00C6052E">
        <w:t xml:space="preserve"> </w:t>
      </w:r>
      <w:r w:rsidRPr="00C6052E">
        <w:t>businesses</w:t>
      </w:r>
      <w:r w:rsidR="00177848" w:rsidRPr="00C6052E">
        <w:t xml:space="preserve"> </w:t>
      </w:r>
      <w:r w:rsidRPr="00C6052E">
        <w:t>that</w:t>
      </w:r>
      <w:r w:rsidR="00177848" w:rsidRPr="00C6052E">
        <w:t xml:space="preserve"> </w:t>
      </w:r>
      <w:r w:rsidRPr="00C6052E">
        <w:t>are</w:t>
      </w:r>
      <w:r w:rsidR="00177848" w:rsidRPr="00C6052E">
        <w:t xml:space="preserve"> </w:t>
      </w:r>
      <w:r w:rsidRPr="00C6052E">
        <w:t>registered</w:t>
      </w:r>
      <w:r w:rsidR="00177848" w:rsidRPr="00C6052E">
        <w:t xml:space="preserve"> </w:t>
      </w:r>
      <w:r w:rsidRPr="00C6052E">
        <w:t>for</w:t>
      </w:r>
      <w:r w:rsidR="00177848" w:rsidRPr="00C6052E">
        <w:t xml:space="preserve"> </w:t>
      </w:r>
      <w:r w:rsidRPr="00C6052E">
        <w:t>GST.</w:t>
      </w:r>
      <w:r w:rsidR="00177848" w:rsidRPr="00C6052E">
        <w:t xml:space="preserve"> </w:t>
      </w:r>
    </w:p>
    <w:p w14:paraId="541AADD9" w14:textId="4EBDD0C1" w:rsidR="00EE5BB8" w:rsidRPr="00C6052E" w:rsidRDefault="00EE5BB8" w:rsidP="00EE5BB8">
      <w:pPr>
        <w:pStyle w:val="Tablenotes"/>
      </w:pPr>
      <w:r w:rsidRPr="00C6052E">
        <w:t>Source:</w:t>
      </w:r>
      <w:r w:rsidR="00177848" w:rsidRPr="00C6052E">
        <w:t xml:space="preserve"> </w:t>
      </w:r>
      <w:r w:rsidRPr="00C6052E">
        <w:t>Australian</w:t>
      </w:r>
      <w:r w:rsidR="00177848" w:rsidRPr="00C6052E">
        <w:t xml:space="preserve"> </w:t>
      </w:r>
      <w:r w:rsidRPr="00C6052E">
        <w:t>Bureau</w:t>
      </w:r>
      <w:r w:rsidR="00177848" w:rsidRPr="00C6052E">
        <w:t xml:space="preserve"> </w:t>
      </w:r>
      <w:r w:rsidRPr="00C6052E">
        <w:t>of</w:t>
      </w:r>
      <w:r w:rsidR="00177848" w:rsidRPr="00C6052E">
        <w:t xml:space="preserve"> </w:t>
      </w:r>
      <w:r w:rsidRPr="00C6052E">
        <w:t>Statistics,</w:t>
      </w:r>
      <w:r w:rsidR="00177848" w:rsidRPr="00C6052E">
        <w:t xml:space="preserve"> </w:t>
      </w:r>
      <w:r w:rsidRPr="00C6052E">
        <w:t>Counts</w:t>
      </w:r>
      <w:r w:rsidR="00177848" w:rsidRPr="00C6052E">
        <w:t xml:space="preserve"> </w:t>
      </w:r>
      <w:r w:rsidRPr="00C6052E">
        <w:t>of</w:t>
      </w:r>
      <w:r w:rsidR="00177848" w:rsidRPr="00C6052E">
        <w:t xml:space="preserve"> </w:t>
      </w:r>
      <w:r w:rsidRPr="00C6052E">
        <w:t>Australian</w:t>
      </w:r>
      <w:r w:rsidR="00177848" w:rsidRPr="00C6052E">
        <w:t xml:space="preserve"> </w:t>
      </w:r>
      <w:r w:rsidRPr="00C6052E">
        <w:t>Businesses,</w:t>
      </w:r>
      <w:r w:rsidR="00177848" w:rsidRPr="00C6052E">
        <w:t xml:space="preserve"> </w:t>
      </w:r>
      <w:r w:rsidRPr="00C6052E">
        <w:t>including</w:t>
      </w:r>
      <w:r w:rsidR="00177848" w:rsidRPr="00C6052E">
        <w:t xml:space="preserve"> </w:t>
      </w:r>
      <w:r w:rsidRPr="00C6052E">
        <w:t>Entries</w:t>
      </w:r>
      <w:r w:rsidR="00177848" w:rsidRPr="00C6052E">
        <w:t xml:space="preserve"> </w:t>
      </w:r>
      <w:r w:rsidRPr="00C6052E">
        <w:t>and</w:t>
      </w:r>
      <w:r w:rsidR="00177848" w:rsidRPr="00C6052E">
        <w:t xml:space="preserve"> </w:t>
      </w:r>
      <w:r w:rsidRPr="00C6052E">
        <w:t>Exits,</w:t>
      </w:r>
      <w:r w:rsidR="00177848" w:rsidRPr="00C6052E">
        <w:t xml:space="preserve"> </w:t>
      </w:r>
      <w:r w:rsidRPr="00C6052E">
        <w:t>Data</w:t>
      </w:r>
      <w:r w:rsidR="00177848" w:rsidRPr="00C6052E">
        <w:t xml:space="preserve"> </w:t>
      </w:r>
      <w:r w:rsidRPr="00C6052E">
        <w:t>cube</w:t>
      </w:r>
      <w:r w:rsidR="00177848" w:rsidRPr="00C6052E">
        <w:t xml:space="preserve"> </w:t>
      </w:r>
      <w:r w:rsidRPr="00C6052E">
        <w:t>10.</w:t>
      </w:r>
      <w:r w:rsidR="00177848" w:rsidRPr="00C6052E">
        <w:t xml:space="preserve"> </w:t>
      </w:r>
    </w:p>
    <w:p w14:paraId="1E8C36A0" w14:textId="7F79F155" w:rsidR="00EE5BB8" w:rsidRPr="00C6052E" w:rsidRDefault="00EE5BB8" w:rsidP="00EE5BB8">
      <w:pPr>
        <w:pStyle w:val="Tablenotes"/>
        <w:spacing w:after="240"/>
        <w:ind w:left="170" w:hanging="170"/>
      </w:pPr>
      <w:r w:rsidRPr="00C6052E">
        <w:t>**</w:t>
      </w:r>
      <w:r w:rsidR="00177848" w:rsidRPr="00C6052E">
        <w:t xml:space="preserve"> </w:t>
      </w:r>
      <w:r w:rsidRPr="00C6052E">
        <w:t>Data</w:t>
      </w:r>
      <w:r w:rsidR="00177848" w:rsidRPr="00C6052E">
        <w:t xml:space="preserve"> </w:t>
      </w:r>
      <w:r w:rsidRPr="00C6052E">
        <w:t>unavailable</w:t>
      </w:r>
      <w:r w:rsidR="00177848" w:rsidRPr="00C6052E">
        <w:t xml:space="preserve"> </w:t>
      </w:r>
      <w:r w:rsidRPr="00C6052E">
        <w:t>at</w:t>
      </w:r>
      <w:r w:rsidR="00177848" w:rsidRPr="00C6052E">
        <w:t xml:space="preserve"> </w:t>
      </w:r>
      <w:r w:rsidRPr="00C6052E">
        <w:t>time</w:t>
      </w:r>
      <w:r w:rsidR="00177848" w:rsidRPr="00C6052E">
        <w:t xml:space="preserve"> </w:t>
      </w:r>
      <w:r w:rsidRPr="00C6052E">
        <w:t>of</w:t>
      </w:r>
      <w:r w:rsidR="00177848" w:rsidRPr="00C6052E">
        <w:t xml:space="preserve"> </w:t>
      </w:r>
      <w:r w:rsidRPr="00C6052E">
        <w:t>writing.</w:t>
      </w:r>
    </w:p>
    <w:p w14:paraId="041854F9" w14:textId="41BADEBE" w:rsidR="00EE5BB8" w:rsidRPr="00C6052E" w:rsidRDefault="00EE5BB8" w:rsidP="00EE5BB8">
      <w:pPr>
        <w:pStyle w:val="TableHeading"/>
      </w:pPr>
      <w:r w:rsidRPr="00C6052E">
        <w:t>Figure</w:t>
      </w:r>
      <w:r w:rsidR="00177848" w:rsidRPr="00C6052E">
        <w:t xml:space="preserve"> </w:t>
      </w:r>
      <w:r w:rsidRPr="00C6052E">
        <w:t>3:</w:t>
      </w:r>
      <w:r w:rsidR="00177848" w:rsidRPr="00C6052E">
        <w:t xml:space="preserve"> </w:t>
      </w:r>
      <w:r w:rsidRPr="00C6052E">
        <w:t>Number</w:t>
      </w:r>
      <w:r w:rsidR="00177848" w:rsidRPr="00C6052E">
        <w:t xml:space="preserve"> </w:t>
      </w:r>
      <w:r w:rsidRPr="00C6052E">
        <w:t>of</w:t>
      </w:r>
      <w:r w:rsidR="00177848" w:rsidRPr="00C6052E">
        <w:t xml:space="preserve"> </w:t>
      </w:r>
      <w:r w:rsidRPr="00C6052E">
        <w:t>employing</w:t>
      </w:r>
      <w:r w:rsidR="00177848" w:rsidRPr="00C6052E">
        <w:t xml:space="preserve"> </w:t>
      </w:r>
      <w:r w:rsidRPr="00C6052E">
        <w:t>businesses</w:t>
      </w:r>
    </w:p>
    <w:p w14:paraId="34807474" w14:textId="77777777" w:rsidR="00EE5BB8" w:rsidRPr="00C6052E" w:rsidRDefault="00EE5BB8" w:rsidP="00EE5BB8">
      <w:pPr>
        <w:pStyle w:val="Graph"/>
        <w:rPr>
          <w:noProof w:val="0"/>
        </w:rPr>
      </w:pPr>
      <w:r w:rsidRPr="00C6052E">
        <w:drawing>
          <wp:inline distT="0" distB="0" distL="0" distR="0" wp14:anchorId="00FA4C98" wp14:editId="0C3B8F48">
            <wp:extent cx="3995223" cy="2662238"/>
            <wp:effectExtent l="0" t="0" r="0" b="0"/>
            <wp:docPr id="327934446" name="Chart 1" descr="Line graph showing data from Table 4: Number of employing businesses (above).">
              <a:extLst xmlns:a="http://schemas.openxmlformats.org/drawingml/2006/main">
                <a:ext uri="{FF2B5EF4-FFF2-40B4-BE49-F238E27FC236}">
                  <a16:creationId xmlns:a16="http://schemas.microsoft.com/office/drawing/2014/main" id="{00000000-0008-0000-0600-000006000000}"/>
                </a:ext>
                <a:ext uri="{147F2762-F138-4A5C-976F-8EAC2B608ADB}">
                  <a16:predDERef xmlns:a16="http://schemas.microsoft.com/office/drawing/2014/main" pred="{00000000-0008-0000-06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004F1F" w14:textId="72647F3B" w:rsidR="00EE5BB8" w:rsidRPr="00C6052E" w:rsidRDefault="00EE5BB8" w:rsidP="00EE5BB8">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employing</w:t>
      </w:r>
      <w:r w:rsidR="00177848" w:rsidRPr="00C6052E">
        <w:t xml:space="preserve"> </w:t>
      </w:r>
      <w:r w:rsidRPr="00C6052E">
        <w:t>businesses</w:t>
      </w:r>
      <w:r w:rsidR="00177848" w:rsidRPr="00C6052E">
        <w:t xml:space="preserve"> </w:t>
      </w:r>
      <w:r w:rsidRPr="00C6052E">
        <w:t>in</w:t>
      </w:r>
      <w:r w:rsidR="00177848" w:rsidRPr="00C6052E">
        <w:t xml:space="preserve"> </w:t>
      </w:r>
      <w:r w:rsidRPr="00C6052E">
        <w:t>Victoria</w:t>
      </w:r>
      <w:r w:rsidR="00177848" w:rsidRPr="00C6052E">
        <w:t xml:space="preserve"> </w:t>
      </w:r>
      <w:r w:rsidRPr="00C6052E">
        <w:t>fell</w:t>
      </w:r>
      <w:r w:rsidR="00177848" w:rsidRPr="00C6052E">
        <w:t xml:space="preserve"> </w:t>
      </w:r>
      <w:r w:rsidRPr="00C6052E">
        <w:t>by</w:t>
      </w:r>
      <w:r w:rsidR="00177848" w:rsidRPr="00C6052E">
        <w:t xml:space="preserve"> </w:t>
      </w:r>
      <w:r w:rsidRPr="00C6052E">
        <w:t>4.2%</w:t>
      </w:r>
      <w:r w:rsidR="00177848" w:rsidRPr="00C6052E">
        <w:t xml:space="preserve"> </w:t>
      </w:r>
      <w:r w:rsidRPr="00C6052E">
        <w:t>over</w:t>
      </w:r>
      <w:r w:rsidR="00177848" w:rsidRPr="00C6052E">
        <w:t xml:space="preserve"> </w:t>
      </w:r>
      <w:r w:rsidRPr="00C6052E">
        <w:t>the</w:t>
      </w:r>
      <w:r w:rsidR="00177848" w:rsidRPr="00C6052E">
        <w:t xml:space="preserve"> </w:t>
      </w:r>
      <w:r w:rsidRPr="00C6052E">
        <w:t>2</w:t>
      </w:r>
      <w:r w:rsidR="00177848" w:rsidRPr="00C6052E">
        <w:t xml:space="preserve"> </w:t>
      </w:r>
      <w:r w:rsidRPr="00C6052E">
        <w:t>years</w:t>
      </w:r>
      <w:r w:rsidR="00177848" w:rsidRPr="00C6052E">
        <w:t xml:space="preserve"> </w:t>
      </w:r>
      <w:r w:rsidRPr="00C6052E">
        <w:t>to</w:t>
      </w:r>
      <w:r w:rsidR="00177848" w:rsidRPr="00C6052E">
        <w:t xml:space="preserve"> </w:t>
      </w:r>
      <w:r w:rsidRPr="00C6052E">
        <w:t>2023–24.</w:t>
      </w:r>
      <w:r w:rsidR="00177848" w:rsidRPr="00C6052E">
        <w:t xml:space="preserve"> </w:t>
      </w:r>
      <w:r w:rsidRPr="00C6052E">
        <w:t>This</w:t>
      </w:r>
      <w:r w:rsidR="00177848" w:rsidRPr="00C6052E">
        <w:t xml:space="preserve"> </w:t>
      </w:r>
      <w:r w:rsidRPr="00C6052E">
        <w:t>fall</w:t>
      </w:r>
      <w:r w:rsidR="00177848" w:rsidRPr="00C6052E">
        <w:t xml:space="preserve"> </w:t>
      </w:r>
      <w:r w:rsidRPr="00C6052E">
        <w:t>was</w:t>
      </w:r>
      <w:r w:rsidR="00177848" w:rsidRPr="00C6052E">
        <w:t xml:space="preserve"> </w:t>
      </w:r>
      <w:r w:rsidRPr="00C6052E">
        <w:t>in</w:t>
      </w:r>
      <w:r w:rsidR="00177848" w:rsidRPr="00C6052E">
        <w:t xml:space="preserve"> </w:t>
      </w:r>
      <w:r w:rsidRPr="00C6052E">
        <w:t>line</w:t>
      </w:r>
      <w:r w:rsidR="00177848" w:rsidRPr="00C6052E">
        <w:t xml:space="preserve"> </w:t>
      </w:r>
      <w:r w:rsidRPr="00C6052E">
        <w:t>with</w:t>
      </w:r>
      <w:r w:rsidR="00177848" w:rsidRPr="00C6052E">
        <w:t xml:space="preserve"> </w:t>
      </w:r>
      <w:r w:rsidRPr="00C6052E">
        <w:t>the</w:t>
      </w:r>
      <w:r w:rsidR="00177848" w:rsidRPr="00C6052E">
        <w:t xml:space="preserve"> </w:t>
      </w:r>
      <w:r w:rsidRPr="00C6052E">
        <w:t>national</w:t>
      </w:r>
      <w:r w:rsidR="00177848" w:rsidRPr="00C6052E">
        <w:t xml:space="preserve"> </w:t>
      </w:r>
      <w:r w:rsidRPr="00C6052E">
        <w:t>trend.</w:t>
      </w:r>
      <w:r w:rsidR="00177848" w:rsidRPr="00C6052E">
        <w:t xml:space="preserve"> </w:t>
      </w:r>
      <w:r w:rsidRPr="00C6052E">
        <w:t>The</w:t>
      </w:r>
      <w:r w:rsidR="00177848" w:rsidRPr="00C6052E">
        <w:t xml:space="preserve"> </w:t>
      </w:r>
      <w:r w:rsidRPr="00C6052E">
        <w:t>fall</w:t>
      </w:r>
      <w:r w:rsidR="00177848" w:rsidRPr="00C6052E">
        <w:t xml:space="preserve"> </w:t>
      </w:r>
      <w:r w:rsidRPr="00C6052E">
        <w:t>was</w:t>
      </w:r>
      <w:r w:rsidR="00177848" w:rsidRPr="00C6052E">
        <w:t xml:space="preserve"> </w:t>
      </w:r>
      <w:r w:rsidRPr="00C6052E">
        <w:t>due</w:t>
      </w:r>
      <w:r w:rsidR="00177848" w:rsidRPr="00C6052E">
        <w:t xml:space="preserve"> </w:t>
      </w:r>
      <w:r w:rsidRPr="00C6052E">
        <w:t>to</w:t>
      </w:r>
      <w:r w:rsidR="00177848" w:rsidRPr="00C6052E">
        <w:t xml:space="preserve"> </w:t>
      </w:r>
      <w:r w:rsidRPr="00C6052E">
        <w:t>a</w:t>
      </w:r>
      <w:r w:rsidR="00177848" w:rsidRPr="00C6052E">
        <w:t xml:space="preserve"> </w:t>
      </w:r>
      <w:r w:rsidRPr="00C6052E">
        <w:t>decline</w:t>
      </w:r>
      <w:r w:rsidR="00177848" w:rsidRPr="00C6052E">
        <w:t xml:space="preserve"> </w:t>
      </w:r>
      <w:r w:rsidRPr="00C6052E">
        <w:t>in</w:t>
      </w:r>
      <w:r w:rsidR="00177848" w:rsidRPr="00C6052E">
        <w:t xml:space="preserve"> </w:t>
      </w:r>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very</w:t>
      </w:r>
      <w:r w:rsidR="00177848" w:rsidRPr="00C6052E">
        <w:t xml:space="preserve"> </w:t>
      </w:r>
      <w:r w:rsidRPr="00C6052E">
        <w:t>small</w:t>
      </w:r>
      <w:r w:rsidR="00177848" w:rsidRPr="00C6052E">
        <w:t xml:space="preserve"> </w:t>
      </w:r>
      <w:r w:rsidRPr="00C6052E">
        <w:t>employing</w:t>
      </w:r>
      <w:r w:rsidR="00177848" w:rsidRPr="00C6052E">
        <w:t xml:space="preserve"> </w:t>
      </w:r>
      <w:r w:rsidRPr="00C6052E">
        <w:t>businesses</w:t>
      </w:r>
      <w:r w:rsidR="00177848" w:rsidRPr="00C6052E">
        <w:t xml:space="preserve"> </w:t>
      </w:r>
      <w:r w:rsidRPr="00C6052E">
        <w:t>(one</w:t>
      </w:r>
      <w:r w:rsidR="00177848" w:rsidRPr="00C6052E">
        <w:t xml:space="preserve"> </w:t>
      </w:r>
      <w:r w:rsidRPr="00C6052E">
        <w:t>to</w:t>
      </w:r>
      <w:r w:rsidR="00177848" w:rsidRPr="00C6052E">
        <w:t xml:space="preserve"> </w:t>
      </w:r>
      <w:r w:rsidRPr="00C6052E">
        <w:t>4</w:t>
      </w:r>
      <w:r w:rsidR="00177848" w:rsidRPr="00C6052E">
        <w:t xml:space="preserve"> </w:t>
      </w:r>
      <w:r w:rsidRPr="00C6052E">
        <w:t>employees),</w:t>
      </w:r>
      <w:r w:rsidR="00177848" w:rsidRPr="00C6052E">
        <w:t xml:space="preserve"> </w:t>
      </w:r>
      <w:r w:rsidRPr="00C6052E">
        <w:t>particularly</w:t>
      </w:r>
      <w:r w:rsidR="00177848" w:rsidRPr="00C6052E">
        <w:t xml:space="preserve"> </w:t>
      </w:r>
      <w:r w:rsidRPr="00C6052E">
        <w:t>those</w:t>
      </w:r>
      <w:r w:rsidR="00177848" w:rsidRPr="00C6052E">
        <w:t xml:space="preserve"> </w:t>
      </w:r>
      <w:r w:rsidRPr="00C6052E">
        <w:t>operating</w:t>
      </w:r>
      <w:r w:rsidR="00177848" w:rsidRPr="00C6052E">
        <w:t xml:space="preserve"> </w:t>
      </w:r>
      <w:r w:rsidRPr="00C6052E">
        <w:t>in</w:t>
      </w:r>
      <w:r w:rsidR="00177848" w:rsidRPr="00C6052E">
        <w:t xml:space="preserve"> </w:t>
      </w:r>
      <w:r w:rsidRPr="00C6052E">
        <w:t>sectors</w:t>
      </w:r>
      <w:r w:rsidR="00177848" w:rsidRPr="00C6052E">
        <w:t xml:space="preserve"> </w:t>
      </w:r>
      <w:r w:rsidRPr="00C6052E">
        <w:t>that</w:t>
      </w:r>
      <w:r w:rsidR="00177848" w:rsidRPr="00C6052E">
        <w:t xml:space="preserve"> </w:t>
      </w:r>
      <w:r w:rsidRPr="00C6052E">
        <w:t>faced</w:t>
      </w:r>
      <w:r w:rsidR="00177848" w:rsidRPr="00C6052E">
        <w:t xml:space="preserve"> </w:t>
      </w:r>
      <w:r w:rsidRPr="00C6052E">
        <w:t>subdued</w:t>
      </w:r>
      <w:r w:rsidR="00177848" w:rsidRPr="00C6052E">
        <w:t xml:space="preserve"> </w:t>
      </w:r>
      <w:r w:rsidRPr="00C6052E">
        <w:t>conditions</w:t>
      </w:r>
      <w:r w:rsidR="00177848" w:rsidRPr="00C6052E">
        <w:t xml:space="preserve"> </w:t>
      </w:r>
      <w:r w:rsidRPr="00C6052E">
        <w:t>–</w:t>
      </w:r>
      <w:r w:rsidR="00177848" w:rsidRPr="00C6052E">
        <w:t xml:space="preserve"> </w:t>
      </w:r>
      <w:r w:rsidRPr="00C6052E">
        <w:t>construction,</w:t>
      </w:r>
      <w:r w:rsidR="00177848" w:rsidRPr="00C6052E">
        <w:t xml:space="preserve"> </w:t>
      </w:r>
      <w:r w:rsidRPr="00C6052E">
        <w:t>retail</w:t>
      </w:r>
      <w:r w:rsidR="00177848" w:rsidRPr="00C6052E">
        <w:t xml:space="preserve"> </w:t>
      </w:r>
      <w:r w:rsidRPr="00C6052E">
        <w:t>trade</w:t>
      </w:r>
      <w:r w:rsidR="00177848" w:rsidRPr="00C6052E">
        <w:t xml:space="preserve"> </w:t>
      </w:r>
      <w:r w:rsidRPr="00C6052E">
        <w:t>and</w:t>
      </w:r>
      <w:r w:rsidR="00177848" w:rsidRPr="00C6052E">
        <w:t xml:space="preserve"> </w:t>
      </w:r>
      <w:r w:rsidRPr="00C6052E">
        <w:t>hospitality.</w:t>
      </w:r>
      <w:r w:rsidR="00177848" w:rsidRPr="00C6052E">
        <w:t xml:space="preserve"> </w:t>
      </w:r>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medium-sized</w:t>
      </w:r>
      <w:r w:rsidR="00177848" w:rsidRPr="00C6052E">
        <w:t xml:space="preserve"> </w:t>
      </w:r>
      <w:r w:rsidRPr="00C6052E">
        <w:t>employing</w:t>
      </w:r>
      <w:r w:rsidR="00177848" w:rsidRPr="00C6052E">
        <w:t xml:space="preserve"> </w:t>
      </w:r>
      <w:r w:rsidRPr="00C6052E">
        <w:t>businesses</w:t>
      </w:r>
      <w:r w:rsidR="00177848" w:rsidRPr="00C6052E">
        <w:t xml:space="preserve"> </w:t>
      </w:r>
      <w:r w:rsidRPr="00C6052E">
        <w:t>(20</w:t>
      </w:r>
      <w:r w:rsidR="00177848" w:rsidRPr="00C6052E">
        <w:t xml:space="preserve"> </w:t>
      </w:r>
      <w:r w:rsidRPr="00C6052E">
        <w:t>to</w:t>
      </w:r>
      <w:r w:rsidR="00177848" w:rsidRPr="00C6052E">
        <w:t xml:space="preserve"> </w:t>
      </w:r>
      <w:r w:rsidRPr="00C6052E">
        <w:t>199</w:t>
      </w:r>
      <w:r w:rsidR="00177848" w:rsidRPr="00C6052E">
        <w:t xml:space="preserve"> </w:t>
      </w:r>
      <w:r w:rsidRPr="00C6052E">
        <w:t>employees)</w:t>
      </w:r>
      <w:r w:rsidR="00177848" w:rsidRPr="00C6052E">
        <w:t xml:space="preserve"> </w:t>
      </w:r>
      <w:r w:rsidRPr="00C6052E">
        <w:t>grew</w:t>
      </w:r>
      <w:r w:rsidR="00177848" w:rsidRPr="00C6052E">
        <w:t xml:space="preserve"> </w:t>
      </w:r>
      <w:r w:rsidRPr="00C6052E">
        <w:t>by</w:t>
      </w:r>
      <w:r w:rsidR="00177848" w:rsidRPr="00C6052E">
        <w:t xml:space="preserve"> </w:t>
      </w:r>
      <w:r w:rsidRPr="00C6052E">
        <w:t>16.4%</w:t>
      </w:r>
      <w:r w:rsidR="00177848" w:rsidRPr="00C6052E">
        <w:t xml:space="preserve"> </w:t>
      </w:r>
      <w:r w:rsidRPr="00C6052E">
        <w:t>and</w:t>
      </w:r>
      <w:r w:rsidR="00177848" w:rsidRPr="00C6052E">
        <w:t xml:space="preserve"> </w:t>
      </w:r>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large-sized</w:t>
      </w:r>
      <w:r w:rsidR="00177848" w:rsidRPr="00C6052E">
        <w:t xml:space="preserve"> </w:t>
      </w:r>
      <w:r w:rsidRPr="00C6052E">
        <w:t>employing</w:t>
      </w:r>
      <w:r w:rsidR="00177848" w:rsidRPr="00C6052E">
        <w:t xml:space="preserve"> </w:t>
      </w:r>
      <w:r w:rsidRPr="00C6052E">
        <w:t>businesses</w:t>
      </w:r>
      <w:r w:rsidR="00177848" w:rsidRPr="00C6052E">
        <w:t xml:space="preserve"> </w:t>
      </w:r>
      <w:r w:rsidRPr="00C6052E">
        <w:t>(200</w:t>
      </w:r>
      <w:r w:rsidR="00177848" w:rsidRPr="00C6052E">
        <w:t xml:space="preserve"> </w:t>
      </w:r>
      <w:r w:rsidRPr="00C6052E">
        <w:t>or</w:t>
      </w:r>
      <w:r w:rsidR="00177848" w:rsidRPr="00C6052E">
        <w:t xml:space="preserve"> </w:t>
      </w:r>
      <w:r w:rsidRPr="00C6052E">
        <w:t>more</w:t>
      </w:r>
      <w:r w:rsidR="00177848" w:rsidRPr="00C6052E">
        <w:t xml:space="preserve"> </w:t>
      </w:r>
      <w:r w:rsidRPr="00C6052E">
        <w:t>employees)</w:t>
      </w:r>
      <w:r w:rsidR="00177848" w:rsidRPr="00C6052E">
        <w:t xml:space="preserve"> </w:t>
      </w:r>
      <w:r w:rsidRPr="00C6052E">
        <w:t>grew</w:t>
      </w:r>
      <w:r w:rsidR="00177848" w:rsidRPr="00C6052E">
        <w:t xml:space="preserve"> </w:t>
      </w:r>
      <w:r w:rsidRPr="00C6052E">
        <w:t>by</w:t>
      </w:r>
      <w:r w:rsidR="00177848" w:rsidRPr="00C6052E">
        <w:t xml:space="preserve"> </w:t>
      </w:r>
      <w:r w:rsidRPr="00C6052E">
        <w:t>14.2%</w:t>
      </w:r>
      <w:r w:rsidR="00177848" w:rsidRPr="00C6052E">
        <w:t xml:space="preserve"> </w:t>
      </w:r>
      <w:r w:rsidRPr="00C6052E">
        <w:t>over</w:t>
      </w:r>
      <w:r w:rsidR="00177848" w:rsidRPr="00C6052E">
        <w:t xml:space="preserve"> </w:t>
      </w:r>
      <w:r w:rsidRPr="00C6052E">
        <w:t>the</w:t>
      </w:r>
      <w:r w:rsidR="00177848" w:rsidRPr="00C6052E">
        <w:t xml:space="preserve"> </w:t>
      </w:r>
      <w:r w:rsidRPr="00C6052E">
        <w:t>same</w:t>
      </w:r>
      <w:r w:rsidR="00177848" w:rsidRPr="00C6052E">
        <w:t xml:space="preserve"> </w:t>
      </w:r>
      <w:r w:rsidRPr="00C6052E">
        <w:t>2</w:t>
      </w:r>
      <w:r w:rsidR="00177848" w:rsidRPr="00C6052E">
        <w:t xml:space="preserve"> </w:t>
      </w:r>
      <w:r w:rsidRPr="00C6052E">
        <w:t>years.</w:t>
      </w:r>
    </w:p>
    <w:p w14:paraId="09E82EF5" w14:textId="44EC7946" w:rsidR="00EE5BB8" w:rsidRPr="00C6052E" w:rsidRDefault="00EE5BB8" w:rsidP="00EE5BB8">
      <w:pPr>
        <w:pStyle w:val="Heading4"/>
      </w:pPr>
      <w:r w:rsidRPr="00C6052E">
        <w:t>Renewable</w:t>
      </w:r>
      <w:r w:rsidR="00177848" w:rsidRPr="00C6052E">
        <w:t xml:space="preserve"> </w:t>
      </w:r>
      <w:r w:rsidRPr="00C6052E">
        <w:t>Jobs</w:t>
      </w:r>
      <w:r w:rsidR="00177848" w:rsidRPr="00C6052E">
        <w:t xml:space="preserve"> </w:t>
      </w:r>
      <w:r w:rsidRPr="00C6052E">
        <w:t>Taskforce</w:t>
      </w:r>
    </w:p>
    <w:p w14:paraId="2B5E268D" w14:textId="4D740F51" w:rsidR="00EE5BB8" w:rsidRPr="00C6052E" w:rsidRDefault="00EE5BB8" w:rsidP="00EE5BB8">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through</w:t>
      </w:r>
      <w:r w:rsidR="00177848" w:rsidRPr="00C6052E">
        <w:t xml:space="preserve"> </w:t>
      </w:r>
      <w:r w:rsidRPr="00C6052E">
        <w:t>DJSIR</w:t>
      </w:r>
      <w:r w:rsidR="00177848" w:rsidRPr="00C6052E">
        <w:t xml:space="preserve"> </w:t>
      </w:r>
      <w:r w:rsidRPr="00C6052E">
        <w:t>and</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of</w:t>
      </w:r>
      <w:r w:rsidR="00177848" w:rsidRPr="00C6052E">
        <w:t xml:space="preserve"> </w:t>
      </w:r>
      <w:r w:rsidRPr="00C6052E">
        <w:t>Energy,</w:t>
      </w:r>
      <w:r w:rsidR="00177848" w:rsidRPr="00C6052E">
        <w:t xml:space="preserve"> </w:t>
      </w:r>
      <w:r w:rsidRPr="00C6052E">
        <w:t>Environment,</w:t>
      </w:r>
      <w:r w:rsidR="00177848" w:rsidRPr="00C6052E">
        <w:t xml:space="preserve"> </w:t>
      </w:r>
      <w:r w:rsidRPr="00C6052E">
        <w:t>and</w:t>
      </w:r>
      <w:r w:rsidR="00177848" w:rsidRPr="00C6052E">
        <w:t xml:space="preserve"> </w:t>
      </w:r>
      <w:r w:rsidRPr="00C6052E">
        <w:t>Climate</w:t>
      </w:r>
      <w:r w:rsidR="00177848" w:rsidRPr="00C6052E">
        <w:t xml:space="preserve"> </w:t>
      </w:r>
      <w:r w:rsidRPr="00C6052E">
        <w:t>Action</w:t>
      </w:r>
      <w:r w:rsidR="00177848" w:rsidRPr="00C6052E">
        <w:t xml:space="preserve"> </w:t>
      </w:r>
      <w:r w:rsidRPr="00C6052E">
        <w:t>(DEECA),</w:t>
      </w:r>
      <w:r w:rsidR="00177848" w:rsidRPr="00C6052E">
        <w:t xml:space="preserve"> </w:t>
      </w:r>
      <w:r w:rsidRPr="00C6052E">
        <w:t>established</w:t>
      </w:r>
      <w:r w:rsidR="00177848" w:rsidRPr="00C6052E">
        <w:t xml:space="preserve"> </w:t>
      </w:r>
      <w:r w:rsidRPr="00C6052E">
        <w:t>the</w:t>
      </w:r>
      <w:r w:rsidR="00177848" w:rsidRPr="00C6052E">
        <w:t xml:space="preserve"> </w:t>
      </w:r>
      <w:r w:rsidRPr="00C6052E">
        <w:t>Renewable</w:t>
      </w:r>
      <w:r w:rsidR="00177848" w:rsidRPr="00C6052E">
        <w:t xml:space="preserve"> </w:t>
      </w:r>
      <w:r w:rsidRPr="00C6052E">
        <w:t>Jobs</w:t>
      </w:r>
      <w:r w:rsidR="00177848" w:rsidRPr="00C6052E">
        <w:t xml:space="preserve"> </w:t>
      </w:r>
      <w:r w:rsidRPr="00C6052E">
        <w:t>Taskforce</w:t>
      </w:r>
      <w:r w:rsidR="00177848" w:rsidRPr="00C6052E">
        <w:t xml:space="preserve"> </w:t>
      </w:r>
      <w:r w:rsidRPr="00C6052E">
        <w:t>in</w:t>
      </w:r>
      <w:r w:rsidR="00177848" w:rsidRPr="00C6052E">
        <w:t xml:space="preserve"> </w:t>
      </w:r>
      <w:r w:rsidRPr="00C6052E">
        <w:t>2024</w:t>
      </w:r>
      <w:r w:rsidR="00177848" w:rsidRPr="00C6052E">
        <w:t xml:space="preserve"> </w:t>
      </w:r>
      <w:r w:rsidRPr="00C6052E">
        <w:t>to</w:t>
      </w:r>
      <w:r w:rsidR="00177848" w:rsidRPr="00C6052E">
        <w:t xml:space="preserve"> </w:t>
      </w:r>
      <w:r w:rsidRPr="00C6052E">
        <w:t>further</w:t>
      </w:r>
      <w:r w:rsidR="00177848" w:rsidRPr="00C6052E">
        <w:t xml:space="preserve"> </w:t>
      </w:r>
      <w:r w:rsidRPr="00C6052E">
        <w:t>coordinate</w:t>
      </w:r>
      <w:r w:rsidR="00177848" w:rsidRPr="00C6052E">
        <w:t xml:space="preserve"> </w:t>
      </w:r>
      <w:r w:rsidRPr="00C6052E">
        <w:t>industry</w:t>
      </w:r>
      <w:r w:rsidR="00177848" w:rsidRPr="00C6052E">
        <w:t xml:space="preserve"> </w:t>
      </w:r>
      <w:r w:rsidRPr="00C6052E">
        <w:t>engagement</w:t>
      </w:r>
      <w:r w:rsidR="00177848" w:rsidRPr="00C6052E">
        <w:t xml:space="preserve"> </w:t>
      </w:r>
      <w:r w:rsidRPr="00C6052E">
        <w:t>and</w:t>
      </w:r>
      <w:r w:rsidR="00177848" w:rsidRPr="00C6052E">
        <w:t xml:space="preserve"> </w:t>
      </w:r>
      <w:r w:rsidRPr="00C6052E">
        <w:t>participation</w:t>
      </w:r>
      <w:r w:rsidR="00177848" w:rsidRPr="00C6052E">
        <w:t xml:space="preserve"> </w:t>
      </w:r>
      <w:r w:rsidRPr="00C6052E">
        <w:t>for</w:t>
      </w:r>
      <w:r w:rsidR="00177848" w:rsidRPr="00C6052E">
        <w:t xml:space="preserve"> </w:t>
      </w:r>
      <w:r w:rsidRPr="00C6052E">
        <w:t>offshore</w:t>
      </w:r>
      <w:r w:rsidR="00177848" w:rsidRPr="00C6052E">
        <w:t xml:space="preserve"> </w:t>
      </w:r>
      <w:r w:rsidRPr="00C6052E">
        <w:t>wind</w:t>
      </w:r>
      <w:r w:rsidR="00177848" w:rsidRPr="00C6052E">
        <w:t xml:space="preserve"> </w:t>
      </w:r>
      <w:r w:rsidRPr="00C6052E">
        <w:t>projects.</w:t>
      </w:r>
      <w:r w:rsidR="00177848" w:rsidRPr="00C6052E">
        <w:t xml:space="preserve"> </w:t>
      </w:r>
      <w:r w:rsidRPr="00C6052E">
        <w:t>The</w:t>
      </w:r>
      <w:r w:rsidR="00177848" w:rsidRPr="00C6052E">
        <w:t xml:space="preserve"> </w:t>
      </w:r>
      <w:r w:rsidRPr="00C6052E">
        <w:t>taskforce</w:t>
      </w:r>
      <w:r w:rsidR="00177848" w:rsidRPr="00C6052E">
        <w:t xml:space="preserve"> </w:t>
      </w:r>
      <w:r w:rsidRPr="00C6052E">
        <w:t>currently</w:t>
      </w:r>
      <w:r w:rsidR="00177848" w:rsidRPr="00C6052E">
        <w:t xml:space="preserve"> </w:t>
      </w:r>
      <w:r w:rsidRPr="00C6052E">
        <w:t>includes</w:t>
      </w:r>
      <w:r w:rsidR="00177848" w:rsidRPr="00C6052E">
        <w:t xml:space="preserve"> </w:t>
      </w:r>
      <w:r w:rsidRPr="00C6052E">
        <w:t>representatives</w:t>
      </w:r>
      <w:r w:rsidR="00177848" w:rsidRPr="00C6052E">
        <w:t xml:space="preserve"> </w:t>
      </w:r>
      <w:r w:rsidRPr="00C6052E">
        <w:t>from</w:t>
      </w:r>
      <w:r w:rsidR="00177848" w:rsidRPr="00C6052E">
        <w:t xml:space="preserve"> </w:t>
      </w:r>
      <w:r w:rsidRPr="00C6052E">
        <w:t>a</w:t>
      </w:r>
      <w:r w:rsidR="00177848" w:rsidRPr="00C6052E">
        <w:t xml:space="preserve"> </w:t>
      </w:r>
      <w:r w:rsidRPr="00C6052E">
        <w:t>diverse</w:t>
      </w:r>
      <w:r w:rsidR="00177848" w:rsidRPr="00C6052E">
        <w:t xml:space="preserve"> </w:t>
      </w:r>
      <w:r w:rsidRPr="00C6052E">
        <w:t>mix</w:t>
      </w:r>
      <w:r w:rsidR="00177848" w:rsidRPr="00C6052E">
        <w:t xml:space="preserve"> </w:t>
      </w:r>
      <w:r w:rsidRPr="00C6052E">
        <w:t>of</w:t>
      </w:r>
      <w:r w:rsidR="00177848" w:rsidRPr="00C6052E">
        <w:t xml:space="preserve"> </w:t>
      </w:r>
      <w:r w:rsidRPr="00C6052E">
        <w:t>stakeholders</w:t>
      </w:r>
      <w:r w:rsidR="00177848" w:rsidRPr="00C6052E">
        <w:t xml:space="preserve"> </w:t>
      </w:r>
      <w:r w:rsidRPr="00C6052E">
        <w:t>including</w:t>
      </w:r>
      <w:r w:rsidR="00177848" w:rsidRPr="00C6052E">
        <w:t xml:space="preserve"> </w:t>
      </w:r>
      <w:r w:rsidRPr="00C6052E">
        <w:t>unions,</w:t>
      </w:r>
      <w:r w:rsidR="00177848" w:rsidRPr="00C6052E">
        <w:t xml:space="preserve"> </w:t>
      </w:r>
      <w:r w:rsidRPr="00C6052E">
        <w:t>industry</w:t>
      </w:r>
      <w:r w:rsidR="00177848" w:rsidRPr="00C6052E">
        <w:t xml:space="preserve"> </w:t>
      </w:r>
      <w:r w:rsidRPr="00C6052E">
        <w:t>associations,</w:t>
      </w:r>
      <w:r w:rsidR="00177848" w:rsidRPr="00C6052E">
        <w:t xml:space="preserve"> </w:t>
      </w:r>
      <w:r w:rsidRPr="00C6052E">
        <w:t>businesses</w:t>
      </w:r>
      <w:r w:rsidR="00177848" w:rsidRPr="00C6052E">
        <w:t xml:space="preserve"> </w:t>
      </w:r>
      <w:r w:rsidRPr="00C6052E">
        <w:t>and</w:t>
      </w:r>
      <w:r w:rsidR="00177848" w:rsidRPr="00C6052E">
        <w:t xml:space="preserve"> </w:t>
      </w:r>
      <w:r w:rsidRPr="00C6052E">
        <w:t>community.</w:t>
      </w:r>
      <w:r w:rsidR="00177848" w:rsidRPr="00C6052E">
        <w:t xml:space="preserve"> </w:t>
      </w:r>
    </w:p>
    <w:p w14:paraId="55F9B5E1" w14:textId="1FAE8783" w:rsidR="00EE5BB8" w:rsidRPr="00C6052E" w:rsidRDefault="00EE5BB8" w:rsidP="00EE5BB8">
      <w:pPr>
        <w:pStyle w:val="Heading4"/>
      </w:pPr>
      <w:r w:rsidRPr="00C6052E">
        <w:lastRenderedPageBreak/>
        <w:t>Timber</w:t>
      </w:r>
      <w:r w:rsidR="00177848" w:rsidRPr="00C6052E">
        <w:t xml:space="preserve"> </w:t>
      </w:r>
      <w:r w:rsidRPr="00C6052E">
        <w:t>Supply</w:t>
      </w:r>
      <w:r w:rsidR="00177848" w:rsidRPr="00C6052E">
        <w:t xml:space="preserve"> </w:t>
      </w:r>
      <w:r w:rsidRPr="00C6052E">
        <w:t>Chain</w:t>
      </w:r>
      <w:r w:rsidR="00177848" w:rsidRPr="00C6052E">
        <w:t xml:space="preserve"> </w:t>
      </w:r>
      <w:r w:rsidRPr="00C6052E">
        <w:t>Resilience</w:t>
      </w:r>
      <w:r w:rsidR="00177848" w:rsidRPr="00C6052E">
        <w:t xml:space="preserve"> </w:t>
      </w:r>
      <w:r w:rsidRPr="00C6052E">
        <w:t>Package</w:t>
      </w:r>
    </w:p>
    <w:p w14:paraId="67C35D97" w14:textId="1454C7E0" w:rsidR="00EE5BB8" w:rsidRPr="00C6052E" w:rsidRDefault="00EE5BB8" w:rsidP="00EE5BB8">
      <w:r w:rsidRPr="00C6052E">
        <w:t>The</w:t>
      </w:r>
      <w:r w:rsidR="00177848" w:rsidRPr="00C6052E">
        <w:t xml:space="preserve"> </w:t>
      </w:r>
      <w:r w:rsidRPr="00C6052E">
        <w:t>Timber</w:t>
      </w:r>
      <w:r w:rsidR="00177848" w:rsidRPr="00C6052E">
        <w:t xml:space="preserve"> </w:t>
      </w:r>
      <w:r w:rsidRPr="00C6052E">
        <w:t>Supply</w:t>
      </w:r>
      <w:r w:rsidR="00177848" w:rsidRPr="00C6052E">
        <w:t xml:space="preserve"> </w:t>
      </w:r>
      <w:r w:rsidRPr="00C6052E">
        <w:t>Chain</w:t>
      </w:r>
      <w:r w:rsidR="00177848" w:rsidRPr="00C6052E">
        <w:t xml:space="preserve"> </w:t>
      </w:r>
      <w:r w:rsidRPr="00C6052E">
        <w:t>Resilience</w:t>
      </w:r>
      <w:r w:rsidR="00177848" w:rsidRPr="00C6052E">
        <w:t xml:space="preserve"> </w:t>
      </w:r>
      <w:r w:rsidRPr="00C6052E">
        <w:t>Package</w:t>
      </w:r>
      <w:r w:rsidR="00177848" w:rsidRPr="00C6052E">
        <w:t xml:space="preserve"> </w:t>
      </w:r>
      <w:r w:rsidRPr="00C6052E">
        <w:t>supported</w:t>
      </w:r>
      <w:r w:rsidR="00177848" w:rsidRPr="00C6052E">
        <w:t xml:space="preserve"> </w:t>
      </w:r>
      <w:r w:rsidRPr="00C6052E">
        <w:t>over</w:t>
      </w:r>
      <w:r w:rsidR="00177848" w:rsidRPr="00C6052E">
        <w:t xml:space="preserve"> </w:t>
      </w:r>
      <w:r w:rsidRPr="00C6052E">
        <w:t>150</w:t>
      </w:r>
      <w:r w:rsidR="00177848" w:rsidRPr="00C6052E">
        <w:t xml:space="preserve"> </w:t>
      </w:r>
      <w:r w:rsidRPr="00C6052E">
        <w:t>companies</w:t>
      </w:r>
      <w:r w:rsidR="00177848" w:rsidRPr="00C6052E">
        <w:t xml:space="preserve"> </w:t>
      </w:r>
      <w:r w:rsidRPr="00C6052E">
        <w:t>whose</w:t>
      </w:r>
      <w:r w:rsidR="00177848" w:rsidRPr="00C6052E">
        <w:t xml:space="preserve"> </w:t>
      </w:r>
      <w:r w:rsidRPr="00C6052E">
        <w:t>supply</w:t>
      </w:r>
      <w:r w:rsidR="00177848" w:rsidRPr="00C6052E">
        <w:t xml:space="preserve"> </w:t>
      </w:r>
      <w:r w:rsidRPr="00C6052E">
        <w:t>chains</w:t>
      </w:r>
      <w:r w:rsidR="00177848" w:rsidRPr="00C6052E">
        <w:t xml:space="preserve"> </w:t>
      </w:r>
      <w:r w:rsidRPr="00C6052E">
        <w:t>have</w:t>
      </w:r>
      <w:r w:rsidR="00177848" w:rsidRPr="00C6052E">
        <w:t xml:space="preserve"> </w:t>
      </w:r>
      <w:r w:rsidRPr="00C6052E">
        <w:t>been</w:t>
      </w:r>
      <w:r w:rsidR="00177848" w:rsidRPr="00C6052E">
        <w:t xml:space="preserve"> </w:t>
      </w:r>
      <w:r w:rsidRPr="00C6052E">
        <w:t>impacted</w:t>
      </w:r>
      <w:r w:rsidR="00177848" w:rsidRPr="00C6052E">
        <w:t xml:space="preserve"> </w:t>
      </w:r>
      <w:r w:rsidRPr="00C6052E">
        <w:t>by</w:t>
      </w:r>
      <w:r w:rsidR="00177848" w:rsidRPr="00C6052E">
        <w:t xml:space="preserve"> </w:t>
      </w:r>
      <w:r w:rsidRPr="00C6052E">
        <w:t>the</w:t>
      </w:r>
      <w:r w:rsidR="00177848" w:rsidRPr="00C6052E">
        <w:t xml:space="preserve"> </w:t>
      </w:r>
      <w:r w:rsidRPr="00C6052E">
        <w:t>end</w:t>
      </w:r>
      <w:r w:rsidR="00177848" w:rsidRPr="00C6052E">
        <w:t xml:space="preserve"> </w:t>
      </w:r>
      <w:r w:rsidRPr="00C6052E">
        <w:t>of</w:t>
      </w:r>
      <w:r w:rsidR="00177848" w:rsidRPr="00C6052E">
        <w:t xml:space="preserve"> </w:t>
      </w:r>
      <w:r w:rsidRPr="00C6052E">
        <w:t>native</w:t>
      </w:r>
      <w:r w:rsidR="00177848" w:rsidRPr="00C6052E">
        <w:t xml:space="preserve"> </w:t>
      </w:r>
      <w:r w:rsidRPr="00C6052E">
        <w:t>timber</w:t>
      </w:r>
      <w:r w:rsidR="00177848" w:rsidRPr="00C6052E">
        <w:t xml:space="preserve"> </w:t>
      </w:r>
      <w:r w:rsidRPr="00C6052E">
        <w:t>harvesting</w:t>
      </w:r>
      <w:r w:rsidR="00177848" w:rsidRPr="00C6052E">
        <w:t xml:space="preserve"> </w:t>
      </w:r>
      <w:r w:rsidRPr="00C6052E">
        <w:t>in</w:t>
      </w:r>
      <w:r w:rsidR="00177848" w:rsidRPr="00C6052E">
        <w:t xml:space="preserve"> </w:t>
      </w:r>
      <w:r w:rsidRPr="00C6052E">
        <w:t>Victoria.</w:t>
      </w:r>
    </w:p>
    <w:p w14:paraId="4CEA566D" w14:textId="7D9F0888" w:rsidR="00EE5BB8" w:rsidRPr="00C6052E" w:rsidRDefault="00EE5BB8" w:rsidP="00EE5BB8">
      <w:pPr>
        <w:pStyle w:val="Heading4"/>
      </w:pPr>
      <w:r w:rsidRPr="00C6052E">
        <w:t>Victorian</w:t>
      </w:r>
      <w:r w:rsidR="00177848" w:rsidRPr="00C6052E">
        <w:t xml:space="preserve"> </w:t>
      </w:r>
      <w:r w:rsidRPr="00C6052E">
        <w:t>Manufacturing</w:t>
      </w:r>
      <w:r w:rsidR="00177848" w:rsidRPr="00C6052E">
        <w:t xml:space="preserve"> </w:t>
      </w:r>
      <w:r w:rsidRPr="00C6052E">
        <w:t>Hall</w:t>
      </w:r>
      <w:r w:rsidR="00177848" w:rsidRPr="00C6052E">
        <w:t xml:space="preserve"> </w:t>
      </w:r>
      <w:r w:rsidRPr="00C6052E">
        <w:t>of</w:t>
      </w:r>
      <w:r w:rsidR="00177848" w:rsidRPr="00C6052E">
        <w:t xml:space="preserve"> </w:t>
      </w:r>
      <w:r w:rsidRPr="00C6052E">
        <w:t>Fame</w:t>
      </w:r>
      <w:r w:rsidR="00177848" w:rsidRPr="00C6052E">
        <w:t xml:space="preserve"> </w:t>
      </w:r>
      <w:r w:rsidRPr="00C6052E">
        <w:t>Awards</w:t>
      </w:r>
    </w:p>
    <w:p w14:paraId="55027501" w14:textId="25B96112" w:rsidR="00EE5BB8" w:rsidRPr="00C6052E" w:rsidRDefault="00EE5BB8" w:rsidP="00EE5BB8">
      <w:pPr>
        <w:keepLines/>
      </w:pPr>
      <w:r w:rsidRPr="00C6052E">
        <w:t>The</w:t>
      </w:r>
      <w:r w:rsidR="00177848" w:rsidRPr="00C6052E">
        <w:t xml:space="preserve"> </w:t>
      </w:r>
      <w:r w:rsidRPr="00C6052E">
        <w:t>22nd</w:t>
      </w:r>
      <w:r w:rsidR="00177848" w:rsidRPr="00C6052E">
        <w:t xml:space="preserve"> </w:t>
      </w:r>
      <w:r w:rsidRPr="00C6052E">
        <w:t>Victorian</w:t>
      </w:r>
      <w:r w:rsidR="00177848" w:rsidRPr="00C6052E">
        <w:t xml:space="preserve"> </w:t>
      </w:r>
      <w:r w:rsidRPr="00C6052E">
        <w:t>Manufacturing</w:t>
      </w:r>
      <w:r w:rsidR="00177848" w:rsidRPr="00C6052E">
        <w:t xml:space="preserve"> </w:t>
      </w:r>
      <w:r w:rsidRPr="00C6052E">
        <w:t>Hall</w:t>
      </w:r>
      <w:r w:rsidR="00177848" w:rsidRPr="00C6052E">
        <w:t xml:space="preserve"> </w:t>
      </w:r>
      <w:r w:rsidRPr="00C6052E">
        <w:t>of</w:t>
      </w:r>
      <w:r w:rsidR="00177848" w:rsidRPr="00C6052E">
        <w:t xml:space="preserve"> </w:t>
      </w:r>
      <w:r w:rsidRPr="00C6052E">
        <w:t>Fame</w:t>
      </w:r>
      <w:r w:rsidR="00177848" w:rsidRPr="00C6052E">
        <w:t xml:space="preserve"> </w:t>
      </w:r>
      <w:r w:rsidRPr="00C6052E">
        <w:t>Awards</w:t>
      </w:r>
      <w:r w:rsidR="00177848" w:rsidRPr="00C6052E">
        <w:t xml:space="preserve"> </w:t>
      </w:r>
      <w:r w:rsidRPr="00C6052E">
        <w:t>were</w:t>
      </w:r>
      <w:r w:rsidR="00177848" w:rsidRPr="00C6052E">
        <w:t xml:space="preserve"> </w:t>
      </w:r>
      <w:r w:rsidRPr="00C6052E">
        <w:t>held</w:t>
      </w:r>
      <w:r w:rsidR="00177848" w:rsidRPr="00C6052E">
        <w:t xml:space="preserve"> </w:t>
      </w:r>
      <w:r w:rsidRPr="00C6052E">
        <w:t>in</w:t>
      </w:r>
      <w:r w:rsidR="00177848" w:rsidRPr="00C6052E">
        <w:t xml:space="preserve"> </w:t>
      </w:r>
      <w:r w:rsidRPr="00C6052E">
        <w:t>October</w:t>
      </w:r>
      <w:r w:rsidR="00177848" w:rsidRPr="00C6052E">
        <w:t xml:space="preserve"> </w:t>
      </w:r>
      <w:r w:rsidRPr="00C6052E">
        <w:t>2024</w:t>
      </w:r>
      <w:r w:rsidR="00177848" w:rsidRPr="00C6052E">
        <w:t xml:space="preserve"> </w:t>
      </w:r>
      <w:r w:rsidRPr="00C6052E">
        <w:t>with</w:t>
      </w:r>
      <w:r w:rsidR="00177848" w:rsidRPr="00C6052E">
        <w:t xml:space="preserve"> </w:t>
      </w:r>
      <w:r w:rsidRPr="00C6052E">
        <w:t>730</w:t>
      </w:r>
      <w:r w:rsidR="00177848" w:rsidRPr="00C6052E">
        <w:t xml:space="preserve"> </w:t>
      </w:r>
      <w:r w:rsidRPr="00C6052E">
        <w:t>attendees</w:t>
      </w:r>
      <w:r w:rsidR="00177848" w:rsidRPr="00C6052E">
        <w:t xml:space="preserve"> </w:t>
      </w:r>
      <w:r w:rsidRPr="00C6052E">
        <w:t>celebrating</w:t>
      </w:r>
      <w:r w:rsidR="00177848" w:rsidRPr="00C6052E">
        <w:t xml:space="preserve"> </w:t>
      </w:r>
      <w:r w:rsidRPr="00C6052E">
        <w:t>leaders</w:t>
      </w:r>
      <w:r w:rsidR="00177848" w:rsidRPr="00C6052E">
        <w:t xml:space="preserve"> </w:t>
      </w:r>
      <w:r w:rsidRPr="00C6052E">
        <w:t>in</w:t>
      </w:r>
      <w:r w:rsidR="00177848" w:rsidRPr="00C6052E">
        <w:t xml:space="preserve"> </w:t>
      </w:r>
      <w:r w:rsidRPr="00C6052E">
        <w:t>key</w:t>
      </w:r>
      <w:r w:rsidR="00177848" w:rsidRPr="00C6052E">
        <w:t xml:space="preserve"> </w:t>
      </w:r>
      <w:r w:rsidRPr="00C6052E">
        <w:t>manufacturing</w:t>
      </w:r>
      <w:r w:rsidR="00177848" w:rsidRPr="00C6052E">
        <w:t xml:space="preserve"> </w:t>
      </w:r>
      <w:r w:rsidRPr="00C6052E">
        <w:t>sectors</w:t>
      </w:r>
      <w:r w:rsidR="00177848" w:rsidRPr="00C6052E">
        <w:t xml:space="preserve"> </w:t>
      </w:r>
      <w:r w:rsidRPr="00C6052E">
        <w:t>including</w:t>
      </w:r>
      <w:r w:rsidR="00177848" w:rsidRPr="00C6052E">
        <w:t xml:space="preserve"> </w:t>
      </w:r>
      <w:r w:rsidRPr="00C6052E">
        <w:t>food</w:t>
      </w:r>
      <w:r w:rsidR="00177848" w:rsidRPr="00C6052E">
        <w:t xml:space="preserve"> </w:t>
      </w:r>
      <w:r w:rsidRPr="00C6052E">
        <w:t>and</w:t>
      </w:r>
      <w:r w:rsidR="00177848" w:rsidRPr="00C6052E">
        <w:t xml:space="preserve"> </w:t>
      </w:r>
      <w:r w:rsidRPr="00C6052E">
        <w:t>beverage,</w:t>
      </w:r>
      <w:r w:rsidR="00177848" w:rsidRPr="00C6052E">
        <w:t xml:space="preserve"> </w:t>
      </w:r>
      <w:r w:rsidRPr="00C6052E">
        <w:t>construction</w:t>
      </w:r>
      <w:r w:rsidR="00177848" w:rsidRPr="00C6052E">
        <w:t xml:space="preserve"> </w:t>
      </w:r>
      <w:r w:rsidRPr="00C6052E">
        <w:t>technologies,</w:t>
      </w:r>
      <w:r w:rsidR="00177848" w:rsidRPr="00C6052E">
        <w:t xml:space="preserve"> </w:t>
      </w:r>
      <w:r w:rsidRPr="00C6052E">
        <w:t>transport</w:t>
      </w:r>
      <w:r w:rsidR="00177848" w:rsidRPr="00C6052E">
        <w:t xml:space="preserve"> </w:t>
      </w:r>
      <w:r w:rsidRPr="00C6052E">
        <w:t>and</w:t>
      </w:r>
      <w:r w:rsidR="00177848" w:rsidRPr="00C6052E">
        <w:t xml:space="preserve"> </w:t>
      </w:r>
      <w:r w:rsidRPr="00C6052E">
        <w:t>rail,</w:t>
      </w:r>
      <w:r w:rsidR="00177848" w:rsidRPr="00C6052E">
        <w:t xml:space="preserve"> </w:t>
      </w:r>
      <w:r w:rsidRPr="00C6052E">
        <w:t>textile,</w:t>
      </w:r>
      <w:r w:rsidR="00177848" w:rsidRPr="00C6052E">
        <w:t xml:space="preserve"> </w:t>
      </w:r>
      <w:r w:rsidRPr="00C6052E">
        <w:t>clothing</w:t>
      </w:r>
      <w:r w:rsidR="00177848" w:rsidRPr="00C6052E">
        <w:t xml:space="preserve"> </w:t>
      </w:r>
      <w:r w:rsidRPr="00C6052E">
        <w:t>and</w:t>
      </w:r>
      <w:r w:rsidR="00177848" w:rsidRPr="00C6052E">
        <w:t xml:space="preserve"> </w:t>
      </w:r>
      <w:r w:rsidRPr="00C6052E">
        <w:t>footwear,</w:t>
      </w:r>
      <w:r w:rsidR="00177848" w:rsidRPr="00C6052E">
        <w:t xml:space="preserve"> </w:t>
      </w:r>
      <w:r w:rsidRPr="00C6052E">
        <w:t>and</w:t>
      </w:r>
      <w:r w:rsidR="00177848" w:rsidRPr="00C6052E">
        <w:t xml:space="preserve"> </w:t>
      </w:r>
      <w:r w:rsidRPr="00C6052E">
        <w:t>health</w:t>
      </w:r>
      <w:r w:rsidR="00177848" w:rsidRPr="00C6052E">
        <w:t xml:space="preserve"> </w:t>
      </w:r>
      <w:r w:rsidRPr="00C6052E">
        <w:t>technologies.</w:t>
      </w:r>
    </w:p>
    <w:p w14:paraId="5A4F864C" w14:textId="1C048857" w:rsidR="00EE5BB8" w:rsidRPr="00C6052E" w:rsidRDefault="00EE5BB8" w:rsidP="00EE5BB8">
      <w:pPr>
        <w:pStyle w:val="Heading4"/>
      </w:pPr>
      <w:r w:rsidRPr="00C6052E">
        <w:t>mRNA</w:t>
      </w:r>
      <w:r w:rsidR="00177848" w:rsidRPr="00C6052E">
        <w:t xml:space="preserve"> </w:t>
      </w:r>
      <w:r w:rsidRPr="00C6052E">
        <w:t>Victoria</w:t>
      </w:r>
      <w:r w:rsidR="00177848" w:rsidRPr="00C6052E">
        <w:t xml:space="preserve"> </w:t>
      </w:r>
    </w:p>
    <w:p w14:paraId="37DFF0C5" w14:textId="6469A277" w:rsidR="00EE5BB8" w:rsidRPr="00C6052E" w:rsidRDefault="00EE5BB8" w:rsidP="00EE5BB8">
      <w:r w:rsidRPr="00C6052E">
        <w:t>Through</w:t>
      </w:r>
      <w:r w:rsidR="00177848" w:rsidRPr="00C6052E">
        <w:t xml:space="preserve"> </w:t>
      </w:r>
      <w:r w:rsidRPr="00C6052E">
        <w:t>mRNA</w:t>
      </w:r>
      <w:r w:rsidR="00177848" w:rsidRPr="00C6052E">
        <w:t xml:space="preserve"> </w:t>
      </w:r>
      <w:r w:rsidRPr="00C6052E">
        <w:t>Victoria,</w:t>
      </w:r>
      <w:r w:rsidR="00177848" w:rsidRPr="00C6052E">
        <w:t xml:space="preserve"> </w:t>
      </w:r>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continues</w:t>
      </w:r>
      <w:r w:rsidR="00177848" w:rsidRPr="00C6052E">
        <w:t xml:space="preserve"> </w:t>
      </w:r>
      <w:r w:rsidRPr="00C6052E">
        <w:t>to</w:t>
      </w:r>
      <w:r w:rsidR="00177848" w:rsidRPr="00C6052E">
        <w:t xml:space="preserve"> </w:t>
      </w:r>
      <w:r w:rsidRPr="00C6052E">
        <w:t>deliver</w:t>
      </w:r>
      <w:r w:rsidR="00177848" w:rsidRPr="00C6052E">
        <w:t xml:space="preserve"> </w:t>
      </w:r>
      <w:r w:rsidRPr="00C6052E">
        <w:t>significant</w:t>
      </w:r>
      <w:r w:rsidR="00177848" w:rsidRPr="00C6052E">
        <w:t xml:space="preserve"> </w:t>
      </w:r>
      <w:r w:rsidRPr="00C6052E">
        <w:t>manufacturing</w:t>
      </w:r>
      <w:r w:rsidR="00177848" w:rsidRPr="00C6052E">
        <w:t xml:space="preserve"> </w:t>
      </w:r>
      <w:r w:rsidRPr="00C6052E">
        <w:t>and</w:t>
      </w:r>
      <w:r w:rsidR="00177848" w:rsidRPr="00C6052E">
        <w:t xml:space="preserve"> </w:t>
      </w:r>
      <w:r w:rsidRPr="00C6052E">
        <w:t>research</w:t>
      </w:r>
      <w:r w:rsidR="00177848" w:rsidRPr="00C6052E">
        <w:t xml:space="preserve"> </w:t>
      </w:r>
      <w:r w:rsidRPr="00C6052E">
        <w:t>and</w:t>
      </w:r>
      <w:r w:rsidR="00177848" w:rsidRPr="00C6052E">
        <w:t xml:space="preserve"> </w:t>
      </w:r>
      <w:r w:rsidRPr="00C6052E">
        <w:t>development</w:t>
      </w:r>
      <w:r w:rsidR="00177848" w:rsidRPr="00C6052E">
        <w:t xml:space="preserve"> </w:t>
      </w:r>
      <w:r w:rsidRPr="00C6052E">
        <w:t>focused</w:t>
      </w:r>
      <w:r w:rsidR="00177848" w:rsidRPr="00C6052E">
        <w:t xml:space="preserve"> </w:t>
      </w:r>
      <w:r w:rsidRPr="00C6052E">
        <w:t>partnerships</w:t>
      </w:r>
      <w:r w:rsidR="00177848" w:rsidRPr="00C6052E">
        <w:t xml:space="preserve"> </w:t>
      </w:r>
      <w:r w:rsidRPr="00C6052E">
        <w:t>with</w:t>
      </w:r>
      <w:r w:rsidR="00177848" w:rsidRPr="00C6052E">
        <w:t xml:space="preserve"> </w:t>
      </w:r>
      <w:r w:rsidRPr="00C6052E">
        <w:t>global</w:t>
      </w:r>
      <w:r w:rsidR="00177848" w:rsidRPr="00C6052E">
        <w:t xml:space="preserve"> </w:t>
      </w:r>
      <w:r w:rsidRPr="00C6052E">
        <w:t>mRNA</w:t>
      </w:r>
      <w:r w:rsidR="00177848" w:rsidRPr="00C6052E">
        <w:t xml:space="preserve"> </w:t>
      </w:r>
      <w:r w:rsidRPr="00C6052E">
        <w:t>biotechnology</w:t>
      </w:r>
      <w:r w:rsidR="00177848" w:rsidRPr="00C6052E">
        <w:t xml:space="preserve"> </w:t>
      </w:r>
      <w:r w:rsidRPr="00C6052E">
        <w:t>leaders</w:t>
      </w:r>
      <w:r w:rsidR="00177848" w:rsidRPr="00C6052E">
        <w:t xml:space="preserve"> </w:t>
      </w:r>
      <w:r w:rsidRPr="00C6052E">
        <w:t>Moderna</w:t>
      </w:r>
      <w:r w:rsidR="00177848" w:rsidRPr="00C6052E">
        <w:t xml:space="preserve"> </w:t>
      </w:r>
      <w:r w:rsidRPr="00C6052E">
        <w:t>and</w:t>
      </w:r>
      <w:r w:rsidR="00177848" w:rsidRPr="00C6052E">
        <w:t xml:space="preserve"> </w:t>
      </w:r>
      <w:r w:rsidRPr="00C6052E">
        <w:t>BioNTech,</w:t>
      </w:r>
      <w:r w:rsidR="00177848" w:rsidRPr="00C6052E">
        <w:t xml:space="preserve"> </w:t>
      </w:r>
      <w:r w:rsidRPr="00C6052E">
        <w:t>as</w:t>
      </w:r>
      <w:r w:rsidR="00177848" w:rsidRPr="00C6052E">
        <w:t xml:space="preserve"> </w:t>
      </w:r>
      <w:r w:rsidRPr="00C6052E">
        <w:t>well</w:t>
      </w:r>
      <w:r w:rsidR="00177848" w:rsidRPr="00C6052E">
        <w:t xml:space="preserve"> </w:t>
      </w:r>
      <w:r w:rsidRPr="00C6052E">
        <w:t>as</w:t>
      </w:r>
      <w:r w:rsidR="00177848" w:rsidRPr="00C6052E">
        <w:t xml:space="preserve"> </w:t>
      </w:r>
      <w:r w:rsidRPr="00C6052E">
        <w:t>a</w:t>
      </w:r>
      <w:r w:rsidR="00177848" w:rsidRPr="00C6052E">
        <w:t xml:space="preserve"> </w:t>
      </w:r>
      <w:r w:rsidRPr="00C6052E">
        <w:t>range</w:t>
      </w:r>
      <w:r w:rsidR="00177848" w:rsidRPr="00C6052E">
        <w:t xml:space="preserve"> </w:t>
      </w:r>
      <w:r w:rsidRPr="00C6052E">
        <w:t>of</w:t>
      </w:r>
      <w:r w:rsidR="00177848" w:rsidRPr="00C6052E">
        <w:t xml:space="preserve"> </w:t>
      </w:r>
      <w:r w:rsidRPr="00C6052E">
        <w:t>other</w:t>
      </w:r>
      <w:r w:rsidR="00177848" w:rsidRPr="00C6052E">
        <w:t xml:space="preserve"> </w:t>
      </w:r>
      <w:r w:rsidRPr="00C6052E">
        <w:t>initiatives</w:t>
      </w:r>
      <w:r w:rsidR="00177848" w:rsidRPr="00C6052E">
        <w:t xml:space="preserve"> </w:t>
      </w:r>
      <w:r w:rsidRPr="00C6052E">
        <w:t>to</w:t>
      </w:r>
      <w:r w:rsidR="00177848" w:rsidRPr="00C6052E">
        <w:t xml:space="preserve"> </w:t>
      </w:r>
      <w:r w:rsidRPr="00C6052E">
        <w:t>cement</w:t>
      </w:r>
      <w:r w:rsidR="00177848" w:rsidRPr="00C6052E">
        <w:t xml:space="preserve"> </w:t>
      </w:r>
      <w:r w:rsidRPr="00C6052E">
        <w:t>Victoria</w:t>
      </w:r>
      <w:r w:rsidR="00177848" w:rsidRPr="00C6052E">
        <w:t xml:space="preserve"> </w:t>
      </w:r>
      <w:r w:rsidRPr="00C6052E">
        <w:t>as</w:t>
      </w:r>
      <w:r w:rsidR="00177848" w:rsidRPr="00C6052E">
        <w:t xml:space="preserve"> </w:t>
      </w:r>
      <w:r w:rsidRPr="00C6052E">
        <w:t>a</w:t>
      </w:r>
      <w:r w:rsidR="00177848" w:rsidRPr="00C6052E">
        <w:t xml:space="preserve"> </w:t>
      </w:r>
      <w:r w:rsidRPr="00C6052E">
        <w:t>leader</w:t>
      </w:r>
      <w:r w:rsidR="00177848" w:rsidRPr="00C6052E">
        <w:t xml:space="preserve"> </w:t>
      </w:r>
      <w:r w:rsidRPr="00C6052E">
        <w:t>in</w:t>
      </w:r>
      <w:r w:rsidR="00177848" w:rsidRPr="00C6052E">
        <w:t xml:space="preserve"> </w:t>
      </w:r>
      <w:r w:rsidRPr="00C6052E">
        <w:t>mRNA</w:t>
      </w:r>
      <w:r w:rsidR="00177848" w:rsidRPr="00C6052E">
        <w:t xml:space="preserve"> </w:t>
      </w:r>
      <w:r w:rsidRPr="00C6052E">
        <w:t>innovation.</w:t>
      </w:r>
    </w:p>
    <w:p w14:paraId="25248345" w14:textId="0F331D3D" w:rsidR="00EE5BB8" w:rsidRPr="00C6052E" w:rsidRDefault="00EE5BB8" w:rsidP="00EE5BB8">
      <w:r w:rsidRPr="00C6052E">
        <w:t>Under</w:t>
      </w:r>
      <w:r w:rsidR="00177848" w:rsidRPr="00C6052E">
        <w:t xml:space="preserve"> </w:t>
      </w:r>
      <w:r w:rsidRPr="00C6052E">
        <w:t>a</w:t>
      </w:r>
      <w:r w:rsidR="00177848" w:rsidRPr="00C6052E">
        <w:t xml:space="preserve"> </w:t>
      </w:r>
      <w:r w:rsidRPr="00C6052E">
        <w:t>10-year</w:t>
      </w:r>
      <w:r w:rsidR="00177848" w:rsidRPr="00C6052E">
        <w:t xml:space="preserve"> </w:t>
      </w:r>
      <w:r w:rsidRPr="00C6052E">
        <w:t>partnership</w:t>
      </w:r>
      <w:r w:rsidR="00177848" w:rsidRPr="00C6052E">
        <w:t xml:space="preserve"> </w:t>
      </w:r>
      <w:r w:rsidRPr="00C6052E">
        <w:t>with</w:t>
      </w:r>
      <w:r w:rsidR="00177848" w:rsidRPr="00C6052E">
        <w:t xml:space="preserve"> </w:t>
      </w:r>
      <w:r w:rsidRPr="00C6052E">
        <w:t>Victoria,</w:t>
      </w:r>
      <w:r w:rsidR="00177848" w:rsidRPr="00C6052E">
        <w:t xml:space="preserve"> </w:t>
      </w:r>
      <w:r w:rsidRPr="00C6052E">
        <w:t>BioNTech</w:t>
      </w:r>
      <w:r w:rsidR="00177848" w:rsidRPr="00C6052E">
        <w:t xml:space="preserve"> </w:t>
      </w:r>
      <w:r w:rsidRPr="00C6052E">
        <w:t>is</w:t>
      </w:r>
      <w:r w:rsidR="00177848" w:rsidRPr="00C6052E">
        <w:t xml:space="preserve"> </w:t>
      </w:r>
      <w:r w:rsidRPr="00C6052E">
        <w:t>establishing</w:t>
      </w:r>
      <w:r w:rsidR="00177848" w:rsidRPr="00C6052E">
        <w:t xml:space="preserve"> </w:t>
      </w:r>
      <w:r w:rsidRPr="00C6052E">
        <w:t>a</w:t>
      </w:r>
      <w:r w:rsidR="00177848" w:rsidRPr="00C6052E">
        <w:t xml:space="preserve"> </w:t>
      </w:r>
      <w:r w:rsidRPr="00C6052E">
        <w:t>clinical-scale</w:t>
      </w:r>
      <w:r w:rsidR="00177848" w:rsidRPr="00C6052E">
        <w:t xml:space="preserve"> </w:t>
      </w:r>
      <w:r w:rsidRPr="00C6052E">
        <w:t>mRNA</w:t>
      </w:r>
      <w:r w:rsidR="00177848" w:rsidRPr="00C6052E">
        <w:t xml:space="preserve"> </w:t>
      </w:r>
      <w:r w:rsidRPr="00C6052E">
        <w:t>manufacturing</w:t>
      </w:r>
      <w:r w:rsidR="00177848" w:rsidRPr="00C6052E">
        <w:t xml:space="preserve"> </w:t>
      </w:r>
      <w:r w:rsidRPr="00C6052E">
        <w:t>facility</w:t>
      </w:r>
      <w:r w:rsidR="00177848" w:rsidRPr="00C6052E">
        <w:t xml:space="preserve"> </w:t>
      </w:r>
      <w:r w:rsidRPr="00C6052E">
        <w:t>at</w:t>
      </w:r>
      <w:r w:rsidR="00177848" w:rsidRPr="00C6052E">
        <w:t xml:space="preserve"> </w:t>
      </w:r>
      <w:r w:rsidRPr="00C6052E">
        <w:t>La</w:t>
      </w:r>
      <w:r w:rsidR="00177848" w:rsidRPr="00C6052E">
        <w:t xml:space="preserve"> </w:t>
      </w:r>
      <w:r w:rsidRPr="00C6052E">
        <w:t>Trobe</w:t>
      </w:r>
      <w:r w:rsidR="00177848" w:rsidRPr="00C6052E">
        <w:t xml:space="preserve"> </w:t>
      </w:r>
      <w:r w:rsidRPr="00C6052E">
        <w:t>University’s</w:t>
      </w:r>
      <w:r w:rsidR="00177848" w:rsidRPr="00C6052E">
        <w:t xml:space="preserve"> </w:t>
      </w:r>
      <w:r w:rsidRPr="00C6052E">
        <w:t>Bundoora</w:t>
      </w:r>
      <w:r w:rsidR="00177848" w:rsidRPr="00C6052E">
        <w:t xml:space="preserve"> </w:t>
      </w:r>
      <w:r w:rsidRPr="00C6052E">
        <w:t>campus</w:t>
      </w:r>
      <w:r w:rsidR="00177848" w:rsidRPr="00C6052E">
        <w:t xml:space="preserve"> </w:t>
      </w:r>
      <w:r w:rsidRPr="00C6052E">
        <w:t>and</w:t>
      </w:r>
      <w:r w:rsidR="00177848" w:rsidRPr="00C6052E">
        <w:t xml:space="preserve"> </w:t>
      </w:r>
      <w:r w:rsidRPr="00C6052E">
        <w:t>has</w:t>
      </w:r>
      <w:r w:rsidR="00177848" w:rsidRPr="00C6052E">
        <w:t xml:space="preserve"> </w:t>
      </w:r>
      <w:r w:rsidRPr="00C6052E">
        <w:t>opened</w:t>
      </w:r>
      <w:r w:rsidR="00177848" w:rsidRPr="00C6052E">
        <w:t xml:space="preserve"> </w:t>
      </w:r>
      <w:r w:rsidRPr="00C6052E">
        <w:t>BioNTech’s</w:t>
      </w:r>
      <w:r w:rsidR="00177848" w:rsidRPr="00C6052E">
        <w:t xml:space="preserve"> </w:t>
      </w:r>
      <w:r w:rsidRPr="00C6052E">
        <w:t>Australian</w:t>
      </w:r>
      <w:r w:rsidR="00177848" w:rsidRPr="00C6052E">
        <w:t xml:space="preserve"> </w:t>
      </w:r>
      <w:r w:rsidRPr="00C6052E">
        <w:t>Headquarters</w:t>
      </w:r>
      <w:r w:rsidR="00177848" w:rsidRPr="00C6052E">
        <w:t xml:space="preserve"> </w:t>
      </w:r>
      <w:r w:rsidRPr="00C6052E">
        <w:t>and</w:t>
      </w:r>
      <w:r w:rsidR="00177848" w:rsidRPr="00C6052E">
        <w:t xml:space="preserve"> </w:t>
      </w:r>
      <w:r w:rsidRPr="00C6052E">
        <w:t>Innovation</w:t>
      </w:r>
      <w:r w:rsidR="00177848" w:rsidRPr="00C6052E">
        <w:t xml:space="preserve"> </w:t>
      </w:r>
      <w:r w:rsidRPr="00C6052E">
        <w:t>Centre</w:t>
      </w:r>
      <w:r w:rsidR="00177848" w:rsidRPr="00C6052E">
        <w:t xml:space="preserve"> </w:t>
      </w:r>
      <w:r w:rsidRPr="00C6052E">
        <w:t>in</w:t>
      </w:r>
      <w:r w:rsidR="00177848" w:rsidRPr="00C6052E">
        <w:t xml:space="preserve"> </w:t>
      </w:r>
      <w:r w:rsidRPr="00C6052E">
        <w:t>Melbourne.</w:t>
      </w:r>
      <w:r w:rsidR="00177848" w:rsidRPr="00C6052E">
        <w:t xml:space="preserve"> </w:t>
      </w:r>
      <w:r w:rsidRPr="00C6052E">
        <w:t>BioNTech</w:t>
      </w:r>
      <w:r w:rsidR="00177848" w:rsidRPr="00C6052E">
        <w:t xml:space="preserve"> </w:t>
      </w:r>
      <w:r w:rsidRPr="00C6052E">
        <w:t>is</w:t>
      </w:r>
      <w:r w:rsidR="00177848" w:rsidRPr="00C6052E">
        <w:t xml:space="preserve"> </w:t>
      </w:r>
      <w:r w:rsidRPr="00C6052E">
        <w:t>also</w:t>
      </w:r>
      <w:r w:rsidR="00177848" w:rsidRPr="00C6052E">
        <w:t xml:space="preserve"> </w:t>
      </w:r>
      <w:r w:rsidRPr="00C6052E">
        <w:t>delivering</w:t>
      </w:r>
      <w:r w:rsidR="00177848" w:rsidRPr="00C6052E">
        <w:t xml:space="preserve"> </w:t>
      </w:r>
      <w:r w:rsidRPr="00C6052E">
        <w:t>a</w:t>
      </w:r>
      <w:r w:rsidR="00177848" w:rsidRPr="00C6052E">
        <w:t xml:space="preserve"> </w:t>
      </w:r>
      <w:r w:rsidRPr="00C6052E">
        <w:t>10-year</w:t>
      </w:r>
      <w:r w:rsidR="00177848" w:rsidRPr="00C6052E">
        <w:t xml:space="preserve"> </w:t>
      </w:r>
      <w:r w:rsidRPr="00C6052E">
        <w:t>cancer</w:t>
      </w:r>
      <w:r w:rsidR="00177848" w:rsidRPr="00C6052E">
        <w:t xml:space="preserve"> </w:t>
      </w:r>
      <w:r w:rsidRPr="00C6052E">
        <w:t>clinical</w:t>
      </w:r>
      <w:r w:rsidR="00177848" w:rsidRPr="00C6052E">
        <w:t xml:space="preserve"> </w:t>
      </w:r>
      <w:r w:rsidRPr="00C6052E">
        <w:t>trial</w:t>
      </w:r>
      <w:r w:rsidR="00177848" w:rsidRPr="00C6052E">
        <w:t xml:space="preserve"> </w:t>
      </w:r>
      <w:r w:rsidRPr="00C6052E">
        <w:t>program,</w:t>
      </w:r>
      <w:r w:rsidR="00177848" w:rsidRPr="00C6052E">
        <w:t xml:space="preserve"> </w:t>
      </w:r>
      <w:r w:rsidRPr="00C6052E">
        <w:t>helping</w:t>
      </w:r>
      <w:r w:rsidR="00177848" w:rsidRPr="00C6052E">
        <w:t xml:space="preserve"> </w:t>
      </w:r>
      <w:r w:rsidRPr="00C6052E">
        <w:t>strengthen</w:t>
      </w:r>
      <w:r w:rsidR="00177848" w:rsidRPr="00C6052E">
        <w:t xml:space="preserve"> </w:t>
      </w:r>
      <w:r w:rsidRPr="00C6052E">
        <w:t>Victoria’s</w:t>
      </w:r>
      <w:r w:rsidR="00177848" w:rsidRPr="00C6052E">
        <w:t xml:space="preserve"> </w:t>
      </w:r>
      <w:r w:rsidRPr="00C6052E">
        <w:t>standing</w:t>
      </w:r>
      <w:r w:rsidR="00177848" w:rsidRPr="00C6052E">
        <w:t xml:space="preserve"> </w:t>
      </w:r>
      <w:r w:rsidRPr="00C6052E">
        <w:t>at</w:t>
      </w:r>
      <w:r w:rsidR="00177848" w:rsidRPr="00C6052E">
        <w:t xml:space="preserve"> </w:t>
      </w:r>
      <w:r w:rsidRPr="00C6052E">
        <w:t>the</w:t>
      </w:r>
      <w:r w:rsidR="00177848" w:rsidRPr="00C6052E">
        <w:t xml:space="preserve"> </w:t>
      </w:r>
      <w:r w:rsidRPr="00C6052E">
        <w:t>forefront</w:t>
      </w:r>
      <w:r w:rsidR="00177848" w:rsidRPr="00C6052E">
        <w:t xml:space="preserve"> </w:t>
      </w:r>
      <w:r w:rsidRPr="00C6052E">
        <w:t>of</w:t>
      </w:r>
      <w:r w:rsidR="00177848" w:rsidRPr="00C6052E">
        <w:t xml:space="preserve"> </w:t>
      </w:r>
      <w:r w:rsidRPr="00C6052E">
        <w:t>mRNA</w:t>
      </w:r>
      <w:r w:rsidR="00177848" w:rsidRPr="00C6052E">
        <w:t xml:space="preserve"> </w:t>
      </w:r>
      <w:r w:rsidRPr="00C6052E">
        <w:t>research</w:t>
      </w:r>
      <w:r w:rsidR="00177848" w:rsidRPr="00C6052E">
        <w:t xml:space="preserve"> </w:t>
      </w:r>
      <w:r w:rsidRPr="00C6052E">
        <w:t>and</w:t>
      </w:r>
      <w:r w:rsidR="00177848" w:rsidRPr="00C6052E">
        <w:t xml:space="preserve"> </w:t>
      </w:r>
      <w:r w:rsidRPr="00C6052E">
        <w:t>clinical</w:t>
      </w:r>
      <w:r w:rsidR="00177848" w:rsidRPr="00C6052E">
        <w:t xml:space="preserve"> </w:t>
      </w:r>
      <w:r w:rsidRPr="00C6052E">
        <w:t>trials.</w:t>
      </w:r>
    </w:p>
    <w:p w14:paraId="04CCAF68" w14:textId="6633397E" w:rsidR="00EE5BB8" w:rsidRPr="00C6052E" w:rsidRDefault="00EE5BB8" w:rsidP="00EE5BB8">
      <w:r w:rsidRPr="00C6052E">
        <w:t>The</w:t>
      </w:r>
      <w:r w:rsidR="00177848" w:rsidRPr="00C6052E">
        <w:t xml:space="preserve"> </w:t>
      </w:r>
      <w:r w:rsidRPr="00C6052E">
        <w:t>Australian</w:t>
      </w:r>
      <w:r w:rsidR="00177848" w:rsidRPr="00C6052E">
        <w:t xml:space="preserve"> </w:t>
      </w:r>
      <w:r w:rsidRPr="00C6052E">
        <w:t>Centre</w:t>
      </w:r>
      <w:r w:rsidR="00177848" w:rsidRPr="00C6052E">
        <w:t xml:space="preserve"> </w:t>
      </w:r>
      <w:r w:rsidRPr="00C6052E">
        <w:t>for</w:t>
      </w:r>
      <w:r w:rsidR="00177848" w:rsidRPr="00C6052E">
        <w:t xml:space="preserve"> </w:t>
      </w:r>
      <w:r w:rsidRPr="00C6052E">
        <w:t>Artificial</w:t>
      </w:r>
      <w:r w:rsidR="00177848" w:rsidRPr="00C6052E">
        <w:t xml:space="preserve"> </w:t>
      </w:r>
      <w:r w:rsidRPr="00C6052E">
        <w:t>Intelligence</w:t>
      </w:r>
      <w:r w:rsidR="00177848" w:rsidRPr="00C6052E">
        <w:t xml:space="preserve"> </w:t>
      </w:r>
      <w:r w:rsidRPr="00C6052E">
        <w:t>in</w:t>
      </w:r>
      <w:r w:rsidR="00177848" w:rsidRPr="00C6052E">
        <w:t xml:space="preserve"> </w:t>
      </w:r>
      <w:r w:rsidRPr="00C6052E">
        <w:t>Medical</w:t>
      </w:r>
      <w:r w:rsidR="00177848" w:rsidRPr="00C6052E">
        <w:t xml:space="preserve"> </w:t>
      </w:r>
      <w:r w:rsidRPr="00C6052E">
        <w:t>Innovation</w:t>
      </w:r>
      <w:r w:rsidR="00177848" w:rsidRPr="00C6052E">
        <w:t xml:space="preserve"> </w:t>
      </w:r>
      <w:r w:rsidRPr="00C6052E">
        <w:t>(ACAMI)</w:t>
      </w:r>
      <w:r w:rsidR="00177848" w:rsidRPr="00C6052E">
        <w:t xml:space="preserve"> </w:t>
      </w:r>
      <w:r w:rsidRPr="00C6052E">
        <w:t>was</w:t>
      </w:r>
      <w:r w:rsidR="00177848" w:rsidRPr="00C6052E">
        <w:t xml:space="preserve"> </w:t>
      </w:r>
      <w:r w:rsidRPr="00C6052E">
        <w:t>launched</w:t>
      </w:r>
      <w:r w:rsidR="00177848" w:rsidRPr="00C6052E">
        <w:t xml:space="preserve"> </w:t>
      </w:r>
      <w:r w:rsidRPr="00C6052E">
        <w:t>in</w:t>
      </w:r>
      <w:r w:rsidR="00177848" w:rsidRPr="00C6052E">
        <w:t xml:space="preserve"> </w:t>
      </w:r>
      <w:r w:rsidRPr="00C6052E">
        <w:t>partnership</w:t>
      </w:r>
      <w:r w:rsidR="00177848" w:rsidRPr="00C6052E">
        <w:t xml:space="preserve"> </w:t>
      </w:r>
      <w:r w:rsidRPr="00C6052E">
        <w:t>with</w:t>
      </w:r>
      <w:r w:rsidR="00177848" w:rsidRPr="00C6052E">
        <w:t xml:space="preserve"> </w:t>
      </w:r>
      <w:r w:rsidRPr="00C6052E">
        <w:t>La</w:t>
      </w:r>
      <w:r w:rsidR="00177848" w:rsidRPr="00C6052E">
        <w:t xml:space="preserve"> </w:t>
      </w:r>
      <w:r w:rsidRPr="00C6052E">
        <w:t>Trobe</w:t>
      </w:r>
      <w:r w:rsidR="00177848" w:rsidRPr="00C6052E">
        <w:t xml:space="preserve"> </w:t>
      </w:r>
      <w:r w:rsidRPr="00C6052E">
        <w:t>University.</w:t>
      </w:r>
      <w:r w:rsidR="00177848" w:rsidRPr="00C6052E">
        <w:t xml:space="preserve"> </w:t>
      </w:r>
      <w:r w:rsidRPr="00C6052E">
        <w:t>It</w:t>
      </w:r>
      <w:r w:rsidR="00177848" w:rsidRPr="00C6052E">
        <w:t xml:space="preserve"> </w:t>
      </w:r>
      <w:r w:rsidRPr="00C6052E">
        <w:t>specialises</w:t>
      </w:r>
      <w:r w:rsidR="00177848" w:rsidRPr="00C6052E">
        <w:t xml:space="preserve"> </w:t>
      </w:r>
      <w:r w:rsidRPr="00C6052E">
        <w:t>in</w:t>
      </w:r>
      <w:r w:rsidR="00177848" w:rsidRPr="00C6052E">
        <w:t xml:space="preserve"> </w:t>
      </w:r>
      <w:r w:rsidRPr="00C6052E">
        <w:t>the</w:t>
      </w:r>
      <w:r w:rsidR="00177848" w:rsidRPr="00C6052E">
        <w:t xml:space="preserve"> </w:t>
      </w:r>
      <w:r w:rsidRPr="00C6052E">
        <w:t>application</w:t>
      </w:r>
      <w:r w:rsidR="00177848" w:rsidRPr="00C6052E">
        <w:t xml:space="preserve"> </w:t>
      </w:r>
      <w:r w:rsidRPr="00C6052E">
        <w:t>of</w:t>
      </w:r>
      <w:r w:rsidR="00177848" w:rsidRPr="00C6052E">
        <w:t xml:space="preserve"> </w:t>
      </w:r>
      <w:r w:rsidRPr="00C6052E">
        <w:t>artificial</w:t>
      </w:r>
      <w:r w:rsidR="00177848" w:rsidRPr="00C6052E">
        <w:t xml:space="preserve"> </w:t>
      </w:r>
      <w:r w:rsidRPr="00C6052E">
        <w:t>intelligence</w:t>
      </w:r>
      <w:r w:rsidR="00177848" w:rsidRPr="00C6052E">
        <w:t xml:space="preserve"> </w:t>
      </w:r>
      <w:r w:rsidRPr="00C6052E">
        <w:t>(AI)</w:t>
      </w:r>
      <w:r w:rsidR="00177848" w:rsidRPr="00C6052E">
        <w:t xml:space="preserve"> </w:t>
      </w:r>
      <w:r w:rsidRPr="00C6052E">
        <w:t>to</w:t>
      </w:r>
      <w:r w:rsidR="00177848" w:rsidRPr="00C6052E">
        <w:t xml:space="preserve"> </w:t>
      </w:r>
      <w:r w:rsidRPr="00C6052E">
        <w:t>accelerate</w:t>
      </w:r>
      <w:r w:rsidR="00177848" w:rsidRPr="00C6052E">
        <w:t xml:space="preserve"> </w:t>
      </w:r>
      <w:r w:rsidRPr="00C6052E">
        <w:t>medical</w:t>
      </w:r>
      <w:r w:rsidR="00177848" w:rsidRPr="00C6052E">
        <w:t xml:space="preserve"> </w:t>
      </w:r>
      <w:r w:rsidRPr="00C6052E">
        <w:t>innovation,</w:t>
      </w:r>
      <w:r w:rsidR="00177848" w:rsidRPr="00C6052E">
        <w:t xml:space="preserve"> </w:t>
      </w:r>
      <w:r w:rsidRPr="00C6052E">
        <w:t>enhancing</w:t>
      </w:r>
      <w:r w:rsidR="00177848" w:rsidRPr="00C6052E">
        <w:t xml:space="preserve"> </w:t>
      </w:r>
      <w:r w:rsidRPr="00C6052E">
        <w:t>clinical</w:t>
      </w:r>
      <w:r w:rsidR="00177848" w:rsidRPr="00C6052E">
        <w:t xml:space="preserve"> </w:t>
      </w:r>
      <w:r w:rsidRPr="00C6052E">
        <w:t>trial</w:t>
      </w:r>
      <w:r w:rsidR="00177848" w:rsidRPr="00C6052E">
        <w:t xml:space="preserve"> </w:t>
      </w:r>
      <w:r w:rsidRPr="00C6052E">
        <w:t>delivery</w:t>
      </w:r>
      <w:r w:rsidR="00177848" w:rsidRPr="00C6052E">
        <w:t xml:space="preserve"> </w:t>
      </w:r>
      <w:r w:rsidRPr="00C6052E">
        <w:t>and</w:t>
      </w:r>
      <w:r w:rsidR="00177848" w:rsidRPr="00C6052E">
        <w:t xml:space="preserve"> </w:t>
      </w:r>
      <w:r w:rsidRPr="00C6052E">
        <w:t>supporting</w:t>
      </w:r>
      <w:r w:rsidR="00177848" w:rsidRPr="00C6052E">
        <w:t xml:space="preserve"> </w:t>
      </w:r>
      <w:r w:rsidRPr="00C6052E">
        <w:t>AI</w:t>
      </w:r>
      <w:r w:rsidR="00177848" w:rsidRPr="00C6052E">
        <w:t xml:space="preserve"> </w:t>
      </w:r>
      <w:r w:rsidRPr="00C6052E">
        <w:t>capability</w:t>
      </w:r>
      <w:r w:rsidR="00177848" w:rsidRPr="00C6052E">
        <w:t xml:space="preserve"> </w:t>
      </w:r>
      <w:r w:rsidRPr="00C6052E">
        <w:t>across</w:t>
      </w:r>
      <w:r w:rsidR="00177848" w:rsidRPr="00C6052E">
        <w:t xml:space="preserve"> </w:t>
      </w:r>
      <w:r w:rsidRPr="00C6052E">
        <w:t>the</w:t>
      </w:r>
      <w:r w:rsidR="00177848" w:rsidRPr="00C6052E">
        <w:t xml:space="preserve"> </w:t>
      </w:r>
      <w:r w:rsidRPr="00C6052E">
        <w:t>sector,</w:t>
      </w:r>
      <w:r w:rsidR="00177848" w:rsidRPr="00C6052E">
        <w:t xml:space="preserve"> </w:t>
      </w:r>
      <w:r w:rsidRPr="00C6052E">
        <w:t>powered</w:t>
      </w:r>
      <w:r w:rsidR="00177848" w:rsidRPr="00C6052E">
        <w:t xml:space="preserve"> </w:t>
      </w:r>
      <w:r w:rsidRPr="00C6052E">
        <w:t>by</w:t>
      </w:r>
      <w:r w:rsidR="00177848" w:rsidRPr="00C6052E">
        <w:t xml:space="preserve"> </w:t>
      </w:r>
      <w:r w:rsidRPr="00C6052E">
        <w:t>the</w:t>
      </w:r>
      <w:r w:rsidR="00177848" w:rsidRPr="00C6052E">
        <w:t xml:space="preserve"> </w:t>
      </w:r>
      <w:r w:rsidRPr="00C6052E">
        <w:t>first</w:t>
      </w:r>
      <w:r w:rsidR="00177848" w:rsidRPr="00C6052E">
        <w:t xml:space="preserve"> </w:t>
      </w:r>
      <w:r w:rsidRPr="00C6052E">
        <w:t>AI</w:t>
      </w:r>
      <w:r w:rsidR="00177848" w:rsidRPr="00C6052E">
        <w:t xml:space="preserve"> </w:t>
      </w:r>
      <w:r w:rsidRPr="00C6052E">
        <w:t>supercomputer</w:t>
      </w:r>
      <w:r w:rsidR="00177848" w:rsidRPr="00C6052E">
        <w:t xml:space="preserve"> </w:t>
      </w:r>
      <w:r w:rsidRPr="00C6052E">
        <w:t>of</w:t>
      </w:r>
      <w:r w:rsidR="00177848" w:rsidRPr="00C6052E">
        <w:t xml:space="preserve"> </w:t>
      </w:r>
      <w:r w:rsidRPr="00C6052E">
        <w:t>its</w:t>
      </w:r>
      <w:r w:rsidR="00177848" w:rsidRPr="00C6052E">
        <w:t xml:space="preserve"> </w:t>
      </w:r>
      <w:r w:rsidRPr="00C6052E">
        <w:t>kind</w:t>
      </w:r>
      <w:r w:rsidR="00177848" w:rsidRPr="00C6052E">
        <w:t xml:space="preserve"> </w:t>
      </w:r>
      <w:r w:rsidRPr="00C6052E">
        <w:t>in</w:t>
      </w:r>
      <w:r w:rsidR="00177848" w:rsidRPr="00C6052E">
        <w:t xml:space="preserve"> </w:t>
      </w:r>
      <w:r w:rsidRPr="00C6052E">
        <w:t>Australia</w:t>
      </w:r>
      <w:r w:rsidR="00177848" w:rsidRPr="00C6052E">
        <w:t xml:space="preserve"> </w:t>
      </w:r>
      <w:r w:rsidRPr="00C6052E">
        <w:t>which</w:t>
      </w:r>
      <w:r w:rsidR="00177848" w:rsidRPr="00C6052E">
        <w:t xml:space="preserve"> </w:t>
      </w:r>
      <w:r w:rsidRPr="00C6052E">
        <w:t>was</w:t>
      </w:r>
      <w:r w:rsidR="00177848" w:rsidRPr="00C6052E">
        <w:t xml:space="preserve"> </w:t>
      </w:r>
      <w:r w:rsidRPr="00C6052E">
        <w:t>switched</w:t>
      </w:r>
      <w:r w:rsidR="00177848" w:rsidRPr="00C6052E">
        <w:t xml:space="preserve"> </w:t>
      </w:r>
      <w:r w:rsidRPr="00C6052E">
        <w:t>on</w:t>
      </w:r>
      <w:r w:rsidR="00177848" w:rsidRPr="00C6052E">
        <w:t xml:space="preserve"> </w:t>
      </w:r>
      <w:r w:rsidRPr="00C6052E">
        <w:t>in</w:t>
      </w:r>
      <w:r w:rsidR="00177848" w:rsidRPr="00C6052E">
        <w:t xml:space="preserve"> </w:t>
      </w:r>
      <w:r w:rsidRPr="00C6052E">
        <w:t>June</w:t>
      </w:r>
      <w:r w:rsidR="00177848" w:rsidRPr="00C6052E">
        <w:t xml:space="preserve"> </w:t>
      </w:r>
      <w:r w:rsidRPr="00C6052E">
        <w:t>2025.</w:t>
      </w:r>
      <w:r w:rsidR="00177848" w:rsidRPr="00C6052E">
        <w:t xml:space="preserve"> </w:t>
      </w:r>
    </w:p>
    <w:p w14:paraId="3B71EB3E" w14:textId="461407A9" w:rsidR="00EE5BB8" w:rsidRPr="00C6052E" w:rsidRDefault="00EE5BB8" w:rsidP="00EE5BB8">
      <w:r w:rsidRPr="00C6052E">
        <w:rPr>
          <w:spacing w:val="-2"/>
        </w:rPr>
        <w:t>Further,</w:t>
      </w:r>
      <w:r w:rsidR="00177848" w:rsidRPr="00C6052E">
        <w:rPr>
          <w:spacing w:val="-2"/>
        </w:rPr>
        <w:t xml:space="preserve"> </w:t>
      </w:r>
      <w:r w:rsidRPr="00C6052E">
        <w:rPr>
          <w:spacing w:val="-2"/>
        </w:rPr>
        <w:t>mRNA</w:t>
      </w:r>
      <w:r w:rsidR="00177848" w:rsidRPr="00C6052E">
        <w:rPr>
          <w:spacing w:val="-2"/>
        </w:rPr>
        <w:t xml:space="preserve"> </w:t>
      </w:r>
      <w:r w:rsidRPr="00C6052E">
        <w:rPr>
          <w:spacing w:val="-2"/>
        </w:rPr>
        <w:t>Victoria</w:t>
      </w:r>
      <w:r w:rsidR="00177848" w:rsidRPr="00C6052E">
        <w:rPr>
          <w:spacing w:val="-2"/>
        </w:rPr>
        <w:t xml:space="preserve"> </w:t>
      </w:r>
      <w:r w:rsidRPr="00C6052E">
        <w:rPr>
          <w:spacing w:val="-2"/>
        </w:rPr>
        <w:t>opened</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Moderna</w:t>
      </w:r>
      <w:r w:rsidR="00177848" w:rsidRPr="00C6052E">
        <w:rPr>
          <w:spacing w:val="-2"/>
        </w:rPr>
        <w:t xml:space="preserve"> </w:t>
      </w:r>
      <w:r w:rsidRPr="00C6052E">
        <w:rPr>
          <w:spacing w:val="-2"/>
        </w:rPr>
        <w:t>Technology</w:t>
      </w:r>
      <w:r w:rsidR="00177848" w:rsidRPr="00C6052E">
        <w:t xml:space="preserve"> </w:t>
      </w:r>
      <w:r w:rsidRPr="00C6052E">
        <w:t>Centre</w:t>
      </w:r>
      <w:r w:rsidR="00177848" w:rsidRPr="00C6052E">
        <w:t xml:space="preserve"> </w:t>
      </w:r>
      <w:r w:rsidRPr="00C6052E">
        <w:t>–</w:t>
      </w:r>
      <w:r w:rsidR="00177848" w:rsidRPr="00C6052E">
        <w:t xml:space="preserve"> </w:t>
      </w:r>
      <w:r w:rsidRPr="00C6052E">
        <w:t>Melbourne</w:t>
      </w:r>
      <w:r w:rsidR="00177848" w:rsidRPr="00C6052E">
        <w:t xml:space="preserve"> </w:t>
      </w:r>
      <w:r w:rsidRPr="00C6052E">
        <w:t>in</w:t>
      </w:r>
      <w:r w:rsidR="00177848" w:rsidRPr="00C6052E">
        <w:t xml:space="preserve"> </w:t>
      </w:r>
      <w:r w:rsidRPr="00C6052E">
        <w:t>Clayton</w:t>
      </w:r>
      <w:r w:rsidR="00177848" w:rsidRPr="00C6052E">
        <w:t xml:space="preserve"> </w:t>
      </w:r>
      <w:r w:rsidRPr="00C6052E">
        <w:t>in</w:t>
      </w:r>
      <w:r w:rsidR="00177848" w:rsidRPr="00C6052E">
        <w:t xml:space="preserve"> </w:t>
      </w:r>
      <w:r w:rsidRPr="00C6052E">
        <w:t>December</w:t>
      </w:r>
      <w:r w:rsidR="00177848" w:rsidRPr="00C6052E">
        <w:t xml:space="preserve"> </w:t>
      </w:r>
      <w:r w:rsidRPr="00C6052E">
        <w:t>2024.</w:t>
      </w:r>
      <w:r w:rsidR="00177848" w:rsidRPr="00C6052E">
        <w:t xml:space="preserve"> </w:t>
      </w:r>
      <w:r w:rsidRPr="00C6052E">
        <w:t>The</w:t>
      </w:r>
      <w:r w:rsidR="00177848" w:rsidRPr="00C6052E">
        <w:t xml:space="preserve"> </w:t>
      </w:r>
      <w:r w:rsidRPr="00C6052E">
        <w:t>facility</w:t>
      </w:r>
      <w:r w:rsidR="00177848" w:rsidRPr="00C6052E">
        <w:t xml:space="preserve"> </w:t>
      </w:r>
      <w:r w:rsidRPr="00C6052E">
        <w:t>is</w:t>
      </w:r>
      <w:r w:rsidR="00177848" w:rsidRPr="00C6052E">
        <w:t xml:space="preserve"> </w:t>
      </w:r>
      <w:r w:rsidRPr="00C6052E">
        <w:t>the</w:t>
      </w:r>
      <w:r w:rsidR="00177848" w:rsidRPr="00C6052E">
        <w:t xml:space="preserve"> </w:t>
      </w:r>
      <w:r w:rsidRPr="00C6052E">
        <w:t>first</w:t>
      </w:r>
      <w:r w:rsidR="00177848" w:rsidRPr="00C6052E">
        <w:t xml:space="preserve"> </w:t>
      </w:r>
      <w:r w:rsidRPr="00C6052E">
        <w:t>population-scale</w:t>
      </w:r>
      <w:r w:rsidR="00177848" w:rsidRPr="00C6052E">
        <w:t xml:space="preserve"> </w:t>
      </w:r>
      <w:r w:rsidRPr="00C6052E">
        <w:t>mRNA</w:t>
      </w:r>
      <w:r w:rsidR="00177848" w:rsidRPr="00C6052E">
        <w:t xml:space="preserve"> </w:t>
      </w:r>
      <w:r w:rsidRPr="00C6052E">
        <w:t>manufacturing</w:t>
      </w:r>
      <w:r w:rsidR="00177848" w:rsidRPr="00C6052E">
        <w:t xml:space="preserve"> </w:t>
      </w:r>
      <w:r w:rsidRPr="00C6052E">
        <w:t>facility</w:t>
      </w:r>
      <w:r w:rsidR="00177848" w:rsidRPr="00C6052E">
        <w:t xml:space="preserve"> </w:t>
      </w:r>
      <w:r w:rsidRPr="00C6052E">
        <w:t>in</w:t>
      </w:r>
      <w:r w:rsidR="00177848" w:rsidRPr="00C6052E">
        <w:t xml:space="preserve"> </w:t>
      </w:r>
      <w:r w:rsidRPr="00C6052E">
        <w:t>the</w:t>
      </w:r>
      <w:r w:rsidR="00177848" w:rsidRPr="00C6052E">
        <w:t xml:space="preserve"> </w:t>
      </w:r>
      <w:r w:rsidRPr="00C6052E">
        <w:t>Southern</w:t>
      </w:r>
      <w:r w:rsidR="00177848" w:rsidRPr="00C6052E">
        <w:t xml:space="preserve"> </w:t>
      </w:r>
      <w:r w:rsidRPr="00C6052E">
        <w:t>Hemisphere,</w:t>
      </w:r>
      <w:r w:rsidR="00177848" w:rsidRPr="00C6052E">
        <w:t xml:space="preserve"> </w:t>
      </w:r>
      <w:r w:rsidRPr="00C6052E">
        <w:t>with</w:t>
      </w:r>
      <w:r w:rsidR="00177848" w:rsidRPr="00C6052E">
        <w:t xml:space="preserve"> </w:t>
      </w:r>
      <w:r w:rsidRPr="00C6052E">
        <w:t>capacity</w:t>
      </w:r>
      <w:r w:rsidR="00177848" w:rsidRPr="00C6052E">
        <w:t xml:space="preserve"> </w:t>
      </w:r>
      <w:r w:rsidRPr="00C6052E">
        <w:t>to</w:t>
      </w:r>
      <w:r w:rsidR="00177848" w:rsidRPr="00C6052E">
        <w:t xml:space="preserve"> </w:t>
      </w:r>
      <w:r w:rsidRPr="00C6052E">
        <w:t>produce</w:t>
      </w:r>
      <w:r w:rsidR="00177848" w:rsidRPr="00C6052E">
        <w:t xml:space="preserve"> </w:t>
      </w:r>
      <w:r w:rsidRPr="00C6052E">
        <w:t>up</w:t>
      </w:r>
      <w:r w:rsidR="00177848" w:rsidRPr="00C6052E">
        <w:t xml:space="preserve"> </w:t>
      </w:r>
      <w:r w:rsidRPr="00C6052E">
        <w:t>to</w:t>
      </w:r>
      <w:r w:rsidR="00177848" w:rsidRPr="00C6052E">
        <w:t xml:space="preserve"> </w:t>
      </w:r>
      <w:r w:rsidRPr="00C6052E">
        <w:t>100</w:t>
      </w:r>
      <w:r w:rsidR="00177848" w:rsidRPr="00C6052E">
        <w:t xml:space="preserve"> </w:t>
      </w:r>
      <w:r w:rsidRPr="00C6052E">
        <w:t>million</w:t>
      </w:r>
      <w:r w:rsidR="00177848" w:rsidRPr="00C6052E">
        <w:t xml:space="preserve"> </w:t>
      </w:r>
      <w:r w:rsidRPr="00C6052E">
        <w:t>vaccine</w:t>
      </w:r>
      <w:r w:rsidR="00177848" w:rsidRPr="00C6052E">
        <w:t xml:space="preserve"> </w:t>
      </w:r>
      <w:r w:rsidRPr="00C6052E">
        <w:t>doses</w:t>
      </w:r>
      <w:r w:rsidR="00177848" w:rsidRPr="00C6052E">
        <w:t xml:space="preserve"> </w:t>
      </w:r>
      <w:r w:rsidRPr="00C6052E">
        <w:t>each</w:t>
      </w:r>
      <w:r w:rsidR="00177848" w:rsidRPr="00C6052E">
        <w:t xml:space="preserve"> </w:t>
      </w:r>
      <w:r w:rsidRPr="00C6052E">
        <w:t>year.</w:t>
      </w:r>
      <w:r w:rsidR="00177848" w:rsidRPr="00C6052E">
        <w:t xml:space="preserve"> </w:t>
      </w:r>
      <w:r w:rsidRPr="00C6052E">
        <w:t>More</w:t>
      </w:r>
      <w:r w:rsidR="00177848" w:rsidRPr="00C6052E">
        <w:t xml:space="preserve"> </w:t>
      </w:r>
      <w:r w:rsidRPr="00C6052E">
        <w:t>than</w:t>
      </w:r>
      <w:r w:rsidR="00177848" w:rsidRPr="00C6052E">
        <w:t xml:space="preserve"> </w:t>
      </w:r>
      <w:r w:rsidRPr="00C6052E">
        <w:t>500</w:t>
      </w:r>
      <w:r w:rsidR="00177848" w:rsidRPr="00C6052E">
        <w:t xml:space="preserve"> </w:t>
      </w:r>
      <w:r w:rsidRPr="00C6052E">
        <w:t>jobs</w:t>
      </w:r>
      <w:r w:rsidR="00177848" w:rsidRPr="00C6052E">
        <w:t xml:space="preserve"> </w:t>
      </w:r>
      <w:r w:rsidRPr="00C6052E">
        <w:t>were</w:t>
      </w:r>
      <w:r w:rsidR="00177848" w:rsidRPr="00C6052E">
        <w:t xml:space="preserve"> </w:t>
      </w:r>
      <w:r w:rsidRPr="00C6052E">
        <w:t>supported</w:t>
      </w:r>
      <w:r w:rsidR="00177848" w:rsidRPr="00C6052E">
        <w:t xml:space="preserve"> </w:t>
      </w:r>
      <w:r w:rsidRPr="00C6052E">
        <w:t>during</w:t>
      </w:r>
      <w:r w:rsidR="00177848" w:rsidRPr="00C6052E">
        <w:t xml:space="preserve"> </w:t>
      </w:r>
      <w:r w:rsidRPr="00C6052E">
        <w:t>the</w:t>
      </w:r>
      <w:r w:rsidR="00177848" w:rsidRPr="00C6052E">
        <w:t xml:space="preserve"> </w:t>
      </w:r>
      <w:r w:rsidRPr="00C6052E">
        <w:t>construction</w:t>
      </w:r>
      <w:r w:rsidR="00177848" w:rsidRPr="00C6052E">
        <w:t xml:space="preserve"> </w:t>
      </w:r>
      <w:r w:rsidRPr="00C6052E">
        <w:t>phase,</w:t>
      </w:r>
      <w:r w:rsidR="00177848" w:rsidRPr="00C6052E">
        <w:t xml:space="preserve"> </w:t>
      </w:r>
      <w:r w:rsidRPr="00C6052E">
        <w:t>with</w:t>
      </w:r>
      <w:r w:rsidR="00177848" w:rsidRPr="00C6052E">
        <w:t xml:space="preserve"> </w:t>
      </w:r>
      <w:r w:rsidRPr="00C6052E">
        <w:t>more</w:t>
      </w:r>
      <w:r w:rsidR="00177848" w:rsidRPr="00C6052E">
        <w:t xml:space="preserve"> </w:t>
      </w:r>
      <w:r w:rsidRPr="00C6052E">
        <w:t>than</w:t>
      </w:r>
      <w:r w:rsidR="00177848" w:rsidRPr="00C6052E">
        <w:t xml:space="preserve"> </w:t>
      </w:r>
      <w:r w:rsidRPr="00C6052E">
        <w:t>140</w:t>
      </w:r>
      <w:r w:rsidR="00177848" w:rsidRPr="00C6052E">
        <w:t xml:space="preserve"> </w:t>
      </w:r>
      <w:r w:rsidRPr="00C6052E">
        <w:t>people</w:t>
      </w:r>
      <w:r w:rsidR="00177848" w:rsidRPr="00C6052E">
        <w:t xml:space="preserve"> </w:t>
      </w:r>
      <w:r w:rsidRPr="00C6052E">
        <w:t>currently</w:t>
      </w:r>
      <w:r w:rsidR="00177848" w:rsidRPr="00C6052E">
        <w:t xml:space="preserve"> </w:t>
      </w:r>
      <w:r w:rsidRPr="00C6052E">
        <w:t>employed</w:t>
      </w:r>
      <w:r w:rsidR="00177848" w:rsidRPr="00C6052E">
        <w:t xml:space="preserve"> </w:t>
      </w:r>
      <w:r w:rsidRPr="00C6052E">
        <w:t>by</w:t>
      </w:r>
      <w:r w:rsidR="00177848" w:rsidRPr="00C6052E">
        <w:t xml:space="preserve"> </w:t>
      </w:r>
      <w:r w:rsidRPr="00C6052E">
        <w:t>Moderna</w:t>
      </w:r>
      <w:r w:rsidR="00177848" w:rsidRPr="00C6052E">
        <w:t xml:space="preserve"> </w:t>
      </w:r>
      <w:r w:rsidRPr="00C6052E">
        <w:t>Australia.</w:t>
      </w:r>
    </w:p>
    <w:p w14:paraId="1C5A87C9" w14:textId="5931B8D5" w:rsidR="00EE5BB8" w:rsidRPr="00C6052E" w:rsidRDefault="00EE5BB8" w:rsidP="00EE5BB8">
      <w:pPr>
        <w:keepLines/>
      </w:pPr>
      <w:r w:rsidRPr="00C6052E">
        <w:t>The</w:t>
      </w:r>
      <w:r w:rsidR="00177848" w:rsidRPr="00C6052E">
        <w:t xml:space="preserve"> </w:t>
      </w:r>
      <w:r w:rsidRPr="00C6052E">
        <w:t>Monash</w:t>
      </w:r>
      <w:r w:rsidR="00177848" w:rsidRPr="00C6052E">
        <w:t xml:space="preserve"> </w:t>
      </w:r>
      <w:r w:rsidRPr="00C6052E">
        <w:t>mRNA</w:t>
      </w:r>
      <w:r w:rsidR="00177848" w:rsidRPr="00C6052E">
        <w:t xml:space="preserve"> </w:t>
      </w:r>
      <w:r w:rsidRPr="00C6052E">
        <w:t>Workforce</w:t>
      </w:r>
      <w:r w:rsidR="00177848" w:rsidRPr="00C6052E">
        <w:t xml:space="preserve"> </w:t>
      </w:r>
      <w:r w:rsidRPr="00C6052E">
        <w:t>Training</w:t>
      </w:r>
      <w:r w:rsidR="00177848" w:rsidRPr="00C6052E">
        <w:t xml:space="preserve"> </w:t>
      </w:r>
      <w:r w:rsidRPr="00C6052E">
        <w:t>Centre,</w:t>
      </w:r>
      <w:r w:rsidR="00177848" w:rsidRPr="00C6052E">
        <w:t xml:space="preserve"> </w:t>
      </w:r>
      <w:r w:rsidRPr="00C6052E">
        <w:t>Australia's</w:t>
      </w:r>
      <w:r w:rsidR="00177848" w:rsidRPr="00C6052E">
        <w:t xml:space="preserve"> </w:t>
      </w:r>
      <w:r w:rsidRPr="00C6052E">
        <w:t>first</w:t>
      </w:r>
      <w:r w:rsidR="00177848" w:rsidRPr="00C6052E">
        <w:t xml:space="preserve"> </w:t>
      </w:r>
      <w:r w:rsidRPr="00C6052E">
        <w:t>dedicated</w:t>
      </w:r>
      <w:r w:rsidR="00177848" w:rsidRPr="00C6052E">
        <w:t xml:space="preserve"> </w:t>
      </w:r>
      <w:r w:rsidRPr="00C6052E">
        <w:t>mRNA</w:t>
      </w:r>
      <w:r w:rsidR="00177848" w:rsidRPr="00C6052E">
        <w:t xml:space="preserve"> </w:t>
      </w:r>
      <w:r w:rsidRPr="00C6052E">
        <w:t>workforce</w:t>
      </w:r>
      <w:r w:rsidR="00177848" w:rsidRPr="00C6052E">
        <w:t xml:space="preserve"> </w:t>
      </w:r>
      <w:r w:rsidRPr="00C6052E">
        <w:t>training</w:t>
      </w:r>
      <w:r w:rsidR="00177848" w:rsidRPr="00C6052E">
        <w:t xml:space="preserve"> </w:t>
      </w:r>
      <w:r w:rsidRPr="00C6052E">
        <w:t>centre,</w:t>
      </w:r>
      <w:r w:rsidR="00177848" w:rsidRPr="00C6052E">
        <w:t xml:space="preserve"> </w:t>
      </w:r>
      <w:r w:rsidRPr="00C6052E">
        <w:t>is</w:t>
      </w:r>
      <w:r w:rsidR="00177848" w:rsidRPr="00C6052E">
        <w:t xml:space="preserve"> </w:t>
      </w:r>
      <w:r w:rsidRPr="00C6052E">
        <w:t>delivering</w:t>
      </w:r>
      <w:r w:rsidR="00177848" w:rsidRPr="00C6052E">
        <w:t xml:space="preserve"> </w:t>
      </w:r>
      <w:r w:rsidRPr="00C6052E">
        <w:t>training</w:t>
      </w:r>
      <w:r w:rsidR="00177848" w:rsidRPr="00C6052E">
        <w:t xml:space="preserve"> </w:t>
      </w:r>
      <w:r w:rsidRPr="00C6052E">
        <w:t>for</w:t>
      </w:r>
      <w:r w:rsidR="00177848" w:rsidRPr="00C6052E">
        <w:t xml:space="preserve"> </w:t>
      </w:r>
      <w:r w:rsidRPr="00C6052E">
        <w:t>the</w:t>
      </w:r>
      <w:r w:rsidR="00177848" w:rsidRPr="00C6052E">
        <w:t xml:space="preserve"> </w:t>
      </w:r>
      <w:r w:rsidRPr="00C6052E">
        <w:t>pharmaceutical</w:t>
      </w:r>
      <w:r w:rsidR="00177848" w:rsidRPr="00C6052E">
        <w:t xml:space="preserve"> </w:t>
      </w:r>
      <w:r w:rsidRPr="00C6052E">
        <w:t>industry</w:t>
      </w:r>
      <w:r w:rsidR="00177848" w:rsidRPr="00C6052E">
        <w:t xml:space="preserve"> </w:t>
      </w:r>
      <w:r w:rsidRPr="00C6052E">
        <w:t>through</w:t>
      </w:r>
      <w:r w:rsidR="00177848" w:rsidRPr="00C6052E">
        <w:t xml:space="preserve"> </w:t>
      </w:r>
      <w:r w:rsidRPr="00C6052E">
        <w:t>short</w:t>
      </w:r>
      <w:r w:rsidR="00177848" w:rsidRPr="00C6052E">
        <w:t xml:space="preserve"> </w:t>
      </w:r>
      <w:r w:rsidRPr="00C6052E">
        <w:t>courses</w:t>
      </w:r>
      <w:r w:rsidR="00177848" w:rsidRPr="00C6052E">
        <w:t xml:space="preserve"> </w:t>
      </w:r>
      <w:r w:rsidRPr="00C6052E">
        <w:t>and</w:t>
      </w:r>
      <w:r w:rsidR="00177848" w:rsidRPr="00C6052E">
        <w:t xml:space="preserve"> </w:t>
      </w:r>
      <w:r w:rsidRPr="00C6052E">
        <w:t>custom</w:t>
      </w:r>
      <w:r w:rsidR="00177848" w:rsidRPr="00C6052E">
        <w:t xml:space="preserve"> </w:t>
      </w:r>
      <w:r w:rsidRPr="00C6052E">
        <w:t>training</w:t>
      </w:r>
      <w:r w:rsidR="00177848" w:rsidRPr="00C6052E">
        <w:t xml:space="preserve"> </w:t>
      </w:r>
      <w:r w:rsidRPr="00C6052E">
        <w:t>across</w:t>
      </w:r>
      <w:r w:rsidR="00177848" w:rsidRPr="00C6052E">
        <w:t xml:space="preserve"> </w:t>
      </w:r>
      <w:r w:rsidRPr="00C6052E">
        <w:t>mRNA</w:t>
      </w:r>
      <w:r w:rsidR="00177848" w:rsidRPr="00C6052E">
        <w:t xml:space="preserve"> </w:t>
      </w:r>
      <w:r w:rsidRPr="00C6052E">
        <w:t>manufacturing</w:t>
      </w:r>
      <w:r w:rsidR="00177848" w:rsidRPr="00C6052E">
        <w:t xml:space="preserve"> </w:t>
      </w:r>
      <w:r w:rsidRPr="00C6052E">
        <w:t>essentials</w:t>
      </w:r>
      <w:r w:rsidR="00177848" w:rsidRPr="00C6052E">
        <w:t xml:space="preserve"> </w:t>
      </w:r>
      <w:r w:rsidRPr="00C6052E">
        <w:t>through</w:t>
      </w:r>
      <w:r w:rsidR="00177848" w:rsidRPr="00C6052E">
        <w:t xml:space="preserve"> </w:t>
      </w:r>
      <w:r w:rsidRPr="00C6052E">
        <w:t>to</w:t>
      </w:r>
      <w:r w:rsidR="00177848" w:rsidRPr="00C6052E">
        <w:t xml:space="preserve"> </w:t>
      </w:r>
      <w:r w:rsidRPr="00C6052E">
        <w:t>good</w:t>
      </w:r>
      <w:r w:rsidR="00177848" w:rsidRPr="00C6052E">
        <w:t xml:space="preserve"> </w:t>
      </w:r>
      <w:r w:rsidRPr="00C6052E">
        <w:t>manufacturing</w:t>
      </w:r>
      <w:r w:rsidR="00177848" w:rsidRPr="00C6052E">
        <w:t xml:space="preserve"> </w:t>
      </w:r>
      <w:r w:rsidRPr="00C6052E">
        <w:t>practice</w:t>
      </w:r>
      <w:r w:rsidR="00177848" w:rsidRPr="00C6052E">
        <w:t xml:space="preserve"> </w:t>
      </w:r>
      <w:r w:rsidRPr="00C6052E">
        <w:t>(GMP).</w:t>
      </w:r>
      <w:r w:rsidR="00177848" w:rsidRPr="00C6052E">
        <w:t xml:space="preserve"> </w:t>
      </w:r>
      <w:r w:rsidRPr="00C6052E">
        <w:t>Since</w:t>
      </w:r>
      <w:r w:rsidR="00177848" w:rsidRPr="00C6052E">
        <w:t xml:space="preserve"> </w:t>
      </w:r>
      <w:r w:rsidRPr="00C6052E">
        <w:t>its</w:t>
      </w:r>
      <w:r w:rsidR="00177848" w:rsidRPr="00C6052E">
        <w:t xml:space="preserve"> </w:t>
      </w:r>
      <w:r w:rsidRPr="00C6052E">
        <w:t>inception</w:t>
      </w:r>
      <w:r w:rsidR="00177848" w:rsidRPr="00C6052E">
        <w:t xml:space="preserve"> </w:t>
      </w:r>
      <w:r w:rsidRPr="00C6052E">
        <w:t>in</w:t>
      </w:r>
      <w:r w:rsidR="00177848" w:rsidRPr="00C6052E">
        <w:t xml:space="preserve"> </w:t>
      </w:r>
      <w:r w:rsidRPr="00C6052E">
        <w:t>March</w:t>
      </w:r>
      <w:r w:rsidR="00177848" w:rsidRPr="00C6052E">
        <w:t xml:space="preserve"> </w:t>
      </w:r>
      <w:r w:rsidRPr="00C6052E">
        <w:t>2023,</w:t>
      </w:r>
      <w:r w:rsidR="00177848" w:rsidRPr="00C6052E">
        <w:t xml:space="preserve"> </w:t>
      </w:r>
      <w:r w:rsidRPr="00C6052E">
        <w:t>the</w:t>
      </w:r>
      <w:r w:rsidR="00177848" w:rsidRPr="00C6052E">
        <w:t xml:space="preserve"> </w:t>
      </w:r>
      <w:r w:rsidRPr="00C6052E">
        <w:t>centre</w:t>
      </w:r>
      <w:r w:rsidR="00177848" w:rsidRPr="00C6052E">
        <w:t xml:space="preserve"> </w:t>
      </w:r>
      <w:r w:rsidRPr="00C6052E">
        <w:t>has</w:t>
      </w:r>
      <w:r w:rsidR="00177848" w:rsidRPr="00C6052E">
        <w:t xml:space="preserve"> </w:t>
      </w:r>
      <w:r w:rsidRPr="00C6052E">
        <w:t>delivered</w:t>
      </w:r>
      <w:r w:rsidR="00177848" w:rsidRPr="00C6052E">
        <w:t xml:space="preserve"> </w:t>
      </w:r>
      <w:r w:rsidRPr="00C6052E">
        <w:t>training</w:t>
      </w:r>
      <w:r w:rsidR="00177848" w:rsidRPr="00C6052E">
        <w:t xml:space="preserve"> </w:t>
      </w:r>
      <w:r w:rsidRPr="00C6052E">
        <w:t>to</w:t>
      </w:r>
      <w:r w:rsidR="00177848" w:rsidRPr="00C6052E">
        <w:t xml:space="preserve"> </w:t>
      </w:r>
      <w:r w:rsidRPr="00C6052E">
        <w:t>approximately</w:t>
      </w:r>
      <w:r w:rsidR="00177848" w:rsidRPr="00C6052E">
        <w:t xml:space="preserve"> </w:t>
      </w:r>
      <w:r w:rsidRPr="00C6052E">
        <w:t>50</w:t>
      </w:r>
      <w:r w:rsidR="00177848" w:rsidRPr="00C6052E">
        <w:t xml:space="preserve"> </w:t>
      </w:r>
      <w:r w:rsidRPr="00C6052E">
        <w:t>participants</w:t>
      </w:r>
      <w:r w:rsidR="00177848" w:rsidRPr="00C6052E">
        <w:t xml:space="preserve"> </w:t>
      </w:r>
      <w:r w:rsidRPr="00C6052E">
        <w:t>from</w:t>
      </w:r>
      <w:r w:rsidR="00177848" w:rsidRPr="00C6052E">
        <w:t xml:space="preserve"> </w:t>
      </w:r>
      <w:r w:rsidRPr="00C6052E">
        <w:t>various</w:t>
      </w:r>
      <w:r w:rsidR="00177848" w:rsidRPr="00C6052E">
        <w:t xml:space="preserve"> </w:t>
      </w:r>
      <w:r w:rsidRPr="00C6052E">
        <w:t>companies</w:t>
      </w:r>
      <w:r w:rsidR="00177848" w:rsidRPr="00C6052E">
        <w:t xml:space="preserve"> </w:t>
      </w:r>
      <w:r w:rsidRPr="00C6052E">
        <w:t>and</w:t>
      </w:r>
      <w:r w:rsidR="00177848" w:rsidRPr="00C6052E">
        <w:t xml:space="preserve"> </w:t>
      </w:r>
      <w:r w:rsidRPr="00C6052E">
        <w:t>countries</w:t>
      </w:r>
      <w:r w:rsidR="00177848" w:rsidRPr="00C6052E">
        <w:t xml:space="preserve"> </w:t>
      </w:r>
      <w:r w:rsidRPr="00C6052E">
        <w:t>to</w:t>
      </w:r>
      <w:r w:rsidR="00177848" w:rsidRPr="00C6052E">
        <w:t xml:space="preserve"> </w:t>
      </w:r>
      <w:r w:rsidRPr="00C6052E">
        <w:t>date.</w:t>
      </w:r>
    </w:p>
    <w:p w14:paraId="5817F0D3" w14:textId="625E3F3A" w:rsidR="00EE5BB8" w:rsidRPr="00C6052E" w:rsidRDefault="00EE5BB8" w:rsidP="00EE5BB8">
      <w:r w:rsidRPr="00C6052E">
        <w:t>mRNA</w:t>
      </w:r>
      <w:r w:rsidR="00177848" w:rsidRPr="00C6052E">
        <w:t xml:space="preserve"> </w:t>
      </w:r>
      <w:r w:rsidRPr="00C6052E">
        <w:t>Victoria</w:t>
      </w:r>
      <w:r w:rsidR="00177848" w:rsidRPr="00C6052E">
        <w:t xml:space="preserve"> </w:t>
      </w:r>
      <w:r w:rsidRPr="00C6052E">
        <w:t>delivered</w:t>
      </w:r>
      <w:r w:rsidR="00177848" w:rsidRPr="00C6052E">
        <w:t xml:space="preserve"> </w:t>
      </w:r>
      <w:r w:rsidRPr="00C6052E">
        <w:t>critical</w:t>
      </w:r>
      <w:r w:rsidR="00177848" w:rsidRPr="00C6052E">
        <w:t xml:space="preserve"> </w:t>
      </w:r>
      <w:r w:rsidRPr="00C6052E">
        <w:t>mRNA</w:t>
      </w:r>
      <w:r w:rsidR="00177848" w:rsidRPr="00C6052E">
        <w:t xml:space="preserve"> </w:t>
      </w:r>
      <w:r w:rsidRPr="00C6052E">
        <w:t>ecosystem-building</w:t>
      </w:r>
      <w:r w:rsidR="00177848" w:rsidRPr="00C6052E">
        <w:t xml:space="preserve"> </w:t>
      </w:r>
      <w:r w:rsidRPr="00C6052E">
        <w:t>activities,</w:t>
      </w:r>
      <w:r w:rsidR="00177848" w:rsidRPr="00C6052E">
        <w:t xml:space="preserve"> </w:t>
      </w:r>
      <w:r w:rsidRPr="00C6052E">
        <w:t>including</w:t>
      </w:r>
      <w:r w:rsidR="00177848" w:rsidRPr="00C6052E">
        <w:t xml:space="preserve"> </w:t>
      </w:r>
      <w:r w:rsidRPr="00C6052E">
        <w:t>through</w:t>
      </w:r>
      <w:r w:rsidR="00177848" w:rsidRPr="00C6052E">
        <w:t xml:space="preserve"> </w:t>
      </w:r>
      <w:r w:rsidRPr="00C6052E">
        <w:t>the</w:t>
      </w:r>
      <w:r w:rsidR="00177848" w:rsidRPr="00C6052E">
        <w:t xml:space="preserve"> </w:t>
      </w:r>
      <w:r w:rsidRPr="00C6052E">
        <w:t>mRNA</w:t>
      </w:r>
      <w:r w:rsidR="00177848" w:rsidRPr="00C6052E">
        <w:t xml:space="preserve"> </w:t>
      </w:r>
      <w:r w:rsidRPr="00C6052E">
        <w:t>Victoria</w:t>
      </w:r>
      <w:r w:rsidR="00177848" w:rsidRPr="00C6052E">
        <w:t xml:space="preserve"> </w:t>
      </w:r>
      <w:r w:rsidRPr="00C6052E">
        <w:t>Research</w:t>
      </w:r>
      <w:r w:rsidR="00177848" w:rsidRPr="00C6052E">
        <w:t xml:space="preserve"> </w:t>
      </w:r>
      <w:r w:rsidRPr="00C6052E">
        <w:t>Acceleration</w:t>
      </w:r>
      <w:r w:rsidR="00177848" w:rsidRPr="00C6052E">
        <w:t xml:space="preserve"> </w:t>
      </w:r>
      <w:r w:rsidRPr="00C6052E">
        <w:t>Fund</w:t>
      </w:r>
      <w:r w:rsidR="00177848" w:rsidRPr="00C6052E">
        <w:t xml:space="preserve"> </w:t>
      </w:r>
      <w:r w:rsidRPr="00C6052E">
        <w:t>Round</w:t>
      </w:r>
      <w:r w:rsidR="00177848" w:rsidRPr="00C6052E">
        <w:t xml:space="preserve"> </w:t>
      </w:r>
      <w:r w:rsidRPr="00C6052E">
        <w:t>4</w:t>
      </w:r>
      <w:r w:rsidR="00177848" w:rsidRPr="00C6052E">
        <w:t xml:space="preserve"> </w:t>
      </w:r>
      <w:r w:rsidRPr="00C6052E">
        <w:t>to</w:t>
      </w:r>
      <w:r w:rsidR="00177848" w:rsidRPr="00C6052E">
        <w:t xml:space="preserve"> </w:t>
      </w:r>
      <w:r w:rsidRPr="00C6052E">
        <w:t>accelerate</w:t>
      </w:r>
      <w:r w:rsidR="00177848" w:rsidRPr="00C6052E">
        <w:t xml:space="preserve"> </w:t>
      </w:r>
      <w:r w:rsidRPr="00C6052E">
        <w:t>new</w:t>
      </w:r>
      <w:r w:rsidR="00177848" w:rsidRPr="00C6052E">
        <w:t xml:space="preserve"> </w:t>
      </w:r>
      <w:r w:rsidRPr="00C6052E">
        <w:t>mRNA-based</w:t>
      </w:r>
      <w:r w:rsidR="00177848" w:rsidRPr="00C6052E">
        <w:t xml:space="preserve"> </w:t>
      </w:r>
      <w:r w:rsidRPr="00C6052E">
        <w:t>treatments</w:t>
      </w:r>
      <w:r w:rsidR="00177848" w:rsidRPr="00C6052E">
        <w:t xml:space="preserve"> </w:t>
      </w:r>
      <w:r w:rsidRPr="00C6052E">
        <w:t>for</w:t>
      </w:r>
      <w:r w:rsidR="00177848" w:rsidRPr="00C6052E">
        <w:t xml:space="preserve"> </w:t>
      </w:r>
      <w:r w:rsidRPr="00C6052E">
        <w:t>neurological</w:t>
      </w:r>
      <w:r w:rsidR="00177848" w:rsidRPr="00C6052E">
        <w:t xml:space="preserve"> </w:t>
      </w:r>
      <w:r w:rsidRPr="00C6052E">
        <w:t>diseases</w:t>
      </w:r>
      <w:r w:rsidR="00177848" w:rsidRPr="00C6052E">
        <w:t xml:space="preserve"> </w:t>
      </w:r>
      <w:r w:rsidRPr="00C6052E">
        <w:t>such</w:t>
      </w:r>
      <w:r w:rsidR="00177848" w:rsidRPr="00C6052E">
        <w:t xml:space="preserve"> </w:t>
      </w:r>
      <w:r w:rsidRPr="00C6052E">
        <w:t>as</w:t>
      </w:r>
      <w:r w:rsidR="00177848" w:rsidRPr="00C6052E">
        <w:t xml:space="preserve"> </w:t>
      </w:r>
      <w:r w:rsidRPr="00C6052E">
        <w:t>Alzheimer’s,</w:t>
      </w:r>
      <w:r w:rsidR="00177848" w:rsidRPr="00C6052E">
        <w:t xml:space="preserve"> </w:t>
      </w:r>
      <w:r w:rsidRPr="00C6052E">
        <w:t>inflammatory</w:t>
      </w:r>
      <w:r w:rsidR="00177848" w:rsidRPr="00C6052E">
        <w:t xml:space="preserve"> </w:t>
      </w:r>
      <w:r w:rsidRPr="00C6052E">
        <w:t>disease</w:t>
      </w:r>
      <w:r w:rsidR="00177848" w:rsidRPr="00C6052E">
        <w:t xml:space="preserve"> </w:t>
      </w:r>
      <w:r w:rsidRPr="00C6052E">
        <w:t>and</w:t>
      </w:r>
      <w:r w:rsidR="00177848" w:rsidRPr="00C6052E">
        <w:t xml:space="preserve"> </w:t>
      </w:r>
      <w:r w:rsidRPr="00C6052E">
        <w:t>more.</w:t>
      </w:r>
      <w:r w:rsidR="00177848" w:rsidRPr="00C6052E">
        <w:t xml:space="preserve"> </w:t>
      </w:r>
      <w:proofErr w:type="spellStart"/>
      <w:r w:rsidRPr="00C6052E">
        <w:t>GrantCon</w:t>
      </w:r>
      <w:proofErr w:type="spellEnd"/>
      <w:r w:rsidR="00177848" w:rsidRPr="00C6052E">
        <w:t xml:space="preserve"> </w:t>
      </w:r>
      <w:r w:rsidRPr="00C6052E">
        <w:t>–</w:t>
      </w:r>
      <w:r w:rsidR="00177848" w:rsidRPr="00C6052E">
        <w:t xml:space="preserve"> </w:t>
      </w:r>
      <w:r w:rsidRPr="00C6052E">
        <w:t>the</w:t>
      </w:r>
      <w:r w:rsidR="00177848" w:rsidRPr="00C6052E">
        <w:t xml:space="preserve"> </w:t>
      </w:r>
      <w:r w:rsidRPr="00C6052E">
        <w:t>inaugural</w:t>
      </w:r>
      <w:r w:rsidR="00177848" w:rsidRPr="00C6052E">
        <w:t xml:space="preserve"> </w:t>
      </w:r>
      <w:r w:rsidRPr="00C6052E">
        <w:t>mRNA</w:t>
      </w:r>
      <w:r w:rsidR="00177848" w:rsidRPr="00C6052E">
        <w:t xml:space="preserve"> </w:t>
      </w:r>
      <w:r w:rsidRPr="00C6052E">
        <w:t>Victoria</w:t>
      </w:r>
      <w:r w:rsidR="00177848" w:rsidRPr="00C6052E">
        <w:t xml:space="preserve"> </w:t>
      </w:r>
      <w:r w:rsidRPr="00C6052E">
        <w:t>grant</w:t>
      </w:r>
      <w:r w:rsidR="00177848" w:rsidRPr="00C6052E">
        <w:t xml:space="preserve"> </w:t>
      </w:r>
      <w:r w:rsidRPr="00C6052E">
        <w:t>recipients’</w:t>
      </w:r>
      <w:r w:rsidR="00177848" w:rsidRPr="00C6052E">
        <w:t xml:space="preserve"> </w:t>
      </w:r>
      <w:r w:rsidRPr="00C6052E">
        <w:t>symposium</w:t>
      </w:r>
      <w:r w:rsidR="00177848" w:rsidRPr="00C6052E">
        <w:t xml:space="preserve"> </w:t>
      </w:r>
      <w:r w:rsidRPr="00C6052E">
        <w:t>–</w:t>
      </w:r>
      <w:r w:rsidR="00177848" w:rsidRPr="00C6052E">
        <w:t xml:space="preserve"> </w:t>
      </w:r>
      <w:r w:rsidRPr="00C6052E">
        <w:t>was</w:t>
      </w:r>
      <w:r w:rsidR="00177848" w:rsidRPr="00C6052E">
        <w:t xml:space="preserve"> </w:t>
      </w:r>
      <w:r w:rsidRPr="00C6052E">
        <w:t>delivered,</w:t>
      </w:r>
      <w:r w:rsidR="00177848" w:rsidRPr="00C6052E">
        <w:t xml:space="preserve"> </w:t>
      </w:r>
      <w:r w:rsidRPr="00C6052E">
        <w:t>attended</w:t>
      </w:r>
      <w:r w:rsidR="00177848" w:rsidRPr="00C6052E">
        <w:t xml:space="preserve"> </w:t>
      </w:r>
      <w:r w:rsidRPr="00C6052E">
        <w:t>by</w:t>
      </w:r>
      <w:r w:rsidR="00177848" w:rsidRPr="00C6052E">
        <w:t xml:space="preserve"> </w:t>
      </w:r>
      <w:r w:rsidRPr="00C6052E">
        <w:t>more</w:t>
      </w:r>
      <w:r w:rsidR="00177848" w:rsidRPr="00C6052E">
        <w:t xml:space="preserve"> </w:t>
      </w:r>
      <w:r w:rsidRPr="00C6052E">
        <w:t>than</w:t>
      </w:r>
      <w:r w:rsidR="00177848" w:rsidRPr="00C6052E">
        <w:t xml:space="preserve"> </w:t>
      </w:r>
      <w:r w:rsidRPr="00C6052E">
        <w:t>80</w:t>
      </w:r>
      <w:r w:rsidR="00177848" w:rsidRPr="00C6052E">
        <w:t xml:space="preserve"> </w:t>
      </w:r>
      <w:r w:rsidRPr="00C6052E">
        <w:t>mRNA</w:t>
      </w:r>
      <w:r w:rsidR="00177848" w:rsidRPr="00C6052E">
        <w:t xml:space="preserve"> </w:t>
      </w:r>
      <w:r w:rsidRPr="00C6052E">
        <w:t>leaders</w:t>
      </w:r>
      <w:r w:rsidR="00177848" w:rsidRPr="00C6052E">
        <w:t xml:space="preserve"> </w:t>
      </w:r>
      <w:r w:rsidRPr="00C6052E">
        <w:t>and</w:t>
      </w:r>
      <w:r w:rsidR="00177848" w:rsidRPr="00C6052E">
        <w:t xml:space="preserve"> </w:t>
      </w:r>
      <w:r w:rsidRPr="00C6052E">
        <w:t>industry</w:t>
      </w:r>
      <w:r w:rsidR="00177848" w:rsidRPr="00C6052E">
        <w:t xml:space="preserve"> </w:t>
      </w:r>
      <w:r w:rsidRPr="00C6052E">
        <w:t>representatives</w:t>
      </w:r>
      <w:r w:rsidR="00177848" w:rsidRPr="00C6052E">
        <w:t xml:space="preserve"> </w:t>
      </w:r>
      <w:r w:rsidRPr="00C6052E">
        <w:t>representing</w:t>
      </w:r>
      <w:r w:rsidR="00177848" w:rsidRPr="00C6052E">
        <w:t xml:space="preserve"> </w:t>
      </w:r>
      <w:r w:rsidRPr="00C6052E">
        <w:t>39</w:t>
      </w:r>
      <w:r w:rsidR="00177848" w:rsidRPr="00C6052E">
        <w:t xml:space="preserve"> </w:t>
      </w:r>
      <w:r w:rsidRPr="00C6052E">
        <w:lastRenderedPageBreak/>
        <w:t>projects.</w:t>
      </w:r>
      <w:r w:rsidR="00177848" w:rsidRPr="00C6052E">
        <w:t xml:space="preserve"> </w:t>
      </w:r>
      <w:r w:rsidRPr="00C6052E">
        <w:t>New</w:t>
      </w:r>
      <w:r w:rsidR="00177848" w:rsidRPr="00C6052E">
        <w:t xml:space="preserve"> </w:t>
      </w:r>
      <w:r w:rsidRPr="00C6052E">
        <w:t>collaborations</w:t>
      </w:r>
      <w:r w:rsidR="00177848" w:rsidRPr="00C6052E">
        <w:t xml:space="preserve"> </w:t>
      </w:r>
      <w:r w:rsidRPr="00C6052E">
        <w:t>have</w:t>
      </w:r>
      <w:r w:rsidR="00177848" w:rsidRPr="00C6052E">
        <w:t xml:space="preserve"> </w:t>
      </w:r>
      <w:r w:rsidRPr="00C6052E">
        <w:t>been</w:t>
      </w:r>
      <w:r w:rsidR="00177848" w:rsidRPr="00C6052E">
        <w:t xml:space="preserve"> </w:t>
      </w:r>
      <w:r w:rsidRPr="00C6052E">
        <w:t>facilitated</w:t>
      </w:r>
      <w:r w:rsidR="00177848" w:rsidRPr="00C6052E">
        <w:t xml:space="preserve"> </w:t>
      </w:r>
      <w:r w:rsidRPr="00C6052E">
        <w:t>across</w:t>
      </w:r>
      <w:r w:rsidR="00177848" w:rsidRPr="00C6052E">
        <w:t xml:space="preserve"> </w:t>
      </w:r>
      <w:r w:rsidRPr="00C6052E">
        <w:t>immunology,</w:t>
      </w:r>
      <w:r w:rsidR="00177848" w:rsidRPr="00C6052E">
        <w:t xml:space="preserve"> </w:t>
      </w:r>
      <w:r w:rsidRPr="00C6052E">
        <w:t>cardiometabolic</w:t>
      </w:r>
      <w:r w:rsidR="00177848" w:rsidRPr="00C6052E">
        <w:t xml:space="preserve"> </w:t>
      </w:r>
      <w:r w:rsidRPr="00C6052E">
        <w:t>diseases,</w:t>
      </w:r>
      <w:r w:rsidR="00177848" w:rsidRPr="00C6052E">
        <w:t xml:space="preserve"> </w:t>
      </w:r>
      <w:r w:rsidRPr="00C6052E">
        <w:t>infectious</w:t>
      </w:r>
      <w:r w:rsidR="00177848" w:rsidRPr="00C6052E">
        <w:t xml:space="preserve"> </w:t>
      </w:r>
      <w:r w:rsidRPr="00C6052E">
        <w:t>diseases,</w:t>
      </w:r>
      <w:r w:rsidR="00177848" w:rsidRPr="00C6052E">
        <w:t xml:space="preserve"> </w:t>
      </w:r>
      <w:r w:rsidRPr="00C6052E">
        <w:t>oncology</w:t>
      </w:r>
      <w:r w:rsidR="00177848" w:rsidRPr="00C6052E">
        <w:t xml:space="preserve"> </w:t>
      </w:r>
      <w:r w:rsidRPr="00C6052E">
        <w:t>and</w:t>
      </w:r>
      <w:r w:rsidR="00177848" w:rsidRPr="00C6052E">
        <w:t xml:space="preserve"> </w:t>
      </w:r>
      <w:r w:rsidRPr="00C6052E">
        <w:t>rare</w:t>
      </w:r>
      <w:r w:rsidR="00177848" w:rsidRPr="00C6052E">
        <w:t xml:space="preserve"> </w:t>
      </w:r>
      <w:r w:rsidRPr="00C6052E">
        <w:t>diseases.</w:t>
      </w:r>
    </w:p>
    <w:p w14:paraId="297EC172" w14:textId="79514F29" w:rsidR="00EE5BB8" w:rsidRPr="00C6052E" w:rsidRDefault="00EE5BB8" w:rsidP="00EE5BB8">
      <w:pPr>
        <w:pStyle w:val="Heading4"/>
      </w:pPr>
      <w:r w:rsidRPr="00C6052E">
        <w:t>Investment</w:t>
      </w:r>
      <w:r w:rsidR="00177848" w:rsidRPr="00C6052E">
        <w:t xml:space="preserve"> </w:t>
      </w:r>
      <w:r w:rsidRPr="00C6052E">
        <w:t>engagement</w:t>
      </w:r>
    </w:p>
    <w:p w14:paraId="7ECFF060" w14:textId="7E7B314E" w:rsidR="00EE5BB8" w:rsidRPr="00C6052E" w:rsidRDefault="00EE5BB8" w:rsidP="00EE5BB8">
      <w:r w:rsidRPr="00C6052E">
        <w:t>The</w:t>
      </w:r>
      <w:r w:rsidR="00177848" w:rsidRPr="00C6052E">
        <w:t xml:space="preserve"> </w:t>
      </w:r>
      <w:r w:rsidRPr="00C6052E">
        <w:t>department</w:t>
      </w:r>
      <w:r w:rsidR="00177848" w:rsidRPr="00C6052E">
        <w:t xml:space="preserve"> </w:t>
      </w:r>
      <w:r w:rsidRPr="00C6052E">
        <w:t>engaged</w:t>
      </w:r>
      <w:r w:rsidR="00177848" w:rsidRPr="00C6052E">
        <w:t xml:space="preserve"> </w:t>
      </w:r>
      <w:r w:rsidRPr="00C6052E">
        <w:t>with</w:t>
      </w:r>
      <w:r w:rsidR="00177848" w:rsidRPr="00C6052E">
        <w:t xml:space="preserve"> </w:t>
      </w:r>
      <w:r w:rsidRPr="00C6052E">
        <w:t>over</w:t>
      </w:r>
      <w:r w:rsidR="00177848" w:rsidRPr="00C6052E">
        <w:t xml:space="preserve"> </w:t>
      </w:r>
      <w:r w:rsidRPr="00C6052E">
        <w:t>900</w:t>
      </w:r>
      <w:r w:rsidR="00177848" w:rsidRPr="00C6052E">
        <w:t xml:space="preserve"> </w:t>
      </w:r>
      <w:r w:rsidRPr="00C6052E">
        <w:t>strategic</w:t>
      </w:r>
      <w:r w:rsidR="00177848" w:rsidRPr="00C6052E">
        <w:t xml:space="preserve"> </w:t>
      </w:r>
      <w:r w:rsidRPr="00C6052E">
        <w:t>priority</w:t>
      </w:r>
      <w:r w:rsidR="00177848" w:rsidRPr="00C6052E">
        <w:t xml:space="preserve"> </w:t>
      </w:r>
      <w:r w:rsidRPr="00C6052E">
        <w:t>businesses</w:t>
      </w:r>
      <w:r w:rsidR="00177848" w:rsidRPr="00C6052E">
        <w:t xml:space="preserve"> </w:t>
      </w:r>
      <w:r w:rsidRPr="00C6052E">
        <w:t>regarding</w:t>
      </w:r>
      <w:r w:rsidR="00177848" w:rsidRPr="00C6052E">
        <w:t xml:space="preserve"> </w:t>
      </w:r>
      <w:r w:rsidRPr="00C6052E">
        <w:t>investment</w:t>
      </w:r>
      <w:r w:rsidR="00177848" w:rsidRPr="00C6052E">
        <w:t xml:space="preserve"> </w:t>
      </w:r>
      <w:r w:rsidRPr="00C6052E">
        <w:t>and</w:t>
      </w:r>
      <w:r w:rsidR="00177848" w:rsidRPr="00C6052E">
        <w:t xml:space="preserve"> </w:t>
      </w:r>
      <w:r w:rsidRPr="00C6052E">
        <w:t>growth</w:t>
      </w:r>
      <w:r w:rsidR="00177848" w:rsidRPr="00C6052E">
        <w:t xml:space="preserve"> </w:t>
      </w:r>
      <w:r w:rsidRPr="00C6052E">
        <w:t>opportunities</w:t>
      </w:r>
      <w:r w:rsidR="00177848" w:rsidRPr="00C6052E">
        <w:t xml:space="preserve"> </w:t>
      </w:r>
      <w:r w:rsidRPr="00C6052E">
        <w:t>in</w:t>
      </w:r>
      <w:r w:rsidR="00177848" w:rsidRPr="00C6052E">
        <w:t xml:space="preserve"> </w:t>
      </w:r>
      <w:r w:rsidRPr="00C6052E">
        <w:t>Victoria.</w:t>
      </w:r>
      <w:r w:rsidR="00177848" w:rsidRPr="00C6052E">
        <w:t xml:space="preserve"> </w:t>
      </w:r>
      <w:r w:rsidRPr="00C6052E">
        <w:t>This</w:t>
      </w:r>
      <w:r w:rsidR="00177848" w:rsidRPr="00C6052E">
        <w:t xml:space="preserve"> </w:t>
      </w:r>
      <w:r w:rsidRPr="00C6052E">
        <w:t>cohort</w:t>
      </w:r>
      <w:r w:rsidR="00177848" w:rsidRPr="00C6052E">
        <w:t xml:space="preserve"> </w:t>
      </w:r>
      <w:r w:rsidRPr="00C6052E">
        <w:t>of</w:t>
      </w:r>
      <w:r w:rsidR="00177848" w:rsidRPr="00C6052E">
        <w:t xml:space="preserve"> </w:t>
      </w:r>
      <w:r w:rsidRPr="00C6052E">
        <w:t>large,</w:t>
      </w:r>
      <w:r w:rsidR="00177848" w:rsidRPr="00C6052E">
        <w:t xml:space="preserve"> </w:t>
      </w:r>
      <w:r w:rsidRPr="00C6052E">
        <w:t>medium</w:t>
      </w:r>
      <w:r w:rsidR="00177848" w:rsidRPr="00C6052E">
        <w:t xml:space="preserve"> </w:t>
      </w:r>
      <w:r w:rsidRPr="00C6052E">
        <w:t>and</w:t>
      </w:r>
      <w:r w:rsidR="00177848" w:rsidRPr="00C6052E">
        <w:t xml:space="preserve"> </w:t>
      </w:r>
      <w:r w:rsidRPr="00C6052E">
        <w:t>growing</w:t>
      </w:r>
      <w:r w:rsidR="00177848" w:rsidRPr="00C6052E">
        <w:t xml:space="preserve"> </w:t>
      </w:r>
      <w:r w:rsidRPr="00C6052E">
        <w:t>businesses</w:t>
      </w:r>
      <w:r w:rsidR="00177848" w:rsidRPr="00C6052E">
        <w:t xml:space="preserve"> </w:t>
      </w:r>
      <w:r w:rsidRPr="00C6052E">
        <w:t>included</w:t>
      </w:r>
      <w:r w:rsidR="00177848" w:rsidRPr="00C6052E">
        <w:t xml:space="preserve"> </w:t>
      </w:r>
      <w:r w:rsidRPr="00C6052E">
        <w:t>firms</w:t>
      </w:r>
      <w:r w:rsidR="00177848" w:rsidRPr="00C6052E">
        <w:t xml:space="preserve"> </w:t>
      </w:r>
      <w:r w:rsidRPr="00C6052E">
        <w:t>considering</w:t>
      </w:r>
      <w:r w:rsidR="00177848" w:rsidRPr="00C6052E">
        <w:t xml:space="preserve"> </w:t>
      </w:r>
      <w:r w:rsidRPr="00C6052E">
        <w:t>investment</w:t>
      </w:r>
      <w:r w:rsidR="00177848" w:rsidRPr="00C6052E">
        <w:t xml:space="preserve"> </w:t>
      </w:r>
      <w:r w:rsidRPr="00C6052E">
        <w:t>as</w:t>
      </w:r>
      <w:r w:rsidR="00177848" w:rsidRPr="00C6052E">
        <w:t xml:space="preserve"> </w:t>
      </w:r>
      <w:r w:rsidRPr="00C6052E">
        <w:t>well</w:t>
      </w:r>
      <w:r w:rsidR="00177848" w:rsidRPr="00C6052E">
        <w:t xml:space="preserve"> </w:t>
      </w:r>
      <w:r w:rsidRPr="00C6052E">
        <w:t>as</w:t>
      </w:r>
      <w:r w:rsidR="00177848" w:rsidRPr="00C6052E">
        <w:t xml:space="preserve"> </w:t>
      </w:r>
      <w:r w:rsidRPr="00C6052E">
        <w:t>employers</w:t>
      </w:r>
      <w:r w:rsidR="00177848" w:rsidRPr="00C6052E">
        <w:t xml:space="preserve"> </w:t>
      </w:r>
      <w:r w:rsidRPr="00C6052E">
        <w:t>and</w:t>
      </w:r>
      <w:r w:rsidR="00177848" w:rsidRPr="00C6052E">
        <w:t xml:space="preserve"> </w:t>
      </w:r>
      <w:r w:rsidRPr="00C6052E">
        <w:t>providers</w:t>
      </w:r>
      <w:r w:rsidR="00177848" w:rsidRPr="00C6052E">
        <w:t xml:space="preserve"> </w:t>
      </w:r>
      <w:r w:rsidRPr="00C6052E">
        <w:t>of</w:t>
      </w:r>
      <w:r w:rsidR="00177848" w:rsidRPr="00C6052E">
        <w:t xml:space="preserve"> </w:t>
      </w:r>
      <w:r w:rsidRPr="00C6052E">
        <w:t>critical</w:t>
      </w:r>
      <w:r w:rsidR="00177848" w:rsidRPr="00C6052E">
        <w:t xml:space="preserve"> </w:t>
      </w:r>
      <w:r w:rsidRPr="00C6052E">
        <w:t>goods</w:t>
      </w:r>
      <w:r w:rsidR="00177848" w:rsidRPr="00C6052E">
        <w:t xml:space="preserve"> </w:t>
      </w:r>
      <w:r w:rsidRPr="00C6052E">
        <w:t>and</w:t>
      </w:r>
      <w:r w:rsidR="00177848" w:rsidRPr="00C6052E">
        <w:t xml:space="preserve"> </w:t>
      </w:r>
      <w:r w:rsidRPr="00C6052E">
        <w:t>services</w:t>
      </w:r>
      <w:r w:rsidR="00177848" w:rsidRPr="00C6052E">
        <w:t xml:space="preserve"> </w:t>
      </w:r>
      <w:r w:rsidRPr="00C6052E">
        <w:t>of</w:t>
      </w:r>
      <w:r w:rsidR="00177848" w:rsidRPr="00C6052E">
        <w:t xml:space="preserve"> </w:t>
      </w:r>
      <w:r w:rsidRPr="00C6052E">
        <w:t>strategic</w:t>
      </w:r>
      <w:r w:rsidR="00177848" w:rsidRPr="00C6052E">
        <w:t xml:space="preserve"> </w:t>
      </w:r>
      <w:r w:rsidRPr="00C6052E">
        <w:t>importance</w:t>
      </w:r>
      <w:r w:rsidR="00177848" w:rsidRPr="00C6052E">
        <w:t xml:space="preserve"> </w:t>
      </w:r>
      <w:r w:rsidRPr="00C6052E">
        <w:t>to</w:t>
      </w:r>
      <w:r w:rsidR="00177848" w:rsidRPr="00C6052E">
        <w:t xml:space="preserve"> </w:t>
      </w:r>
      <w:r w:rsidRPr="00C6052E">
        <w:t>the</w:t>
      </w:r>
      <w:r w:rsidR="00177848" w:rsidRPr="00C6052E">
        <w:t xml:space="preserve"> </w:t>
      </w:r>
      <w:r w:rsidRPr="00C6052E">
        <w:t>state.</w:t>
      </w:r>
    </w:p>
    <w:p w14:paraId="0A459B66" w14:textId="65FB991F" w:rsidR="00EE5BB8" w:rsidRPr="00C6052E" w:rsidRDefault="00EE5BB8" w:rsidP="00EE5BB8">
      <w:r w:rsidRPr="00C6052E">
        <w:t>The</w:t>
      </w:r>
      <w:r w:rsidR="00177848" w:rsidRPr="00C6052E">
        <w:t xml:space="preserve"> </w:t>
      </w:r>
      <w:r w:rsidRPr="00C6052E">
        <w:t>department’s</w:t>
      </w:r>
      <w:r w:rsidR="00177848" w:rsidRPr="00C6052E">
        <w:t xml:space="preserve"> </w:t>
      </w:r>
      <w:r w:rsidRPr="00C6052E">
        <w:t>domestic</w:t>
      </w:r>
      <w:r w:rsidR="00177848" w:rsidRPr="00C6052E">
        <w:t xml:space="preserve"> </w:t>
      </w:r>
      <w:r w:rsidRPr="00C6052E">
        <w:t>attraction</w:t>
      </w:r>
      <w:r w:rsidR="00177848" w:rsidRPr="00C6052E">
        <w:t xml:space="preserve"> </w:t>
      </w:r>
      <w:r w:rsidRPr="00C6052E">
        <w:t>and</w:t>
      </w:r>
      <w:r w:rsidR="00177848" w:rsidRPr="00C6052E">
        <w:t xml:space="preserve"> </w:t>
      </w:r>
      <w:r w:rsidRPr="00C6052E">
        <w:t>facilitation</w:t>
      </w:r>
      <w:r w:rsidR="00177848" w:rsidRPr="00C6052E">
        <w:t xml:space="preserve"> </w:t>
      </w:r>
      <w:r w:rsidRPr="00C6052E">
        <w:t>activities</w:t>
      </w:r>
      <w:r w:rsidR="00177848" w:rsidRPr="00C6052E">
        <w:t xml:space="preserve"> </w:t>
      </w:r>
      <w:r w:rsidRPr="00C6052E">
        <w:t>secured</w:t>
      </w:r>
      <w:r w:rsidR="00177848" w:rsidRPr="00C6052E">
        <w:t xml:space="preserve"> </w:t>
      </w:r>
      <w:r w:rsidRPr="00C6052E">
        <w:t>a</w:t>
      </w:r>
      <w:r w:rsidR="00177848" w:rsidRPr="00C6052E">
        <w:t xml:space="preserve"> </w:t>
      </w:r>
      <w:r w:rsidRPr="00C6052E">
        <w:t>range</w:t>
      </w:r>
      <w:r w:rsidR="00177848" w:rsidRPr="00C6052E">
        <w:t xml:space="preserve"> </w:t>
      </w:r>
      <w:r w:rsidRPr="00C6052E">
        <w:t>of</w:t>
      </w:r>
      <w:r w:rsidR="00177848" w:rsidRPr="00C6052E">
        <w:t xml:space="preserve"> </w:t>
      </w:r>
      <w:r w:rsidRPr="00C6052E">
        <w:t>Australian</w:t>
      </w:r>
      <w:r w:rsidR="00177848" w:rsidRPr="00C6052E">
        <w:t xml:space="preserve"> </w:t>
      </w:r>
      <w:r w:rsidRPr="00C6052E">
        <w:t>business</w:t>
      </w:r>
      <w:r w:rsidR="00177848" w:rsidRPr="00C6052E">
        <w:t xml:space="preserve"> </w:t>
      </w:r>
      <w:r w:rsidRPr="00C6052E">
        <w:t>investments</w:t>
      </w:r>
      <w:r w:rsidR="00177848" w:rsidRPr="00C6052E">
        <w:t xml:space="preserve"> </w:t>
      </w:r>
      <w:r w:rsidRPr="00C6052E">
        <w:t>in</w:t>
      </w:r>
      <w:r w:rsidR="00177848" w:rsidRPr="00C6052E">
        <w:t xml:space="preserve"> </w:t>
      </w:r>
      <w:r w:rsidRPr="00C6052E">
        <w:t>Victoria,</w:t>
      </w:r>
      <w:r w:rsidR="00177848" w:rsidRPr="00C6052E">
        <w:t xml:space="preserve"> </w:t>
      </w:r>
      <w:r w:rsidRPr="00C6052E">
        <w:t>supporting</w:t>
      </w:r>
      <w:r w:rsidR="00177848" w:rsidRPr="00C6052E">
        <w:t xml:space="preserve"> </w:t>
      </w:r>
      <w:r w:rsidRPr="00C6052E">
        <w:t>the</w:t>
      </w:r>
      <w:r w:rsidR="00177848" w:rsidRPr="00C6052E">
        <w:t xml:space="preserve"> </w:t>
      </w:r>
      <w:r w:rsidRPr="00C6052E">
        <w:t>delivery</w:t>
      </w:r>
      <w:r w:rsidR="00177848" w:rsidRPr="00C6052E">
        <w:t xml:space="preserve"> </w:t>
      </w:r>
      <w:r w:rsidRPr="00C6052E">
        <w:t>of</w:t>
      </w:r>
      <w:r w:rsidR="00177848" w:rsidRPr="00C6052E">
        <w:t xml:space="preserve"> </w:t>
      </w:r>
      <w:r w:rsidRPr="00C6052E">
        <w:t>1,100</w:t>
      </w:r>
      <w:r w:rsidR="00177848" w:rsidRPr="00C6052E">
        <w:t xml:space="preserve"> </w:t>
      </w:r>
      <w:r w:rsidRPr="00C6052E">
        <w:t>new</w:t>
      </w:r>
      <w:r w:rsidR="00177848" w:rsidRPr="00C6052E">
        <w:t xml:space="preserve"> </w:t>
      </w:r>
      <w:r w:rsidRPr="00C6052E">
        <w:t>jobs</w:t>
      </w:r>
      <w:r w:rsidR="00177848" w:rsidRPr="00C6052E">
        <w:t xml:space="preserve"> </w:t>
      </w:r>
      <w:r w:rsidRPr="00C6052E">
        <w:t>to</w:t>
      </w:r>
      <w:r w:rsidR="00177848" w:rsidRPr="00C6052E">
        <w:t xml:space="preserve"> </w:t>
      </w:r>
      <w:r w:rsidRPr="00C6052E">
        <w:t>the</w:t>
      </w:r>
      <w:r w:rsidR="00177848" w:rsidRPr="00C6052E">
        <w:t xml:space="preserve"> </w:t>
      </w:r>
      <w:r w:rsidRPr="00C6052E">
        <w:t>Victorian</w:t>
      </w:r>
      <w:r w:rsidR="00177848" w:rsidRPr="00C6052E">
        <w:t xml:space="preserve"> </w:t>
      </w:r>
      <w:r w:rsidRPr="00C6052E">
        <w:t>economy.</w:t>
      </w:r>
      <w:r w:rsidR="00177848" w:rsidRPr="00C6052E">
        <w:t xml:space="preserve"> </w:t>
      </w:r>
      <w:r w:rsidRPr="00C6052E">
        <w:t>The</w:t>
      </w:r>
      <w:r w:rsidR="00177848" w:rsidRPr="00C6052E">
        <w:t xml:space="preserve"> </w:t>
      </w:r>
      <w:r w:rsidRPr="00C6052E">
        <w:t>investments</w:t>
      </w:r>
      <w:r w:rsidR="00177848" w:rsidRPr="00C6052E">
        <w:t xml:space="preserve"> </w:t>
      </w:r>
      <w:r w:rsidRPr="00C6052E">
        <w:t>were</w:t>
      </w:r>
      <w:r w:rsidR="00177848" w:rsidRPr="00C6052E">
        <w:t xml:space="preserve"> </w:t>
      </w:r>
      <w:r w:rsidRPr="00C6052E">
        <w:t>secured</w:t>
      </w:r>
      <w:r w:rsidR="00177848" w:rsidRPr="00C6052E">
        <w:t xml:space="preserve"> </w:t>
      </w:r>
      <w:r w:rsidRPr="00C6052E">
        <w:t>via</w:t>
      </w:r>
      <w:r w:rsidR="00177848" w:rsidRPr="00C6052E">
        <w:t xml:space="preserve"> </w:t>
      </w:r>
      <w:r w:rsidRPr="00C6052E">
        <w:t>grants</w:t>
      </w:r>
      <w:r w:rsidR="00177848" w:rsidRPr="00C6052E">
        <w:t xml:space="preserve"> </w:t>
      </w:r>
      <w:r w:rsidRPr="00C6052E">
        <w:t>from</w:t>
      </w:r>
      <w:r w:rsidR="00177848" w:rsidRPr="00C6052E">
        <w:t xml:space="preserve"> </w:t>
      </w:r>
      <w:r w:rsidRPr="00C6052E">
        <w:t>Victorian</w:t>
      </w:r>
      <w:r w:rsidR="00177848" w:rsidRPr="00C6052E">
        <w:t xml:space="preserve"> </w:t>
      </w:r>
      <w:r w:rsidRPr="00C6052E">
        <w:t>Jobs</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Fund</w:t>
      </w:r>
      <w:r w:rsidR="00177848" w:rsidRPr="00C6052E">
        <w:t xml:space="preserve"> </w:t>
      </w:r>
      <w:r w:rsidRPr="00C6052E">
        <w:t>streams,</w:t>
      </w:r>
      <w:r w:rsidR="00177848" w:rsidRPr="00C6052E">
        <w:t xml:space="preserve"> </w:t>
      </w:r>
      <w:r w:rsidRPr="00C6052E">
        <w:t>other</w:t>
      </w:r>
      <w:r w:rsidR="00177848" w:rsidRPr="00C6052E">
        <w:t xml:space="preserve"> </w:t>
      </w:r>
      <w:r w:rsidRPr="00C6052E">
        <w:t>investment</w:t>
      </w:r>
      <w:r w:rsidR="00177848" w:rsidRPr="00C6052E">
        <w:t xml:space="preserve"> </w:t>
      </w:r>
      <w:r w:rsidRPr="00C6052E">
        <w:t>attraction-related</w:t>
      </w:r>
      <w:r w:rsidR="00177848" w:rsidRPr="00C6052E">
        <w:t xml:space="preserve"> </w:t>
      </w:r>
      <w:r w:rsidRPr="00C6052E">
        <w:t>programs</w:t>
      </w:r>
      <w:r w:rsidR="00177848" w:rsidRPr="00C6052E">
        <w:t xml:space="preserve"> </w:t>
      </w:r>
      <w:r w:rsidRPr="00C6052E">
        <w:t>and</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The</w:t>
      </w:r>
      <w:r w:rsidR="00177848" w:rsidRPr="00C6052E">
        <w:t xml:space="preserve"> </w:t>
      </w:r>
      <w:r w:rsidRPr="00C6052E">
        <w:t>projects</w:t>
      </w:r>
      <w:r w:rsidR="00177848" w:rsidRPr="00C6052E">
        <w:t xml:space="preserve"> </w:t>
      </w:r>
      <w:r w:rsidRPr="00C6052E">
        <w:t>were</w:t>
      </w:r>
      <w:r w:rsidR="00177848" w:rsidRPr="00C6052E">
        <w:t xml:space="preserve"> </w:t>
      </w:r>
      <w:r w:rsidRPr="00C6052E">
        <w:t>a</w:t>
      </w:r>
      <w:r w:rsidR="00177848" w:rsidRPr="00C6052E">
        <w:t xml:space="preserve"> </w:t>
      </w:r>
      <w:r w:rsidRPr="00C6052E">
        <w:t>mix</w:t>
      </w:r>
      <w:r w:rsidR="00177848" w:rsidRPr="00C6052E">
        <w:t xml:space="preserve"> </w:t>
      </w:r>
      <w:r w:rsidRPr="00C6052E">
        <w:t>of</w:t>
      </w:r>
      <w:r w:rsidR="00177848" w:rsidRPr="00C6052E">
        <w:t xml:space="preserve"> </w:t>
      </w:r>
      <w:r w:rsidRPr="00C6052E">
        <w:t>large</w:t>
      </w:r>
      <w:r w:rsidR="00177848" w:rsidRPr="00C6052E">
        <w:t xml:space="preserve"> </w:t>
      </w:r>
      <w:r w:rsidRPr="00C6052E">
        <w:t>and</w:t>
      </w:r>
      <w:r w:rsidR="00177848" w:rsidRPr="00C6052E">
        <w:t xml:space="preserve"> </w:t>
      </w:r>
      <w:r w:rsidRPr="00C6052E">
        <w:t>strategic,</w:t>
      </w:r>
      <w:r w:rsidR="00177848" w:rsidRPr="00C6052E">
        <w:t xml:space="preserve"> </w:t>
      </w:r>
      <w:r w:rsidRPr="00C6052E">
        <w:t>through</w:t>
      </w:r>
      <w:r w:rsidR="00177848" w:rsidRPr="00C6052E">
        <w:t xml:space="preserve"> </w:t>
      </w:r>
      <w:r w:rsidRPr="00C6052E">
        <w:t>to</w:t>
      </w:r>
      <w:r w:rsidR="00177848" w:rsidRPr="00C6052E">
        <w:t xml:space="preserve"> </w:t>
      </w:r>
      <w:r w:rsidRPr="00C6052E">
        <w:t>smaller</w:t>
      </w:r>
      <w:r w:rsidR="00177848" w:rsidRPr="00C6052E">
        <w:t xml:space="preserve"> </w:t>
      </w:r>
      <w:r w:rsidRPr="00C6052E">
        <w:t>projects</w:t>
      </w:r>
      <w:r w:rsidR="00177848" w:rsidRPr="00C6052E">
        <w:t xml:space="preserve"> </w:t>
      </w:r>
      <w:r w:rsidRPr="00C6052E">
        <w:t>aimed</w:t>
      </w:r>
      <w:r w:rsidR="00177848" w:rsidRPr="00C6052E">
        <w:t xml:space="preserve"> </w:t>
      </w:r>
      <w:r w:rsidRPr="00C6052E">
        <w:t>at</w:t>
      </w:r>
      <w:r w:rsidR="00177848" w:rsidRPr="00C6052E">
        <w:t xml:space="preserve"> </w:t>
      </w:r>
      <w:r w:rsidRPr="00C6052E">
        <w:t>supporting</w:t>
      </w:r>
      <w:r w:rsidR="00177848" w:rsidRPr="00C6052E">
        <w:t xml:space="preserve"> </w:t>
      </w:r>
      <w:r w:rsidRPr="00C6052E">
        <w:t>medium-to-large</w:t>
      </w:r>
      <w:r w:rsidR="00177848" w:rsidRPr="00C6052E">
        <w:t xml:space="preserve"> </w:t>
      </w:r>
      <w:r w:rsidRPr="00C6052E">
        <w:t>and</w:t>
      </w:r>
      <w:r w:rsidR="00177848" w:rsidRPr="00C6052E">
        <w:t xml:space="preserve"> </w:t>
      </w:r>
      <w:r w:rsidRPr="00C6052E">
        <w:t>high-potential</w:t>
      </w:r>
      <w:r w:rsidR="00177848" w:rsidRPr="00C6052E">
        <w:t xml:space="preserve"> </w:t>
      </w:r>
      <w:r w:rsidRPr="00C6052E">
        <w:t>businesses</w:t>
      </w:r>
      <w:r w:rsidR="00177848" w:rsidRPr="00C6052E">
        <w:t xml:space="preserve"> </w:t>
      </w:r>
      <w:r w:rsidRPr="00C6052E">
        <w:t>to</w:t>
      </w:r>
      <w:r w:rsidR="00177848" w:rsidRPr="00C6052E">
        <w:t xml:space="preserve"> </w:t>
      </w:r>
      <w:r w:rsidRPr="00C6052E">
        <w:t>accelerate</w:t>
      </w:r>
      <w:r w:rsidR="00177848" w:rsidRPr="00C6052E">
        <w:t xml:space="preserve"> </w:t>
      </w:r>
      <w:r w:rsidRPr="00C6052E">
        <w:t>their</w:t>
      </w:r>
      <w:r w:rsidR="00177848" w:rsidRPr="00C6052E">
        <w:t xml:space="preserve"> </w:t>
      </w:r>
      <w:r w:rsidRPr="00C6052E">
        <w:t>growth</w:t>
      </w:r>
      <w:r w:rsidR="00177848" w:rsidRPr="00C6052E">
        <w:t xml:space="preserve"> </w:t>
      </w:r>
      <w:r w:rsidRPr="00C6052E">
        <w:t>trajectory</w:t>
      </w:r>
      <w:r w:rsidR="00177848" w:rsidRPr="00C6052E">
        <w:t xml:space="preserve"> </w:t>
      </w:r>
      <w:r w:rsidRPr="00C6052E">
        <w:t>and</w:t>
      </w:r>
      <w:r w:rsidR="00177848" w:rsidRPr="00C6052E">
        <w:t xml:space="preserve"> </w:t>
      </w:r>
      <w:r w:rsidRPr="00C6052E">
        <w:t>propel</w:t>
      </w:r>
      <w:r w:rsidR="00177848" w:rsidRPr="00C6052E">
        <w:t xml:space="preserve"> </w:t>
      </w:r>
      <w:r w:rsidRPr="00C6052E">
        <w:t>Victoria’s</w:t>
      </w:r>
      <w:r w:rsidR="00177848" w:rsidRPr="00C6052E">
        <w:t xml:space="preserve"> </w:t>
      </w:r>
      <w:r w:rsidRPr="00C6052E">
        <w:t>future</w:t>
      </w:r>
      <w:r w:rsidR="00177848" w:rsidRPr="00C6052E">
        <w:t xml:space="preserve"> </w:t>
      </w:r>
      <w:r w:rsidRPr="00C6052E">
        <w:t>economy</w:t>
      </w:r>
      <w:r w:rsidR="00177848" w:rsidRPr="00C6052E">
        <w:t xml:space="preserve"> </w:t>
      </w:r>
      <w:r w:rsidRPr="00C6052E">
        <w:t>priorities.</w:t>
      </w:r>
      <w:r w:rsidR="00177848" w:rsidRPr="00C6052E">
        <w:t xml:space="preserve"> </w:t>
      </w:r>
      <w:r w:rsidRPr="00C6052E">
        <w:t>The</w:t>
      </w:r>
      <w:r w:rsidR="00177848" w:rsidRPr="00C6052E">
        <w:t xml:space="preserve"> </w:t>
      </w:r>
      <w:r w:rsidRPr="00C6052E">
        <w:t>objective</w:t>
      </w:r>
      <w:r w:rsidR="00177848" w:rsidRPr="00C6052E">
        <w:t xml:space="preserve"> </w:t>
      </w:r>
      <w:r w:rsidRPr="00C6052E">
        <w:t>is</w:t>
      </w:r>
      <w:r w:rsidR="00177848" w:rsidRPr="00C6052E">
        <w:t xml:space="preserve"> </w:t>
      </w:r>
      <w:r w:rsidRPr="00C6052E">
        <w:t>to</w:t>
      </w:r>
      <w:r w:rsidR="00177848" w:rsidRPr="00C6052E">
        <w:t xml:space="preserve"> </w:t>
      </w:r>
      <w:r w:rsidRPr="00C6052E">
        <w:t>secure</w:t>
      </w:r>
      <w:r w:rsidR="00177848" w:rsidRPr="00C6052E">
        <w:t xml:space="preserve"> </w:t>
      </w:r>
      <w:r w:rsidRPr="00C6052E">
        <w:t>and</w:t>
      </w:r>
      <w:r w:rsidR="00177848" w:rsidRPr="00C6052E">
        <w:t xml:space="preserve"> </w:t>
      </w:r>
      <w:r w:rsidRPr="00C6052E">
        <w:t>grow</w:t>
      </w:r>
      <w:r w:rsidR="00177848" w:rsidRPr="00C6052E">
        <w:t xml:space="preserve"> </w:t>
      </w:r>
      <w:r w:rsidRPr="00C6052E">
        <w:t>key</w:t>
      </w:r>
      <w:r w:rsidR="00177848" w:rsidRPr="00C6052E">
        <w:t xml:space="preserve"> </w:t>
      </w:r>
      <w:r w:rsidRPr="00C6052E">
        <w:t>industry</w:t>
      </w:r>
      <w:r w:rsidR="00177848" w:rsidRPr="00C6052E">
        <w:t xml:space="preserve"> </w:t>
      </w:r>
      <w:r w:rsidRPr="00C6052E">
        <w:t>capabilities</w:t>
      </w:r>
      <w:r w:rsidR="00177848" w:rsidRPr="00C6052E">
        <w:t xml:space="preserve"> </w:t>
      </w:r>
      <w:r w:rsidRPr="00C6052E">
        <w:t>to</w:t>
      </w:r>
      <w:r w:rsidR="00177848" w:rsidRPr="00C6052E">
        <w:t xml:space="preserve"> </w:t>
      </w:r>
      <w:r w:rsidRPr="00C6052E">
        <w:t>stimulate</w:t>
      </w:r>
      <w:r w:rsidR="00177848" w:rsidRPr="00C6052E">
        <w:t xml:space="preserve"> </w:t>
      </w:r>
      <w:r w:rsidRPr="00C6052E">
        <w:t>ongoing</w:t>
      </w:r>
      <w:r w:rsidR="00177848" w:rsidRPr="00C6052E">
        <w:t xml:space="preserve"> </w:t>
      </w:r>
      <w:r w:rsidRPr="00C6052E">
        <w:t>economic</w:t>
      </w:r>
      <w:r w:rsidR="00177848" w:rsidRPr="00C6052E">
        <w:t xml:space="preserve"> </w:t>
      </w:r>
      <w:r w:rsidRPr="00C6052E">
        <w:t>growth</w:t>
      </w:r>
      <w:r w:rsidR="00177848" w:rsidRPr="00C6052E">
        <w:t xml:space="preserve"> </w:t>
      </w:r>
      <w:r w:rsidRPr="00C6052E">
        <w:t>and</w:t>
      </w:r>
      <w:r w:rsidR="00177848" w:rsidRPr="00C6052E">
        <w:t xml:space="preserve"> </w:t>
      </w:r>
      <w:r w:rsidRPr="00C6052E">
        <w:t>unlock</w:t>
      </w:r>
      <w:r w:rsidR="00177848" w:rsidRPr="00C6052E">
        <w:t xml:space="preserve"> </w:t>
      </w:r>
      <w:r w:rsidRPr="00C6052E">
        <w:t>job</w:t>
      </w:r>
      <w:r w:rsidR="00177848" w:rsidRPr="00C6052E">
        <w:t xml:space="preserve"> </w:t>
      </w:r>
      <w:r w:rsidRPr="00C6052E">
        <w:t>creation.</w:t>
      </w:r>
    </w:p>
    <w:p w14:paraId="2B6749BC" w14:textId="6BBAC1D2" w:rsidR="00EE5BB8" w:rsidRPr="00C6052E" w:rsidRDefault="00EE5BB8" w:rsidP="00EE5BB8">
      <w:pPr>
        <w:pStyle w:val="Heading4"/>
      </w:pPr>
      <w:r w:rsidRPr="00C6052E">
        <w:t>Skills</w:t>
      </w:r>
      <w:r w:rsidR="00177848" w:rsidRPr="00C6052E">
        <w:t xml:space="preserve"> </w:t>
      </w:r>
      <w:r w:rsidRPr="00C6052E">
        <w:t>Solutions</w:t>
      </w:r>
      <w:r w:rsidR="00177848" w:rsidRPr="00C6052E">
        <w:t xml:space="preserve"> </w:t>
      </w:r>
      <w:r w:rsidRPr="00C6052E">
        <w:t>Partnerships</w:t>
      </w:r>
    </w:p>
    <w:p w14:paraId="3484752F" w14:textId="7749F606" w:rsidR="00EE5BB8" w:rsidRPr="00C6052E" w:rsidRDefault="00EE5BB8" w:rsidP="00EE5BB8">
      <w:r w:rsidRPr="00C6052E">
        <w:t>The</w:t>
      </w:r>
      <w:r w:rsidR="00177848" w:rsidRPr="00C6052E">
        <w:t xml:space="preserve"> </w:t>
      </w:r>
      <w:r w:rsidRPr="00C6052E">
        <w:t>Skills</w:t>
      </w:r>
      <w:r w:rsidR="00177848" w:rsidRPr="00C6052E">
        <w:t xml:space="preserve"> </w:t>
      </w:r>
      <w:r w:rsidRPr="00C6052E">
        <w:t>Solutions</w:t>
      </w:r>
      <w:r w:rsidR="00177848" w:rsidRPr="00C6052E">
        <w:t xml:space="preserve"> </w:t>
      </w:r>
      <w:r w:rsidRPr="00C6052E">
        <w:t>Partnerships</w:t>
      </w:r>
      <w:r w:rsidR="00177848" w:rsidRPr="00C6052E">
        <w:t xml:space="preserve"> </w:t>
      </w:r>
      <w:r w:rsidRPr="00C6052E">
        <w:t>Program</w:t>
      </w:r>
      <w:r w:rsidR="00177848" w:rsidRPr="00C6052E">
        <w:t xml:space="preserve"> </w:t>
      </w:r>
      <w:r w:rsidRPr="00C6052E">
        <w:t>provided</w:t>
      </w:r>
      <w:r w:rsidR="00177848" w:rsidRPr="00C6052E">
        <w:t xml:space="preserve"> </w:t>
      </w:r>
      <w:r w:rsidRPr="00C6052E">
        <w:t>$4.4</w:t>
      </w:r>
      <w:r w:rsidR="00177848" w:rsidRPr="00C6052E">
        <w:t xml:space="preserve"> </w:t>
      </w:r>
      <w:r w:rsidRPr="00C6052E">
        <w:t>million</w:t>
      </w:r>
      <w:r w:rsidR="00177848" w:rsidRPr="00C6052E">
        <w:t xml:space="preserve"> </w:t>
      </w:r>
      <w:r w:rsidRPr="00C6052E">
        <w:t>in</w:t>
      </w:r>
      <w:r w:rsidR="00177848" w:rsidRPr="00C6052E">
        <w:t xml:space="preserve"> </w:t>
      </w:r>
      <w:r w:rsidRPr="00C6052E">
        <w:t>grant</w:t>
      </w:r>
      <w:r w:rsidR="00177848" w:rsidRPr="00C6052E">
        <w:t xml:space="preserve"> </w:t>
      </w:r>
      <w:r w:rsidRPr="00C6052E">
        <w:t>funding</w:t>
      </w:r>
      <w:r w:rsidR="00177848" w:rsidRPr="00C6052E">
        <w:t xml:space="preserve"> </w:t>
      </w:r>
      <w:r w:rsidRPr="00C6052E">
        <w:t>for</w:t>
      </w:r>
      <w:r w:rsidR="00177848" w:rsidRPr="00C6052E">
        <w:t xml:space="preserve"> </w:t>
      </w:r>
      <w:r w:rsidRPr="00C6052E">
        <w:t>6</w:t>
      </w:r>
      <w:r w:rsidR="00177848" w:rsidRPr="00C6052E">
        <w:t xml:space="preserve"> </w:t>
      </w:r>
      <w:r w:rsidRPr="00C6052E">
        <w:t>collaborations</w:t>
      </w:r>
      <w:r w:rsidR="00177848" w:rsidRPr="00C6052E">
        <w:t xml:space="preserve"> </w:t>
      </w:r>
      <w:r w:rsidRPr="00C6052E">
        <w:t>between</w:t>
      </w:r>
      <w:r w:rsidR="00177848" w:rsidRPr="00C6052E">
        <w:t xml:space="preserve"> </w:t>
      </w:r>
      <w:r w:rsidRPr="00C6052E">
        <w:t>industry</w:t>
      </w:r>
      <w:r w:rsidR="00177848" w:rsidRPr="00C6052E">
        <w:t xml:space="preserve"> </w:t>
      </w:r>
      <w:r w:rsidRPr="00C6052E">
        <w:t>and</w:t>
      </w:r>
      <w:r w:rsidR="00177848" w:rsidRPr="00C6052E">
        <w:t xml:space="preserve"> </w:t>
      </w:r>
      <w:r w:rsidRPr="00C6052E">
        <w:t>training</w:t>
      </w:r>
      <w:r w:rsidR="00177848" w:rsidRPr="00C6052E">
        <w:t xml:space="preserve"> </w:t>
      </w:r>
      <w:r w:rsidRPr="00C6052E">
        <w:t>providers</w:t>
      </w:r>
      <w:r w:rsidR="00177848" w:rsidRPr="00C6052E">
        <w:t xml:space="preserve"> </w:t>
      </w:r>
      <w:r w:rsidRPr="00C6052E">
        <w:t>to</w:t>
      </w:r>
      <w:r w:rsidR="00177848" w:rsidRPr="00C6052E">
        <w:t xml:space="preserve"> </w:t>
      </w:r>
      <w:r w:rsidRPr="00C6052E">
        <w:t>design</w:t>
      </w:r>
      <w:r w:rsidR="00177848" w:rsidRPr="00C6052E">
        <w:t xml:space="preserve"> </w:t>
      </w:r>
      <w:r w:rsidRPr="00C6052E">
        <w:t>and</w:t>
      </w:r>
      <w:r w:rsidR="00177848" w:rsidRPr="00C6052E">
        <w:t xml:space="preserve"> </w:t>
      </w:r>
      <w:r w:rsidRPr="00C6052E">
        <w:t>pilot</w:t>
      </w:r>
      <w:r w:rsidR="00177848" w:rsidRPr="00C6052E">
        <w:t xml:space="preserve"> </w:t>
      </w:r>
      <w:r w:rsidRPr="00C6052E">
        <w:t>new</w:t>
      </w:r>
      <w:r w:rsidR="00177848" w:rsidRPr="00C6052E">
        <w:t xml:space="preserve"> </w:t>
      </w:r>
      <w:r w:rsidRPr="00C6052E">
        <w:t>training</w:t>
      </w:r>
      <w:r w:rsidR="00177848" w:rsidRPr="00C6052E">
        <w:t xml:space="preserve"> </w:t>
      </w:r>
      <w:r w:rsidRPr="00C6052E">
        <w:t>solutions</w:t>
      </w:r>
      <w:r w:rsidR="00177848" w:rsidRPr="00C6052E">
        <w:t xml:space="preserve"> </w:t>
      </w:r>
      <w:r w:rsidRPr="00C6052E">
        <w:t>that</w:t>
      </w:r>
      <w:r w:rsidR="00177848" w:rsidRPr="00C6052E">
        <w:t xml:space="preserve"> </w:t>
      </w:r>
      <w:r w:rsidRPr="00C6052E">
        <w:t>address</w:t>
      </w:r>
      <w:r w:rsidR="00177848" w:rsidRPr="00C6052E">
        <w:t xml:space="preserve"> </w:t>
      </w:r>
      <w:r w:rsidRPr="00C6052E">
        <w:t>emerging</w:t>
      </w:r>
      <w:r w:rsidR="00177848" w:rsidRPr="00C6052E">
        <w:t xml:space="preserve"> </w:t>
      </w:r>
      <w:r w:rsidRPr="00C6052E">
        <w:t>skilling</w:t>
      </w:r>
      <w:r w:rsidR="00177848" w:rsidRPr="00C6052E">
        <w:t xml:space="preserve"> </w:t>
      </w:r>
      <w:r w:rsidRPr="00C6052E">
        <w:t>needs.</w:t>
      </w:r>
      <w:r w:rsidR="00177848" w:rsidRPr="00C6052E">
        <w:t xml:space="preserve"> </w:t>
      </w:r>
      <w:r w:rsidRPr="00C6052E">
        <w:t>The</w:t>
      </w:r>
      <w:r w:rsidR="00177848" w:rsidRPr="00C6052E">
        <w:t xml:space="preserve"> </w:t>
      </w:r>
      <w:r w:rsidRPr="00C6052E">
        <w:t>grants</w:t>
      </w:r>
      <w:r w:rsidR="00177848" w:rsidRPr="00C6052E">
        <w:t xml:space="preserve"> </w:t>
      </w:r>
      <w:r w:rsidRPr="00C6052E">
        <w:t>targeted</w:t>
      </w:r>
      <w:r w:rsidR="00177848" w:rsidRPr="00C6052E">
        <w:t xml:space="preserve"> </w:t>
      </w:r>
      <w:r w:rsidRPr="00C6052E">
        <w:t>priority</w:t>
      </w:r>
      <w:r w:rsidR="00177848" w:rsidRPr="00C6052E">
        <w:t xml:space="preserve"> </w:t>
      </w:r>
      <w:r w:rsidRPr="00C6052E">
        <w:t>sectors,</w:t>
      </w:r>
      <w:r w:rsidR="00177848" w:rsidRPr="00C6052E">
        <w:t xml:space="preserve"> </w:t>
      </w:r>
      <w:r w:rsidRPr="00C6052E">
        <w:t>including</w:t>
      </w:r>
      <w:r w:rsidR="00177848" w:rsidRPr="00C6052E">
        <w:t xml:space="preserve"> </w:t>
      </w:r>
      <w:r w:rsidRPr="00C6052E">
        <w:t>manufacturing,</w:t>
      </w:r>
      <w:r w:rsidR="00177848" w:rsidRPr="00C6052E">
        <w:t xml:space="preserve"> </w:t>
      </w:r>
      <w:r w:rsidRPr="00C6052E">
        <w:t>digital,</w:t>
      </w:r>
      <w:r w:rsidR="00177848" w:rsidRPr="00C6052E">
        <w:t xml:space="preserve"> </w:t>
      </w:r>
      <w:r w:rsidRPr="00C6052E">
        <w:t>clean</w:t>
      </w:r>
      <w:r w:rsidR="00177848" w:rsidRPr="00C6052E">
        <w:t xml:space="preserve"> </w:t>
      </w:r>
      <w:r w:rsidRPr="00C6052E">
        <w:t>economy</w:t>
      </w:r>
      <w:r w:rsidR="00177848" w:rsidRPr="00C6052E">
        <w:t xml:space="preserve"> </w:t>
      </w:r>
      <w:r w:rsidRPr="00C6052E">
        <w:t>and</w:t>
      </w:r>
      <w:r w:rsidR="00177848" w:rsidRPr="00C6052E">
        <w:t xml:space="preserve"> </w:t>
      </w:r>
      <w:r w:rsidRPr="00C6052E">
        <w:t>health</w:t>
      </w:r>
      <w:r w:rsidR="00177848" w:rsidRPr="00C6052E">
        <w:t xml:space="preserve"> </w:t>
      </w:r>
      <w:r w:rsidRPr="00C6052E">
        <w:t>care</w:t>
      </w:r>
      <w:r w:rsidR="00177848" w:rsidRPr="00C6052E">
        <w:t xml:space="preserve"> </w:t>
      </w:r>
      <w:r w:rsidRPr="00C6052E">
        <w:t>and</w:t>
      </w:r>
      <w:r w:rsidR="00177848" w:rsidRPr="00C6052E">
        <w:t xml:space="preserve"> </w:t>
      </w:r>
      <w:r w:rsidRPr="00C6052E">
        <w:t>social</w:t>
      </w:r>
      <w:r w:rsidR="00177848" w:rsidRPr="00C6052E">
        <w:t xml:space="preserve"> </w:t>
      </w:r>
      <w:r w:rsidRPr="00C6052E">
        <w:t>services.</w:t>
      </w:r>
      <w:r w:rsidR="00177848" w:rsidRPr="00C6052E">
        <w:t xml:space="preserve"> </w:t>
      </w:r>
      <w:r w:rsidRPr="00C6052E">
        <w:t>One</w:t>
      </w:r>
      <w:r w:rsidR="00177848" w:rsidRPr="00C6052E">
        <w:t xml:space="preserve"> </w:t>
      </w:r>
      <w:r w:rsidRPr="00C6052E">
        <w:t>project,</w:t>
      </w:r>
      <w:r w:rsidR="00177848" w:rsidRPr="00C6052E">
        <w:t xml:space="preserve"> </w:t>
      </w:r>
      <w:r w:rsidRPr="00C6052E">
        <w:t>a</w:t>
      </w:r>
      <w:r w:rsidR="00177848" w:rsidRPr="00C6052E">
        <w:t xml:space="preserve"> </w:t>
      </w:r>
      <w:r w:rsidRPr="00C6052E">
        <w:t>partnership</w:t>
      </w:r>
      <w:r w:rsidR="00177848" w:rsidRPr="00C6052E">
        <w:t xml:space="preserve"> </w:t>
      </w:r>
      <w:r w:rsidRPr="00C6052E">
        <w:t>between</w:t>
      </w:r>
      <w:r w:rsidR="00177848" w:rsidRPr="00C6052E">
        <w:t xml:space="preserve"> </w:t>
      </w:r>
      <w:r w:rsidRPr="00C6052E">
        <w:t>RMIT,</w:t>
      </w:r>
      <w:r w:rsidR="00177848" w:rsidRPr="00C6052E">
        <w:t xml:space="preserve"> </w:t>
      </w:r>
      <w:r w:rsidRPr="00C6052E">
        <w:t>Grampians</w:t>
      </w:r>
      <w:r w:rsidR="00177848" w:rsidRPr="00C6052E">
        <w:t xml:space="preserve"> </w:t>
      </w:r>
      <w:r w:rsidRPr="00C6052E">
        <w:t>Health</w:t>
      </w:r>
      <w:r w:rsidR="00177848" w:rsidRPr="00C6052E">
        <w:t xml:space="preserve"> </w:t>
      </w:r>
      <w:r w:rsidRPr="00C6052E">
        <w:t>and</w:t>
      </w:r>
      <w:r w:rsidR="00177848" w:rsidRPr="00C6052E">
        <w:t xml:space="preserve"> </w:t>
      </w:r>
      <w:r w:rsidRPr="00C6052E">
        <w:t>Cisco,</w:t>
      </w:r>
      <w:r w:rsidR="00177848" w:rsidRPr="00C6052E">
        <w:t xml:space="preserve"> </w:t>
      </w:r>
      <w:r w:rsidRPr="00C6052E">
        <w:t>developed</w:t>
      </w:r>
      <w:r w:rsidR="00177848" w:rsidRPr="00C6052E">
        <w:t xml:space="preserve"> </w:t>
      </w:r>
      <w:r w:rsidRPr="00C6052E">
        <w:t>a</w:t>
      </w:r>
      <w:r w:rsidR="00177848" w:rsidRPr="00C6052E">
        <w:t xml:space="preserve"> </w:t>
      </w:r>
      <w:r w:rsidRPr="00C6052E">
        <w:t>suite</w:t>
      </w:r>
      <w:r w:rsidR="00177848" w:rsidRPr="00C6052E">
        <w:t xml:space="preserve"> </w:t>
      </w:r>
      <w:r w:rsidRPr="00C6052E">
        <w:t>of</w:t>
      </w:r>
      <w:r w:rsidR="00177848" w:rsidRPr="00C6052E">
        <w:t xml:space="preserve"> </w:t>
      </w:r>
      <w:r w:rsidRPr="00C6052E">
        <w:t>new</w:t>
      </w:r>
      <w:r w:rsidR="00177848" w:rsidRPr="00C6052E">
        <w:t xml:space="preserve"> </w:t>
      </w:r>
      <w:r w:rsidRPr="00C6052E">
        <w:t>digital</w:t>
      </w:r>
      <w:r w:rsidR="00177848" w:rsidRPr="00C6052E">
        <w:t xml:space="preserve"> </w:t>
      </w:r>
      <w:r w:rsidRPr="00C6052E">
        <w:t>training</w:t>
      </w:r>
      <w:r w:rsidR="00177848" w:rsidRPr="00C6052E">
        <w:t xml:space="preserve"> </w:t>
      </w:r>
      <w:r w:rsidRPr="00C6052E">
        <w:t>courses</w:t>
      </w:r>
      <w:r w:rsidR="00177848" w:rsidRPr="00C6052E">
        <w:t xml:space="preserve"> </w:t>
      </w:r>
      <w:r w:rsidRPr="00C6052E">
        <w:t>for</w:t>
      </w:r>
      <w:r w:rsidR="00177848" w:rsidRPr="00C6052E">
        <w:t xml:space="preserve"> </w:t>
      </w:r>
      <w:r w:rsidRPr="00C6052E">
        <w:t>the</w:t>
      </w:r>
      <w:r w:rsidR="00177848" w:rsidRPr="00C6052E">
        <w:t xml:space="preserve"> </w:t>
      </w:r>
      <w:r w:rsidRPr="00C6052E">
        <w:t>health</w:t>
      </w:r>
      <w:r w:rsidR="00177848" w:rsidRPr="00C6052E">
        <w:t xml:space="preserve"> </w:t>
      </w:r>
      <w:r w:rsidRPr="00C6052E">
        <w:t>sector.</w:t>
      </w:r>
      <w:r w:rsidR="00177848" w:rsidRPr="00C6052E">
        <w:t xml:space="preserve"> </w:t>
      </w:r>
      <w:r w:rsidRPr="00C6052E">
        <w:t>Grampian</w:t>
      </w:r>
      <w:r w:rsidR="00177848" w:rsidRPr="00C6052E">
        <w:t xml:space="preserve"> </w:t>
      </w:r>
      <w:r w:rsidRPr="00C6052E">
        <w:t>Health</w:t>
      </w:r>
      <w:r w:rsidR="00177848" w:rsidRPr="00C6052E">
        <w:t xml:space="preserve"> </w:t>
      </w:r>
      <w:r w:rsidRPr="00C6052E">
        <w:t>plans</w:t>
      </w:r>
      <w:r w:rsidR="00177848" w:rsidRPr="00C6052E">
        <w:t xml:space="preserve"> </w:t>
      </w:r>
      <w:r w:rsidRPr="00C6052E">
        <w:t>to</w:t>
      </w:r>
      <w:r w:rsidR="00177848" w:rsidRPr="00C6052E">
        <w:t xml:space="preserve"> </w:t>
      </w:r>
      <w:r w:rsidRPr="00C6052E">
        <w:t>use</w:t>
      </w:r>
      <w:r w:rsidR="00177848" w:rsidRPr="00C6052E">
        <w:t xml:space="preserve"> </w:t>
      </w:r>
      <w:r w:rsidRPr="00C6052E">
        <w:t>the</w:t>
      </w:r>
      <w:r w:rsidR="00177848" w:rsidRPr="00C6052E">
        <w:t xml:space="preserve"> </w:t>
      </w:r>
      <w:r w:rsidRPr="00C6052E">
        <w:t>training</w:t>
      </w:r>
      <w:r w:rsidR="00177848" w:rsidRPr="00C6052E">
        <w:t xml:space="preserve"> </w:t>
      </w:r>
      <w:r w:rsidRPr="00C6052E">
        <w:t>to</w:t>
      </w:r>
      <w:r w:rsidR="00177848" w:rsidRPr="00C6052E">
        <w:t xml:space="preserve"> </w:t>
      </w:r>
      <w:r w:rsidRPr="00C6052E">
        <w:t>upskill</w:t>
      </w:r>
      <w:r w:rsidR="00177848" w:rsidRPr="00C6052E">
        <w:t xml:space="preserve"> </w:t>
      </w:r>
      <w:r w:rsidRPr="00C6052E">
        <w:t>over</w:t>
      </w:r>
      <w:r w:rsidR="00177848" w:rsidRPr="00C6052E">
        <w:t xml:space="preserve"> </w:t>
      </w:r>
      <w:r w:rsidRPr="00C6052E">
        <w:t>7,000</w:t>
      </w:r>
      <w:r w:rsidR="00177848" w:rsidRPr="00C6052E">
        <w:t xml:space="preserve"> </w:t>
      </w:r>
      <w:r w:rsidRPr="00C6052E">
        <w:t>staff</w:t>
      </w:r>
      <w:r w:rsidR="00177848" w:rsidRPr="00C6052E">
        <w:t xml:space="preserve"> </w:t>
      </w:r>
      <w:r w:rsidRPr="00C6052E">
        <w:t>in</w:t>
      </w:r>
      <w:r w:rsidR="00177848" w:rsidRPr="00C6052E">
        <w:t xml:space="preserve"> </w:t>
      </w:r>
      <w:r w:rsidRPr="00C6052E">
        <w:t>Victoria's</w:t>
      </w:r>
      <w:r w:rsidR="00177848" w:rsidRPr="00C6052E">
        <w:t xml:space="preserve"> </w:t>
      </w:r>
      <w:r w:rsidRPr="00C6052E">
        <w:t>northwest</w:t>
      </w:r>
      <w:r w:rsidR="00177848" w:rsidRPr="00C6052E">
        <w:t xml:space="preserve"> </w:t>
      </w:r>
      <w:r w:rsidRPr="00C6052E">
        <w:t>region</w:t>
      </w:r>
      <w:r w:rsidR="00177848" w:rsidRPr="00C6052E">
        <w:t xml:space="preserve"> </w:t>
      </w:r>
      <w:r w:rsidRPr="00C6052E">
        <w:t>as</w:t>
      </w:r>
      <w:r w:rsidR="00177848" w:rsidRPr="00C6052E">
        <w:t xml:space="preserve"> </w:t>
      </w:r>
      <w:r w:rsidRPr="00C6052E">
        <w:t>the</w:t>
      </w:r>
      <w:r w:rsidR="00177848" w:rsidRPr="00C6052E">
        <w:t xml:space="preserve"> </w:t>
      </w:r>
      <w:r w:rsidRPr="00C6052E">
        <w:t>organisation</w:t>
      </w:r>
      <w:r w:rsidR="00177848" w:rsidRPr="00C6052E">
        <w:t xml:space="preserve"> </w:t>
      </w:r>
      <w:r w:rsidRPr="00C6052E">
        <w:t>implements</w:t>
      </w:r>
      <w:r w:rsidR="00177848" w:rsidRPr="00C6052E">
        <w:t xml:space="preserve"> </w:t>
      </w:r>
      <w:r w:rsidRPr="00C6052E">
        <w:t>a</w:t>
      </w:r>
      <w:r w:rsidR="00177848" w:rsidRPr="00C6052E">
        <w:t xml:space="preserve"> </w:t>
      </w:r>
      <w:r w:rsidRPr="00C6052E">
        <w:t>new</w:t>
      </w:r>
      <w:r w:rsidR="00177848" w:rsidRPr="00C6052E">
        <w:t xml:space="preserve"> </w:t>
      </w:r>
      <w:r w:rsidRPr="00C6052E">
        <w:t>electronic</w:t>
      </w:r>
      <w:r w:rsidR="00177848" w:rsidRPr="00C6052E">
        <w:t xml:space="preserve"> </w:t>
      </w:r>
      <w:r w:rsidRPr="00C6052E">
        <w:t>records</w:t>
      </w:r>
      <w:r w:rsidR="00177848" w:rsidRPr="00C6052E">
        <w:t xml:space="preserve"> </w:t>
      </w:r>
      <w:r w:rsidRPr="00C6052E">
        <w:t>management</w:t>
      </w:r>
      <w:r w:rsidR="00177848" w:rsidRPr="00C6052E">
        <w:t xml:space="preserve"> </w:t>
      </w:r>
      <w:r w:rsidRPr="00C6052E">
        <w:t>system.</w:t>
      </w:r>
    </w:p>
    <w:p w14:paraId="58905547" w14:textId="151016CF" w:rsidR="00EE5BB8" w:rsidRPr="00C6052E" w:rsidRDefault="00EE5BB8" w:rsidP="00EE5BB8">
      <w:pPr>
        <w:pStyle w:val="Heading4"/>
      </w:pPr>
      <w:r w:rsidRPr="00C6052E">
        <w:t>Small</w:t>
      </w:r>
      <w:r w:rsidR="00177848" w:rsidRPr="00C6052E">
        <w:t xml:space="preserve"> </w:t>
      </w:r>
      <w:r w:rsidRPr="00C6052E">
        <w:t>Business</w:t>
      </w:r>
      <w:r w:rsidR="00177848" w:rsidRPr="00C6052E">
        <w:t xml:space="preserve"> </w:t>
      </w:r>
      <w:r w:rsidRPr="00C6052E">
        <w:t>Victoria</w:t>
      </w:r>
    </w:p>
    <w:p w14:paraId="34247064" w14:textId="19D3160F" w:rsidR="00EE5BB8" w:rsidRPr="00C6052E" w:rsidRDefault="00EE5BB8" w:rsidP="00EE5BB8">
      <w:r w:rsidRPr="00C6052E">
        <w:t>Small</w:t>
      </w:r>
      <w:r w:rsidR="00177848" w:rsidRPr="00C6052E">
        <w:t xml:space="preserve"> </w:t>
      </w:r>
      <w:r w:rsidRPr="00C6052E">
        <w:t>Business</w:t>
      </w:r>
      <w:r w:rsidR="00177848" w:rsidRPr="00C6052E">
        <w:t xml:space="preserve"> </w:t>
      </w:r>
      <w:r w:rsidRPr="00C6052E">
        <w:t>Victoria</w:t>
      </w:r>
      <w:r w:rsidR="00177848" w:rsidRPr="00C6052E">
        <w:t xml:space="preserve"> </w:t>
      </w:r>
      <w:r w:rsidRPr="00C6052E">
        <w:t>delivered</w:t>
      </w:r>
      <w:r w:rsidR="00177848" w:rsidRPr="00C6052E">
        <w:t xml:space="preserve"> </w:t>
      </w:r>
      <w:r w:rsidRPr="00C6052E">
        <w:t>tailored</w:t>
      </w:r>
      <w:r w:rsidR="00177848" w:rsidRPr="00C6052E">
        <w:t xml:space="preserve"> </w:t>
      </w:r>
      <w:r w:rsidRPr="00C6052E">
        <w:t>programs,</w:t>
      </w:r>
      <w:r w:rsidR="00177848" w:rsidRPr="00C6052E">
        <w:t xml:space="preserve"> </w:t>
      </w:r>
      <w:r w:rsidRPr="00C6052E">
        <w:t>targeted</w:t>
      </w:r>
      <w:r w:rsidR="00177848" w:rsidRPr="00C6052E">
        <w:t xml:space="preserve"> </w:t>
      </w:r>
      <w:r w:rsidRPr="00C6052E">
        <w:t>grants,</w:t>
      </w:r>
      <w:r w:rsidR="00177848" w:rsidRPr="00C6052E">
        <w:t xml:space="preserve"> </w:t>
      </w:r>
      <w:r w:rsidRPr="00C6052E">
        <w:t>integrated</w:t>
      </w:r>
      <w:r w:rsidR="00177848" w:rsidRPr="00C6052E">
        <w:t xml:space="preserve"> </w:t>
      </w:r>
      <w:r w:rsidRPr="00C6052E">
        <w:t>wellbeing</w:t>
      </w:r>
      <w:r w:rsidR="00177848" w:rsidRPr="00C6052E">
        <w:t xml:space="preserve"> </w:t>
      </w:r>
      <w:r w:rsidRPr="00C6052E">
        <w:t>support,</w:t>
      </w:r>
      <w:r w:rsidR="00177848" w:rsidRPr="00C6052E">
        <w:t xml:space="preserve"> </w:t>
      </w:r>
      <w:r w:rsidRPr="00C6052E">
        <w:t>financial</w:t>
      </w:r>
      <w:r w:rsidR="00177848" w:rsidRPr="00C6052E">
        <w:t xml:space="preserve"> </w:t>
      </w:r>
      <w:r w:rsidRPr="00C6052E">
        <w:t>counselling</w:t>
      </w:r>
      <w:r w:rsidR="00177848" w:rsidRPr="00C6052E">
        <w:t xml:space="preserve"> </w:t>
      </w:r>
      <w:r w:rsidRPr="00C6052E">
        <w:t>and</w:t>
      </w:r>
      <w:r w:rsidR="00177848" w:rsidRPr="00C6052E">
        <w:t xml:space="preserve"> </w:t>
      </w:r>
      <w:r w:rsidRPr="00C6052E">
        <w:t>business</w:t>
      </w:r>
      <w:r w:rsidR="00177848" w:rsidRPr="00C6052E">
        <w:t xml:space="preserve"> </w:t>
      </w:r>
      <w:r w:rsidRPr="00C6052E">
        <w:t>advisory</w:t>
      </w:r>
      <w:r w:rsidR="00177848" w:rsidRPr="00C6052E">
        <w:t xml:space="preserve"> </w:t>
      </w:r>
      <w:r w:rsidRPr="00C6052E">
        <w:t>support</w:t>
      </w:r>
      <w:r w:rsidR="00177848" w:rsidRPr="00C6052E">
        <w:t xml:space="preserve"> </w:t>
      </w:r>
      <w:r w:rsidRPr="00C6052E">
        <w:t>to</w:t>
      </w:r>
      <w:r w:rsidR="00177848" w:rsidRPr="00C6052E">
        <w:t xml:space="preserve"> </w:t>
      </w:r>
      <w:r w:rsidRPr="00C6052E">
        <w:t>small</w:t>
      </w:r>
      <w:r w:rsidR="00177848" w:rsidRPr="00C6052E">
        <w:t xml:space="preserve"> </w:t>
      </w:r>
      <w:r w:rsidRPr="00C6052E">
        <w:t>businesses</w:t>
      </w:r>
      <w:r w:rsidR="00177848" w:rsidRPr="00C6052E">
        <w:t xml:space="preserve"> </w:t>
      </w:r>
      <w:r w:rsidRPr="00C6052E">
        <w:t>across</w:t>
      </w:r>
      <w:r w:rsidR="00177848" w:rsidRPr="00C6052E">
        <w:t xml:space="preserve"> </w:t>
      </w:r>
      <w:r w:rsidRPr="00C6052E">
        <w:t>Victoria,</w:t>
      </w:r>
      <w:r w:rsidR="00177848" w:rsidRPr="00C6052E">
        <w:t xml:space="preserve"> </w:t>
      </w:r>
      <w:r w:rsidRPr="00C6052E">
        <w:t>including</w:t>
      </w:r>
      <w:r w:rsidR="00177848" w:rsidRPr="00C6052E">
        <w:t xml:space="preserve"> </w:t>
      </w:r>
      <w:r w:rsidRPr="00C6052E">
        <w:t>those</w:t>
      </w:r>
      <w:r w:rsidR="00177848" w:rsidRPr="00C6052E">
        <w:t xml:space="preserve"> </w:t>
      </w:r>
      <w:r w:rsidRPr="00C6052E">
        <w:t>impacted</w:t>
      </w:r>
      <w:r w:rsidR="00177848" w:rsidRPr="00C6052E">
        <w:t xml:space="preserve"> </w:t>
      </w:r>
      <w:r w:rsidRPr="00C6052E">
        <w:t>by</w:t>
      </w:r>
      <w:r w:rsidR="00177848" w:rsidRPr="00C6052E">
        <w:t xml:space="preserve"> </w:t>
      </w:r>
      <w:r w:rsidRPr="00C6052E">
        <w:t>floods.</w:t>
      </w:r>
      <w:r w:rsidR="00177848" w:rsidRPr="00C6052E">
        <w:t xml:space="preserve"> </w:t>
      </w:r>
      <w:r w:rsidRPr="00C6052E">
        <w:t>The</w:t>
      </w:r>
      <w:r w:rsidR="00177848" w:rsidRPr="00C6052E">
        <w:t xml:space="preserve"> </w:t>
      </w:r>
      <w:r w:rsidRPr="00C6052E">
        <w:t>Small</w:t>
      </w:r>
      <w:r w:rsidR="00177848" w:rsidRPr="00C6052E">
        <w:t xml:space="preserve"> </w:t>
      </w:r>
      <w:r w:rsidRPr="00C6052E">
        <w:t>Business</w:t>
      </w:r>
      <w:r w:rsidR="00177848" w:rsidRPr="00C6052E">
        <w:t xml:space="preserve"> </w:t>
      </w:r>
      <w:r w:rsidRPr="00C6052E">
        <w:t>Bus</w:t>
      </w:r>
      <w:r w:rsidR="00177848" w:rsidRPr="00C6052E">
        <w:t xml:space="preserve"> </w:t>
      </w:r>
      <w:r w:rsidRPr="00C6052E">
        <w:t>visited</w:t>
      </w:r>
      <w:r w:rsidR="00177848" w:rsidRPr="00C6052E">
        <w:t xml:space="preserve"> </w:t>
      </w:r>
      <w:r w:rsidRPr="00C6052E">
        <w:t>all</w:t>
      </w:r>
      <w:r w:rsidR="00177848" w:rsidRPr="00C6052E">
        <w:t xml:space="preserve"> </w:t>
      </w:r>
      <w:r w:rsidRPr="00C6052E">
        <w:t>79</w:t>
      </w:r>
      <w:r w:rsidR="00177848" w:rsidRPr="00C6052E">
        <w:t xml:space="preserve"> </w:t>
      </w:r>
      <w:r w:rsidRPr="00C6052E">
        <w:t>Victorian</w:t>
      </w:r>
      <w:r w:rsidR="00177848" w:rsidRPr="00C6052E">
        <w:t xml:space="preserve"> </w:t>
      </w:r>
      <w:r w:rsidRPr="00C6052E">
        <w:t>local</w:t>
      </w:r>
      <w:r w:rsidR="00177848" w:rsidRPr="00C6052E">
        <w:t xml:space="preserve"> </w:t>
      </w:r>
      <w:r w:rsidRPr="00C6052E">
        <w:t>government</w:t>
      </w:r>
      <w:r w:rsidR="00177848" w:rsidRPr="00C6052E">
        <w:t xml:space="preserve"> </w:t>
      </w:r>
      <w:r w:rsidRPr="00C6052E">
        <w:t>areas,</w:t>
      </w:r>
      <w:r w:rsidR="00177848" w:rsidRPr="00C6052E">
        <w:t xml:space="preserve"> </w:t>
      </w:r>
      <w:r w:rsidRPr="00C6052E">
        <w:t>providing</w:t>
      </w:r>
      <w:r w:rsidR="00177848" w:rsidRPr="00C6052E">
        <w:t xml:space="preserve"> </w:t>
      </w:r>
      <w:r w:rsidRPr="00C6052E">
        <w:t>advice</w:t>
      </w:r>
      <w:r w:rsidR="00177848" w:rsidRPr="00C6052E">
        <w:t xml:space="preserve"> </w:t>
      </w:r>
      <w:r w:rsidRPr="00C6052E">
        <w:t>and</w:t>
      </w:r>
      <w:r w:rsidR="00177848" w:rsidRPr="00C6052E">
        <w:t xml:space="preserve"> </w:t>
      </w:r>
      <w:r w:rsidRPr="00C6052E">
        <w:t>sharing</w:t>
      </w:r>
      <w:r w:rsidR="00177848" w:rsidRPr="00C6052E">
        <w:t xml:space="preserve"> </w:t>
      </w:r>
      <w:r w:rsidRPr="00C6052E">
        <w:t>information.</w:t>
      </w:r>
      <w:r w:rsidR="00177848" w:rsidRPr="00C6052E">
        <w:t xml:space="preserve"> </w:t>
      </w:r>
      <w:r w:rsidRPr="00C6052E">
        <w:t>The</w:t>
      </w:r>
      <w:r w:rsidR="00177848" w:rsidRPr="00C6052E">
        <w:t xml:space="preserve"> </w:t>
      </w:r>
      <w:r w:rsidRPr="00C6052E">
        <w:t>Business</w:t>
      </w:r>
      <w:r w:rsidR="00177848" w:rsidRPr="00C6052E">
        <w:t xml:space="preserve"> </w:t>
      </w:r>
      <w:r w:rsidRPr="00C6052E">
        <w:t>Victoria</w:t>
      </w:r>
      <w:r w:rsidR="00177848" w:rsidRPr="00C6052E">
        <w:t xml:space="preserve"> </w:t>
      </w:r>
      <w:r w:rsidRPr="00C6052E">
        <w:t>website</w:t>
      </w:r>
      <w:r w:rsidR="00177848" w:rsidRPr="00C6052E">
        <w:t xml:space="preserve"> </w:t>
      </w:r>
      <w:r w:rsidRPr="00C6052E">
        <w:t>had</w:t>
      </w:r>
      <w:r w:rsidR="00177848" w:rsidRPr="00C6052E">
        <w:t xml:space="preserve"> </w:t>
      </w:r>
      <w:r w:rsidRPr="00C6052E">
        <w:t>4.8</w:t>
      </w:r>
      <w:r w:rsidR="00177848" w:rsidRPr="00C6052E">
        <w:t xml:space="preserve"> </w:t>
      </w:r>
      <w:r w:rsidRPr="00C6052E">
        <w:t>million</w:t>
      </w:r>
      <w:r w:rsidR="00177848" w:rsidRPr="00C6052E">
        <w:t xml:space="preserve"> </w:t>
      </w:r>
      <w:r w:rsidRPr="00C6052E">
        <w:t>visits</w:t>
      </w:r>
      <w:r w:rsidR="00177848" w:rsidRPr="00C6052E">
        <w:t xml:space="preserve"> </w:t>
      </w:r>
      <w:r w:rsidRPr="00C6052E">
        <w:t>and</w:t>
      </w:r>
      <w:r w:rsidR="00177848" w:rsidRPr="00C6052E">
        <w:t xml:space="preserve"> </w:t>
      </w:r>
      <w:r w:rsidRPr="00C6052E">
        <w:t>continued</w:t>
      </w:r>
      <w:r w:rsidR="00177848" w:rsidRPr="00C6052E">
        <w:t xml:space="preserve"> </w:t>
      </w:r>
      <w:r w:rsidRPr="00C6052E">
        <w:t>to</w:t>
      </w:r>
      <w:r w:rsidR="00177848" w:rsidRPr="00C6052E">
        <w:t xml:space="preserve"> </w:t>
      </w:r>
      <w:r w:rsidRPr="00C6052E">
        <w:t>connect</w:t>
      </w:r>
      <w:r w:rsidR="00177848" w:rsidRPr="00C6052E">
        <w:t xml:space="preserve"> </w:t>
      </w:r>
      <w:r w:rsidRPr="00C6052E">
        <w:t>businesses</w:t>
      </w:r>
      <w:r w:rsidR="00177848" w:rsidRPr="00C6052E">
        <w:t xml:space="preserve"> </w:t>
      </w:r>
      <w:r w:rsidRPr="00C6052E">
        <w:t>to</w:t>
      </w:r>
      <w:r w:rsidR="00177848" w:rsidRPr="00C6052E">
        <w:t xml:space="preserve"> </w:t>
      </w:r>
      <w:r w:rsidRPr="00C6052E">
        <w:t>these</w:t>
      </w:r>
      <w:r w:rsidR="00177848" w:rsidRPr="00C6052E">
        <w:t xml:space="preserve"> </w:t>
      </w:r>
      <w:r w:rsidRPr="00C6052E">
        <w:t>supports,</w:t>
      </w:r>
      <w:r w:rsidR="00177848" w:rsidRPr="00C6052E">
        <w:t xml:space="preserve"> </w:t>
      </w:r>
      <w:r w:rsidRPr="00C6052E">
        <w:t>helping</w:t>
      </w:r>
      <w:r w:rsidR="00177848" w:rsidRPr="00C6052E">
        <w:t xml:space="preserve"> </w:t>
      </w:r>
      <w:r w:rsidRPr="00C6052E">
        <w:t>to</w:t>
      </w:r>
      <w:r w:rsidR="00177848" w:rsidRPr="00C6052E">
        <w:t xml:space="preserve"> </w:t>
      </w:r>
      <w:r w:rsidRPr="00C6052E">
        <w:t>build</w:t>
      </w:r>
      <w:r w:rsidR="00177848" w:rsidRPr="00C6052E">
        <w:t xml:space="preserve"> </w:t>
      </w:r>
      <w:r w:rsidRPr="00C6052E">
        <w:t>Victorian</w:t>
      </w:r>
      <w:r w:rsidR="00177848" w:rsidRPr="00C6052E">
        <w:t xml:space="preserve"> </w:t>
      </w:r>
      <w:r w:rsidRPr="00C6052E">
        <w:t>businesses’</w:t>
      </w:r>
      <w:r w:rsidR="00177848" w:rsidRPr="00C6052E">
        <w:t xml:space="preserve"> </w:t>
      </w:r>
      <w:r w:rsidRPr="00C6052E">
        <w:t>capability</w:t>
      </w:r>
      <w:r w:rsidR="00177848" w:rsidRPr="00C6052E">
        <w:t xml:space="preserve"> </w:t>
      </w:r>
      <w:r w:rsidRPr="00C6052E">
        <w:t>to</w:t>
      </w:r>
      <w:r w:rsidR="00177848" w:rsidRPr="00C6052E">
        <w:t xml:space="preserve"> </w:t>
      </w:r>
      <w:r w:rsidRPr="00C6052E">
        <w:t>start</w:t>
      </w:r>
      <w:r w:rsidR="00177848" w:rsidRPr="00C6052E">
        <w:t xml:space="preserve"> </w:t>
      </w:r>
      <w:r w:rsidRPr="00C6052E">
        <w:t>and</w:t>
      </w:r>
      <w:r w:rsidR="00177848" w:rsidRPr="00C6052E">
        <w:t xml:space="preserve"> </w:t>
      </w:r>
      <w:r w:rsidRPr="00C6052E">
        <w:t>grow</w:t>
      </w:r>
      <w:r w:rsidR="00177848" w:rsidRPr="00C6052E">
        <w:t xml:space="preserve"> </w:t>
      </w:r>
      <w:r w:rsidRPr="00C6052E">
        <w:t>their</w:t>
      </w:r>
      <w:r w:rsidR="00177848" w:rsidRPr="00C6052E">
        <w:t xml:space="preserve"> </w:t>
      </w:r>
      <w:r w:rsidRPr="00C6052E">
        <w:t>businesses.</w:t>
      </w:r>
    </w:p>
    <w:p w14:paraId="74F87FDF" w14:textId="07C38795" w:rsidR="00EE5BB8" w:rsidRPr="00C6052E" w:rsidRDefault="00EE5BB8" w:rsidP="00EE5BB8">
      <w:pPr>
        <w:pStyle w:val="Heading4"/>
      </w:pPr>
      <w:bookmarkStart w:id="14" w:name="_Hlk203743944"/>
      <w:r w:rsidRPr="00C6052E">
        <w:lastRenderedPageBreak/>
        <w:t>Medical</w:t>
      </w:r>
      <w:r w:rsidR="00177848" w:rsidRPr="00C6052E">
        <w:t xml:space="preserve"> </w:t>
      </w:r>
      <w:r w:rsidRPr="00C6052E">
        <w:t>Research,</w:t>
      </w:r>
      <w:r w:rsidR="00177848" w:rsidRPr="00C6052E">
        <w:t xml:space="preserve"> </w:t>
      </w:r>
      <w:r w:rsidRPr="00C6052E">
        <w:t>Health</w:t>
      </w:r>
      <w:r w:rsidR="00177848" w:rsidRPr="00C6052E">
        <w:t xml:space="preserve"> </w:t>
      </w:r>
      <w:r w:rsidRPr="00C6052E">
        <w:t>Technologies</w:t>
      </w:r>
      <w:r w:rsidR="00177848" w:rsidRPr="00C6052E">
        <w:t xml:space="preserve"> </w:t>
      </w:r>
      <w:r w:rsidRPr="00C6052E">
        <w:t>and</w:t>
      </w:r>
      <w:r w:rsidR="00177848" w:rsidRPr="00C6052E">
        <w:t xml:space="preserve"> </w:t>
      </w:r>
      <w:r w:rsidRPr="00C6052E">
        <w:t>Innovation</w:t>
      </w:r>
      <w:r w:rsidR="00177848" w:rsidRPr="00C6052E">
        <w:t xml:space="preserve"> </w:t>
      </w:r>
      <w:r w:rsidRPr="00C6052E">
        <w:t>Programs</w:t>
      </w:r>
      <w:r w:rsidR="00177848" w:rsidRPr="00C6052E">
        <w:t xml:space="preserve"> </w:t>
      </w:r>
    </w:p>
    <w:bookmarkEnd w:id="14"/>
    <w:p w14:paraId="7C4E7C27" w14:textId="1FE19194" w:rsidR="00EE5BB8" w:rsidRPr="00C6052E" w:rsidRDefault="00EE5BB8" w:rsidP="00EE5BB8">
      <w:pPr>
        <w:keepLines/>
      </w:pPr>
      <w:r w:rsidRPr="00C6052E">
        <w:t>Medical</w:t>
      </w:r>
      <w:r w:rsidR="00177848" w:rsidRPr="00C6052E">
        <w:t xml:space="preserve"> </w:t>
      </w:r>
      <w:r w:rsidRPr="00C6052E">
        <w:t>Research,</w:t>
      </w:r>
      <w:r w:rsidR="00177848" w:rsidRPr="00C6052E">
        <w:t xml:space="preserve"> </w:t>
      </w:r>
      <w:r w:rsidRPr="00C6052E">
        <w:t>Health</w:t>
      </w:r>
      <w:r w:rsidR="00177848" w:rsidRPr="00C6052E">
        <w:t xml:space="preserve"> </w:t>
      </w:r>
      <w:r w:rsidRPr="00C6052E">
        <w:t>Technologies</w:t>
      </w:r>
      <w:r w:rsidR="00177848" w:rsidRPr="00C6052E">
        <w:t xml:space="preserve"> </w:t>
      </w:r>
      <w:r w:rsidRPr="00C6052E">
        <w:t>and</w:t>
      </w:r>
      <w:r w:rsidR="00177848" w:rsidRPr="00C6052E">
        <w:t xml:space="preserve"> </w:t>
      </w:r>
      <w:r w:rsidRPr="00C6052E">
        <w:t>Innovation</w:t>
      </w:r>
      <w:r w:rsidR="00177848" w:rsidRPr="00C6052E">
        <w:t xml:space="preserve"> </w:t>
      </w:r>
      <w:r w:rsidRPr="00C6052E">
        <w:t>Programs</w:t>
      </w:r>
      <w:r w:rsidR="00177848" w:rsidRPr="00C6052E">
        <w:t xml:space="preserve"> </w:t>
      </w:r>
      <w:r w:rsidRPr="00C6052E">
        <w:t>implemented</w:t>
      </w:r>
      <w:r w:rsidR="00177848" w:rsidRPr="00C6052E">
        <w:t xml:space="preserve"> </w:t>
      </w:r>
      <w:r w:rsidRPr="00C6052E">
        <w:t>a</w:t>
      </w:r>
      <w:r w:rsidR="00177848" w:rsidRPr="00C6052E">
        <w:t xml:space="preserve"> </w:t>
      </w:r>
      <w:r w:rsidRPr="00C6052E">
        <w:t>range</w:t>
      </w:r>
      <w:r w:rsidR="00177848" w:rsidRPr="00C6052E">
        <w:t xml:space="preserve"> </w:t>
      </w:r>
      <w:r w:rsidRPr="00C6052E">
        <w:t>of</w:t>
      </w:r>
      <w:r w:rsidR="00177848" w:rsidRPr="00C6052E">
        <w:t xml:space="preserve"> </w:t>
      </w:r>
      <w:r w:rsidRPr="00C6052E">
        <w:t>initiatives</w:t>
      </w:r>
      <w:r w:rsidR="00177848" w:rsidRPr="00C6052E">
        <w:t xml:space="preserve"> </w:t>
      </w:r>
      <w:r w:rsidRPr="00C6052E">
        <w:t>to</w:t>
      </w:r>
      <w:r w:rsidR="00177848" w:rsidRPr="00C6052E">
        <w:t xml:space="preserve"> </w:t>
      </w:r>
      <w:r w:rsidRPr="00C6052E">
        <w:t>support</w:t>
      </w:r>
      <w:r w:rsidR="00177848" w:rsidRPr="00C6052E">
        <w:t xml:space="preserve"> </w:t>
      </w:r>
      <w:r w:rsidRPr="00C6052E">
        <w:t>and</w:t>
      </w:r>
      <w:r w:rsidR="00177848" w:rsidRPr="00C6052E">
        <w:t xml:space="preserve"> </w:t>
      </w:r>
      <w:r w:rsidRPr="00C6052E">
        <w:t>grow</w:t>
      </w:r>
      <w:r w:rsidR="00177848" w:rsidRPr="00C6052E">
        <w:t xml:space="preserve"> </w:t>
      </w:r>
      <w:r w:rsidRPr="00C6052E">
        <w:t>the</w:t>
      </w:r>
      <w:r w:rsidR="00177848" w:rsidRPr="00C6052E">
        <w:t xml:space="preserve"> </w:t>
      </w:r>
      <w:r w:rsidRPr="00C6052E">
        <w:t>capabilities</w:t>
      </w:r>
      <w:r w:rsidR="00177848" w:rsidRPr="00C6052E">
        <w:t xml:space="preserve"> </w:t>
      </w:r>
      <w:r w:rsidRPr="00C6052E">
        <w:t>of</w:t>
      </w:r>
      <w:r w:rsidR="00177848" w:rsidRPr="00C6052E">
        <w:t xml:space="preserve"> </w:t>
      </w:r>
      <w:r w:rsidRPr="00C6052E">
        <w:t>the</w:t>
      </w:r>
      <w:r w:rsidR="00177848" w:rsidRPr="00C6052E">
        <w:t xml:space="preserve"> </w:t>
      </w:r>
      <w:r w:rsidRPr="00C6052E">
        <w:t>health</w:t>
      </w:r>
      <w:r w:rsidR="00177848" w:rsidRPr="00C6052E">
        <w:t xml:space="preserve"> </w:t>
      </w:r>
      <w:r w:rsidRPr="00C6052E">
        <w:t>technologies</w:t>
      </w:r>
      <w:r w:rsidR="00177848" w:rsidRPr="00C6052E">
        <w:t xml:space="preserve"> </w:t>
      </w:r>
      <w:r w:rsidRPr="00C6052E">
        <w:t>and</w:t>
      </w:r>
      <w:r w:rsidR="00177848" w:rsidRPr="00C6052E">
        <w:t xml:space="preserve"> </w:t>
      </w:r>
      <w:r w:rsidRPr="00C6052E">
        <w:t>medical</w:t>
      </w:r>
      <w:r w:rsidR="00177848" w:rsidRPr="00C6052E">
        <w:t xml:space="preserve"> </w:t>
      </w:r>
      <w:r w:rsidRPr="00C6052E">
        <w:t>research</w:t>
      </w:r>
      <w:r w:rsidR="00177848" w:rsidRPr="00C6052E">
        <w:t xml:space="preserve"> </w:t>
      </w:r>
      <w:r w:rsidRPr="00C6052E">
        <w:t>sector</w:t>
      </w:r>
      <w:r w:rsidR="00177848" w:rsidRPr="00C6052E">
        <w:t xml:space="preserve"> </w:t>
      </w:r>
      <w:r w:rsidRPr="00C6052E">
        <w:t>under</w:t>
      </w:r>
      <w:r w:rsidR="00177848" w:rsidRPr="00C6052E">
        <w:t xml:space="preserve"> </w:t>
      </w:r>
      <w:r w:rsidRPr="00C6052E">
        <w:t>the</w:t>
      </w:r>
      <w:r w:rsidR="00177848" w:rsidRPr="00C6052E">
        <w:t xml:space="preserve"> </w:t>
      </w:r>
      <w:r w:rsidRPr="00C6052E">
        <w:t>auspices</w:t>
      </w:r>
      <w:r w:rsidR="00177848" w:rsidRPr="00C6052E">
        <w:t xml:space="preserve"> </w:t>
      </w:r>
      <w:r w:rsidRPr="00C6052E">
        <w:t>of</w:t>
      </w:r>
      <w:r w:rsidR="00177848" w:rsidRPr="00C6052E">
        <w:t xml:space="preserve"> </w:t>
      </w:r>
      <w:r w:rsidRPr="00C6052E">
        <w:t>the</w:t>
      </w:r>
      <w:r w:rsidR="00177848" w:rsidRPr="00C6052E">
        <w:t xml:space="preserve"> </w:t>
      </w:r>
      <w:r w:rsidRPr="00C6052E">
        <w:t>Health</w:t>
      </w:r>
      <w:r w:rsidR="00177848" w:rsidRPr="00C6052E">
        <w:t xml:space="preserve"> </w:t>
      </w:r>
      <w:r w:rsidRPr="00C6052E">
        <w:t>and</w:t>
      </w:r>
      <w:r w:rsidR="00177848" w:rsidRPr="00C6052E">
        <w:t xml:space="preserve"> </w:t>
      </w:r>
      <w:r w:rsidRPr="00C6052E">
        <w:t>Medical</w:t>
      </w:r>
      <w:r w:rsidR="00177848" w:rsidRPr="00C6052E">
        <w:t xml:space="preserve"> </w:t>
      </w:r>
      <w:r w:rsidRPr="00C6052E">
        <w:t>Research</w:t>
      </w:r>
      <w:r w:rsidR="00177848" w:rsidRPr="00C6052E">
        <w:t xml:space="preserve"> </w:t>
      </w:r>
      <w:r w:rsidRPr="00C6052E">
        <w:t>Strategy</w:t>
      </w:r>
      <w:r w:rsidR="00177848" w:rsidRPr="00C6052E">
        <w:t xml:space="preserve"> </w:t>
      </w:r>
      <w:r w:rsidRPr="00C6052E">
        <w:t>2022–32,</w:t>
      </w:r>
      <w:r w:rsidR="00177848" w:rsidRPr="00C6052E">
        <w:t xml:space="preserve"> </w:t>
      </w:r>
      <w:r w:rsidRPr="00C6052E">
        <w:t>the</w:t>
      </w:r>
      <w:r w:rsidR="00177848" w:rsidRPr="00C6052E">
        <w:t xml:space="preserve"> </w:t>
      </w:r>
      <w:r w:rsidRPr="00C6052E">
        <w:t>Economic</w:t>
      </w:r>
      <w:r w:rsidR="00177848" w:rsidRPr="00C6052E">
        <w:t xml:space="preserve"> </w:t>
      </w:r>
      <w:r w:rsidRPr="00C6052E">
        <w:t>Growth</w:t>
      </w:r>
      <w:r w:rsidR="00177848" w:rsidRPr="00C6052E">
        <w:t xml:space="preserve"> </w:t>
      </w:r>
      <w:r w:rsidRPr="00C6052E">
        <w:t>Statement</w:t>
      </w:r>
      <w:r w:rsidR="00177848" w:rsidRPr="00C6052E">
        <w:t xml:space="preserve"> </w:t>
      </w:r>
      <w:r w:rsidRPr="00C6052E">
        <w:t>and</w:t>
      </w:r>
      <w:r w:rsidR="00177848" w:rsidRPr="00C6052E">
        <w:t xml:space="preserve"> </w:t>
      </w:r>
      <w:r w:rsidRPr="00C6052E">
        <w:t>related</w:t>
      </w:r>
      <w:r w:rsidR="00177848" w:rsidRPr="00C6052E">
        <w:t xml:space="preserve"> </w:t>
      </w:r>
      <w:r w:rsidRPr="00C6052E">
        <w:t>policies.</w:t>
      </w:r>
      <w:r w:rsidR="00177848" w:rsidRPr="00C6052E">
        <w:t xml:space="preserve"> </w:t>
      </w:r>
      <w:r w:rsidRPr="00C6052E">
        <w:t>The</w:t>
      </w:r>
      <w:r w:rsidR="00177848" w:rsidRPr="00C6052E">
        <w:t xml:space="preserve"> </w:t>
      </w:r>
      <w:r w:rsidRPr="00C6052E">
        <w:t>research</w:t>
      </w:r>
      <w:r w:rsidR="00177848" w:rsidRPr="00C6052E">
        <w:t xml:space="preserve"> </w:t>
      </w:r>
      <w:r w:rsidRPr="00C6052E">
        <w:t>translation</w:t>
      </w:r>
      <w:r w:rsidR="00177848" w:rsidRPr="00C6052E">
        <w:t xml:space="preserve"> </w:t>
      </w:r>
      <w:r w:rsidRPr="00C6052E">
        <w:t>pipeline</w:t>
      </w:r>
      <w:r w:rsidR="00177848" w:rsidRPr="00C6052E">
        <w:t xml:space="preserve"> </w:t>
      </w:r>
      <w:r w:rsidRPr="00C6052E">
        <w:t>–</w:t>
      </w:r>
      <w:r w:rsidR="00177848" w:rsidRPr="00C6052E">
        <w:t xml:space="preserve"> </w:t>
      </w:r>
      <w:r w:rsidRPr="00C6052E">
        <w:t>which</w:t>
      </w:r>
      <w:r w:rsidR="00177848" w:rsidRPr="00C6052E">
        <w:t xml:space="preserve"> </w:t>
      </w:r>
      <w:r w:rsidRPr="00C6052E">
        <w:t>aims</w:t>
      </w:r>
      <w:r w:rsidR="00177848" w:rsidRPr="00C6052E">
        <w:t xml:space="preserve"> </w:t>
      </w:r>
      <w:r w:rsidRPr="00C6052E">
        <w:t>to</w:t>
      </w:r>
      <w:r w:rsidR="00177848" w:rsidRPr="00C6052E">
        <w:t xml:space="preserve"> </w:t>
      </w:r>
      <w:r w:rsidRPr="00C6052E">
        <w:t>drive</w:t>
      </w:r>
      <w:r w:rsidR="00177848" w:rsidRPr="00C6052E">
        <w:t xml:space="preserve"> </w:t>
      </w:r>
      <w:r w:rsidRPr="00C6052E">
        <w:t>idea</w:t>
      </w:r>
      <w:r w:rsidR="00177848" w:rsidRPr="00C6052E">
        <w:t xml:space="preserve"> </w:t>
      </w:r>
      <w:r w:rsidRPr="00C6052E">
        <w:t>generation</w:t>
      </w:r>
      <w:r w:rsidR="00177848" w:rsidRPr="00C6052E">
        <w:t xml:space="preserve"> </w:t>
      </w:r>
      <w:r w:rsidRPr="00C6052E">
        <w:t>into</w:t>
      </w:r>
      <w:r w:rsidR="00177848" w:rsidRPr="00C6052E">
        <w:t xml:space="preserve"> </w:t>
      </w:r>
      <w:r w:rsidRPr="00C6052E">
        <w:t>products</w:t>
      </w:r>
      <w:r w:rsidR="00177848" w:rsidRPr="00C6052E">
        <w:t xml:space="preserve"> </w:t>
      </w:r>
      <w:r w:rsidRPr="00C6052E">
        <w:t>and</w:t>
      </w:r>
      <w:r w:rsidR="00177848" w:rsidRPr="00C6052E">
        <w:t xml:space="preserve"> </w:t>
      </w:r>
      <w:r w:rsidRPr="00C6052E">
        <w:t>services</w:t>
      </w:r>
      <w:r w:rsidR="00177848" w:rsidRPr="00C6052E">
        <w:t xml:space="preserve"> </w:t>
      </w:r>
      <w:r w:rsidRPr="00C6052E">
        <w:t>which</w:t>
      </w:r>
      <w:r w:rsidR="00177848" w:rsidRPr="00C6052E">
        <w:t xml:space="preserve"> </w:t>
      </w:r>
      <w:r w:rsidRPr="00C6052E">
        <w:t>benefit</w:t>
      </w:r>
      <w:r w:rsidR="00177848" w:rsidRPr="00C6052E">
        <w:t xml:space="preserve"> </w:t>
      </w:r>
      <w:r w:rsidRPr="00C6052E">
        <w:t>the</w:t>
      </w:r>
      <w:r w:rsidR="00177848" w:rsidRPr="00C6052E">
        <w:t xml:space="preserve"> </w:t>
      </w:r>
      <w:r w:rsidRPr="00C6052E">
        <w:t>Victorian</w:t>
      </w:r>
      <w:r w:rsidR="00177848" w:rsidRPr="00C6052E">
        <w:t xml:space="preserve"> </w:t>
      </w:r>
      <w:r w:rsidRPr="00C6052E">
        <w:t>community</w:t>
      </w:r>
      <w:r w:rsidR="00177848" w:rsidRPr="00C6052E">
        <w:t xml:space="preserve"> </w:t>
      </w:r>
      <w:r w:rsidRPr="00C6052E">
        <w:t>and</w:t>
      </w:r>
      <w:r w:rsidR="00177848" w:rsidRPr="00C6052E">
        <w:t xml:space="preserve"> </w:t>
      </w:r>
      <w:r w:rsidRPr="00C6052E">
        <w:t>beyond</w:t>
      </w:r>
      <w:r w:rsidR="00177848" w:rsidRPr="00C6052E">
        <w:t xml:space="preserve"> </w:t>
      </w:r>
      <w:r w:rsidRPr="00C6052E">
        <w:t>via</w:t>
      </w:r>
      <w:r w:rsidR="00177848" w:rsidRPr="00C6052E">
        <w:t xml:space="preserve"> </w:t>
      </w:r>
      <w:r w:rsidRPr="00C6052E">
        <w:t>improved</w:t>
      </w:r>
      <w:r w:rsidR="00177848" w:rsidRPr="00C6052E">
        <w:t xml:space="preserve"> </w:t>
      </w:r>
      <w:r w:rsidRPr="00C6052E">
        <w:t>health</w:t>
      </w:r>
      <w:r w:rsidR="00177848" w:rsidRPr="00C6052E">
        <w:t xml:space="preserve"> </w:t>
      </w:r>
      <w:r w:rsidRPr="00C6052E">
        <w:t>and</w:t>
      </w:r>
      <w:r w:rsidR="00177848" w:rsidRPr="00C6052E">
        <w:t xml:space="preserve"> </w:t>
      </w:r>
      <w:r w:rsidRPr="00C6052E">
        <w:t>commercial</w:t>
      </w:r>
      <w:r w:rsidR="00177848" w:rsidRPr="00C6052E">
        <w:t xml:space="preserve"> </w:t>
      </w:r>
      <w:r w:rsidRPr="00C6052E">
        <w:t>outcomes</w:t>
      </w:r>
      <w:r w:rsidR="00177848" w:rsidRPr="00C6052E">
        <w:t xml:space="preserve"> </w:t>
      </w:r>
      <w:r w:rsidRPr="00C6052E">
        <w:t>–</w:t>
      </w:r>
      <w:r w:rsidR="00177848" w:rsidRPr="00C6052E">
        <w:t xml:space="preserve"> </w:t>
      </w:r>
      <w:r w:rsidRPr="00C6052E">
        <w:t>relies</w:t>
      </w:r>
      <w:r w:rsidR="00177848" w:rsidRPr="00C6052E">
        <w:t xml:space="preserve"> </w:t>
      </w:r>
      <w:r w:rsidRPr="00C6052E">
        <w:t>heavily</w:t>
      </w:r>
      <w:r w:rsidR="00177848" w:rsidRPr="00C6052E">
        <w:t xml:space="preserve"> </w:t>
      </w:r>
      <w:r w:rsidRPr="00C6052E">
        <w:t>upon</w:t>
      </w:r>
      <w:r w:rsidR="00177848" w:rsidRPr="00C6052E">
        <w:t xml:space="preserve"> </w:t>
      </w:r>
      <w:r w:rsidRPr="00C6052E">
        <w:t>industry</w:t>
      </w:r>
      <w:r w:rsidR="00177848" w:rsidRPr="00C6052E">
        <w:t xml:space="preserve"> </w:t>
      </w:r>
      <w:r w:rsidRPr="00C6052E">
        <w:t>and</w:t>
      </w:r>
      <w:r w:rsidR="00177848" w:rsidRPr="00C6052E">
        <w:t xml:space="preserve"> </w:t>
      </w:r>
      <w:r w:rsidRPr="00C6052E">
        <w:t>business</w:t>
      </w:r>
      <w:r w:rsidR="00177848" w:rsidRPr="00C6052E">
        <w:t xml:space="preserve"> </w:t>
      </w:r>
      <w:r w:rsidRPr="00C6052E">
        <w:t>engagement.</w:t>
      </w:r>
      <w:r w:rsidR="00177848" w:rsidRPr="00C6052E">
        <w:t xml:space="preserve"> </w:t>
      </w:r>
      <w:r w:rsidRPr="00C6052E">
        <w:t>The</w:t>
      </w:r>
      <w:r w:rsidR="00177848" w:rsidRPr="00C6052E">
        <w:t xml:space="preserve"> </w:t>
      </w:r>
      <w:r w:rsidRPr="00C6052E">
        <w:t>policy,</w:t>
      </w:r>
      <w:r w:rsidR="00177848" w:rsidRPr="00C6052E">
        <w:t xml:space="preserve"> </w:t>
      </w:r>
      <w:r w:rsidRPr="00C6052E">
        <w:t>programs</w:t>
      </w:r>
      <w:r w:rsidR="00177848" w:rsidRPr="00C6052E">
        <w:t xml:space="preserve"> </w:t>
      </w:r>
      <w:r w:rsidRPr="00C6052E">
        <w:t>and</w:t>
      </w:r>
      <w:r w:rsidR="00177848" w:rsidRPr="00C6052E">
        <w:t xml:space="preserve"> </w:t>
      </w:r>
      <w:r w:rsidRPr="00C6052E">
        <w:t>projects</w:t>
      </w:r>
      <w:r w:rsidR="00177848" w:rsidRPr="00C6052E">
        <w:t xml:space="preserve"> </w:t>
      </w:r>
      <w:r w:rsidRPr="00C6052E">
        <w:t>that</w:t>
      </w:r>
      <w:r w:rsidR="00177848" w:rsidRPr="00C6052E">
        <w:t xml:space="preserve"> </w:t>
      </w:r>
      <w:r w:rsidRPr="00C6052E">
        <w:t>have</w:t>
      </w:r>
      <w:r w:rsidR="00177848" w:rsidRPr="00C6052E">
        <w:t xml:space="preserve"> </w:t>
      </w:r>
      <w:r w:rsidRPr="00C6052E">
        <w:t>been</w:t>
      </w:r>
      <w:r w:rsidR="00177848" w:rsidRPr="00C6052E">
        <w:t xml:space="preserve"> </w:t>
      </w:r>
      <w:r w:rsidRPr="00C6052E">
        <w:t>supported</w:t>
      </w:r>
      <w:r w:rsidR="00177848" w:rsidRPr="00C6052E">
        <w:t xml:space="preserve"> </w:t>
      </w:r>
      <w:r w:rsidRPr="00C6052E">
        <w:t>over</w:t>
      </w:r>
      <w:r w:rsidR="00177848" w:rsidRPr="00C6052E">
        <w:t xml:space="preserve"> </w:t>
      </w:r>
      <w:r w:rsidRPr="00C6052E">
        <w:t>the</w:t>
      </w:r>
      <w:r w:rsidR="00177848" w:rsidRPr="00C6052E">
        <w:t xml:space="preserve"> </w:t>
      </w:r>
      <w:r w:rsidRPr="00C6052E">
        <w:t>last</w:t>
      </w:r>
      <w:r w:rsidR="00177848" w:rsidRPr="00C6052E">
        <w:t xml:space="preserve"> </w:t>
      </w:r>
      <w:r w:rsidRPr="00C6052E">
        <w:t>year</w:t>
      </w:r>
      <w:r w:rsidR="00177848" w:rsidRPr="00C6052E">
        <w:t xml:space="preserve"> </w:t>
      </w:r>
      <w:r w:rsidRPr="00C6052E">
        <w:t>include</w:t>
      </w:r>
      <w:r w:rsidR="00177848" w:rsidRPr="00C6052E">
        <w:t xml:space="preserve"> </w:t>
      </w:r>
      <w:r w:rsidRPr="00C6052E">
        <w:t>but</w:t>
      </w:r>
      <w:r w:rsidR="00177848" w:rsidRPr="00C6052E">
        <w:t xml:space="preserve"> </w:t>
      </w:r>
      <w:r w:rsidRPr="00C6052E">
        <w:t>are</w:t>
      </w:r>
      <w:r w:rsidR="00177848" w:rsidRPr="00C6052E">
        <w:t xml:space="preserve"> </w:t>
      </w:r>
      <w:r w:rsidRPr="00C6052E">
        <w:t>not</w:t>
      </w:r>
      <w:r w:rsidR="00177848" w:rsidRPr="00C6052E">
        <w:t xml:space="preserve"> </w:t>
      </w:r>
      <w:r w:rsidRPr="00C6052E">
        <w:t>limited</w:t>
      </w:r>
      <w:r w:rsidR="00177848" w:rsidRPr="00C6052E">
        <w:t xml:space="preserve"> </w:t>
      </w:r>
      <w:r w:rsidRPr="00C6052E">
        <w:t>to</w:t>
      </w:r>
      <w:r w:rsidR="00177848" w:rsidRPr="00C6052E">
        <w:t xml:space="preserve"> </w:t>
      </w:r>
      <w:r w:rsidRPr="00C6052E">
        <w:t>Operational</w:t>
      </w:r>
      <w:r w:rsidR="00177848" w:rsidRPr="00C6052E">
        <w:t xml:space="preserve"> </w:t>
      </w:r>
      <w:r w:rsidRPr="00C6052E">
        <w:t>Infrastructure</w:t>
      </w:r>
      <w:r w:rsidR="00177848" w:rsidRPr="00C6052E">
        <w:t xml:space="preserve"> </w:t>
      </w:r>
      <w:r w:rsidRPr="00C6052E">
        <w:t>Support</w:t>
      </w:r>
      <w:r w:rsidR="00177848" w:rsidRPr="00C6052E">
        <w:t xml:space="preserve"> </w:t>
      </w:r>
      <w:r w:rsidRPr="00C6052E">
        <w:t>Program,</w:t>
      </w:r>
      <w:r w:rsidR="00177848" w:rsidRPr="00C6052E">
        <w:t xml:space="preserve"> </w:t>
      </w:r>
      <w:r w:rsidRPr="00C6052E">
        <w:t>Children’s</w:t>
      </w:r>
      <w:r w:rsidR="00177848" w:rsidRPr="00C6052E">
        <w:t xml:space="preserve"> </w:t>
      </w:r>
      <w:r w:rsidRPr="00C6052E">
        <w:t>Cancer</w:t>
      </w:r>
      <w:r w:rsidR="00177848" w:rsidRPr="00C6052E">
        <w:t xml:space="preserve"> </w:t>
      </w:r>
      <w:r w:rsidRPr="00C6052E">
        <w:t>CoLab,</w:t>
      </w:r>
      <w:r w:rsidR="00177848" w:rsidRPr="00C6052E">
        <w:t xml:space="preserve"> </w:t>
      </w:r>
      <w:r w:rsidRPr="00C6052E">
        <w:t>the</w:t>
      </w:r>
      <w:r w:rsidR="00177848" w:rsidRPr="00C6052E">
        <w:t xml:space="preserve"> </w:t>
      </w:r>
      <w:r w:rsidRPr="00C6052E">
        <w:t>Premier's</w:t>
      </w:r>
      <w:r w:rsidR="00177848" w:rsidRPr="00C6052E">
        <w:t xml:space="preserve"> </w:t>
      </w:r>
      <w:r w:rsidRPr="00C6052E">
        <w:t>Awards</w:t>
      </w:r>
      <w:r w:rsidR="00177848" w:rsidRPr="00C6052E">
        <w:t xml:space="preserve"> </w:t>
      </w:r>
      <w:r w:rsidRPr="00C6052E">
        <w:t>for</w:t>
      </w:r>
      <w:r w:rsidR="00177848" w:rsidRPr="00C6052E">
        <w:t xml:space="preserve"> </w:t>
      </w:r>
      <w:r w:rsidRPr="00C6052E">
        <w:t>Health</w:t>
      </w:r>
      <w:r w:rsidR="00177848" w:rsidRPr="00C6052E">
        <w:t xml:space="preserve"> </w:t>
      </w:r>
      <w:r w:rsidRPr="00C6052E">
        <w:t>and</w:t>
      </w:r>
      <w:r w:rsidR="00177848" w:rsidRPr="00C6052E">
        <w:t xml:space="preserve"> </w:t>
      </w:r>
      <w:r w:rsidRPr="00C6052E">
        <w:t>Medical</w:t>
      </w:r>
      <w:r w:rsidR="00177848" w:rsidRPr="00C6052E">
        <w:t xml:space="preserve"> </w:t>
      </w:r>
      <w:r w:rsidRPr="00C6052E">
        <w:t>Research,</w:t>
      </w:r>
      <w:r w:rsidR="00177848" w:rsidRPr="00C6052E">
        <w:t xml:space="preserve"> </w:t>
      </w:r>
      <w:r w:rsidRPr="00C6052E">
        <w:t>Australian</w:t>
      </w:r>
      <w:r w:rsidR="00177848" w:rsidRPr="00C6052E">
        <w:t xml:space="preserve"> </w:t>
      </w:r>
      <w:r w:rsidRPr="00C6052E">
        <w:t>Institute</w:t>
      </w:r>
      <w:r w:rsidR="00177848" w:rsidRPr="00C6052E">
        <w:t xml:space="preserve"> </w:t>
      </w:r>
      <w:r w:rsidRPr="00C6052E">
        <w:t>for</w:t>
      </w:r>
      <w:r w:rsidR="00177848" w:rsidRPr="00C6052E">
        <w:t xml:space="preserve"> </w:t>
      </w:r>
      <w:r w:rsidRPr="00C6052E">
        <w:t>Infectious</w:t>
      </w:r>
      <w:r w:rsidR="00177848" w:rsidRPr="00C6052E">
        <w:t xml:space="preserve"> </w:t>
      </w:r>
      <w:r w:rsidRPr="00C6052E">
        <w:t>Disease</w:t>
      </w:r>
      <w:r w:rsidR="00177848" w:rsidRPr="00C6052E">
        <w:t xml:space="preserve"> </w:t>
      </w:r>
      <w:r w:rsidRPr="00C6052E">
        <w:t>and</w:t>
      </w:r>
      <w:r w:rsidR="00177848" w:rsidRPr="00C6052E">
        <w:t xml:space="preserve"> </w:t>
      </w:r>
      <w:r w:rsidRPr="00C6052E">
        <w:t>the</w:t>
      </w:r>
      <w:r w:rsidR="00177848" w:rsidRPr="00C6052E">
        <w:t xml:space="preserve"> </w:t>
      </w:r>
      <w:r w:rsidRPr="00C6052E">
        <w:t>Cumming</w:t>
      </w:r>
      <w:r w:rsidR="00177848" w:rsidRPr="00C6052E">
        <w:t xml:space="preserve"> </w:t>
      </w:r>
      <w:r w:rsidRPr="00C6052E">
        <w:t>Global</w:t>
      </w:r>
      <w:r w:rsidR="00177848" w:rsidRPr="00C6052E">
        <w:t xml:space="preserve"> </w:t>
      </w:r>
      <w:r w:rsidRPr="00C6052E">
        <w:t>Centre</w:t>
      </w:r>
      <w:r w:rsidR="00177848" w:rsidRPr="00C6052E">
        <w:t xml:space="preserve"> </w:t>
      </w:r>
      <w:r w:rsidRPr="00C6052E">
        <w:t>for</w:t>
      </w:r>
      <w:r w:rsidR="00177848" w:rsidRPr="00C6052E">
        <w:t xml:space="preserve"> </w:t>
      </w:r>
      <w:r w:rsidRPr="00C6052E">
        <w:t>Pandemic</w:t>
      </w:r>
      <w:r w:rsidR="00177848" w:rsidRPr="00C6052E">
        <w:t xml:space="preserve"> </w:t>
      </w:r>
      <w:r w:rsidRPr="00C6052E">
        <w:t>Therapeutics.</w:t>
      </w:r>
    </w:p>
    <w:p w14:paraId="69FDE4F8" w14:textId="37AA8F3D" w:rsidR="00EE5BB8" w:rsidRPr="00C6052E" w:rsidRDefault="00EE5BB8" w:rsidP="00EE5BB8">
      <w:pPr>
        <w:pStyle w:val="Heading3"/>
      </w:pPr>
      <w:r w:rsidRPr="00C6052E">
        <w:t>Performance</w:t>
      </w:r>
      <w:r w:rsidR="00177848" w:rsidRPr="00C6052E">
        <w:t xml:space="preserve"> </w:t>
      </w:r>
      <w:r w:rsidRPr="00C6052E">
        <w:t>against</w:t>
      </w:r>
      <w:r w:rsidR="00177848" w:rsidRPr="00C6052E">
        <w:t xml:space="preserve"> </w:t>
      </w:r>
      <w:r w:rsidRPr="00C6052E">
        <w:t>output</w:t>
      </w:r>
      <w:r w:rsidR="00177848" w:rsidRPr="00C6052E">
        <w:t xml:space="preserve"> </w:t>
      </w:r>
      <w:r w:rsidRPr="00C6052E">
        <w:t>measures</w:t>
      </w:r>
    </w:p>
    <w:p w14:paraId="4C45E139" w14:textId="16DED15D" w:rsidR="00EE5BB8" w:rsidRPr="00C6052E" w:rsidRDefault="00EE5BB8" w:rsidP="00EE5BB8">
      <w:r w:rsidRPr="00C6052E">
        <w:t>Table</w:t>
      </w:r>
      <w:r w:rsidR="00177848" w:rsidRPr="00C6052E">
        <w:t xml:space="preserve"> </w:t>
      </w:r>
      <w:r w:rsidRPr="00C6052E">
        <w:t>5</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Industry,</w:t>
      </w:r>
      <w:r w:rsidR="00177848" w:rsidRPr="00C6052E">
        <w:t xml:space="preserve"> </w:t>
      </w:r>
      <w:r w:rsidRPr="00C6052E">
        <w:t>Small</w:t>
      </w:r>
      <w:r w:rsidR="00177848" w:rsidRPr="00C6052E">
        <w:t xml:space="preserve"> </w:t>
      </w:r>
      <w:r w:rsidRPr="00C6052E">
        <w:t>Business</w:t>
      </w:r>
      <w:r w:rsidR="00177848" w:rsidRPr="00C6052E">
        <w:t xml:space="preserve"> </w:t>
      </w:r>
      <w:r w:rsidRPr="00C6052E">
        <w:t>and</w:t>
      </w:r>
      <w:r w:rsidR="00177848" w:rsidRPr="00C6052E">
        <w:t xml:space="preserve"> </w:t>
      </w:r>
      <w:r w:rsidRPr="00C6052E">
        <w:t>Medical</w:t>
      </w:r>
      <w:r w:rsidR="00177848" w:rsidRPr="00C6052E">
        <w:t xml:space="preserve"> </w:t>
      </w:r>
      <w:r w:rsidRPr="00C6052E">
        <w:t>Research</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provides</w:t>
      </w:r>
      <w:r w:rsidR="00177848" w:rsidRPr="00C6052E">
        <w:t xml:space="preserve"> </w:t>
      </w:r>
      <w:r w:rsidRPr="00C6052E">
        <w:t>access</w:t>
      </w:r>
      <w:r w:rsidR="00177848" w:rsidRPr="00C6052E">
        <w:t xml:space="preserve"> </w:t>
      </w:r>
      <w:r w:rsidRPr="00C6052E">
        <w:t>to</w:t>
      </w:r>
      <w:r w:rsidR="00177848" w:rsidRPr="00C6052E">
        <w:t xml:space="preserve"> </w:t>
      </w:r>
      <w:r w:rsidRPr="00C6052E">
        <w:t>information</w:t>
      </w:r>
      <w:r w:rsidR="00177848" w:rsidRPr="00C6052E">
        <w:t xml:space="preserve"> </w:t>
      </w:r>
      <w:r w:rsidRPr="00C6052E">
        <w:t>and</w:t>
      </w:r>
      <w:r w:rsidR="00177848" w:rsidRPr="00C6052E">
        <w:t xml:space="preserve"> </w:t>
      </w:r>
      <w:r w:rsidRPr="00C6052E">
        <w:t>connections</w:t>
      </w:r>
      <w:r w:rsidR="00177848" w:rsidRPr="00C6052E">
        <w:t xml:space="preserve"> </w:t>
      </w:r>
      <w:r w:rsidRPr="00C6052E">
        <w:t>and</w:t>
      </w:r>
      <w:r w:rsidR="00177848" w:rsidRPr="00C6052E">
        <w:t xml:space="preserve"> </w:t>
      </w:r>
      <w:r w:rsidRPr="00C6052E">
        <w:t>builds</w:t>
      </w:r>
      <w:r w:rsidR="00177848" w:rsidRPr="00C6052E">
        <w:t xml:space="preserve"> </w:t>
      </w:r>
      <w:r w:rsidRPr="00C6052E">
        <w:t>the</w:t>
      </w:r>
      <w:r w:rsidR="00177848" w:rsidRPr="00C6052E">
        <w:t xml:space="preserve"> </w:t>
      </w:r>
      <w:r w:rsidRPr="00C6052E">
        <w:t>capability</w:t>
      </w:r>
      <w:r w:rsidR="00177848" w:rsidRPr="00C6052E">
        <w:t xml:space="preserve"> </w:t>
      </w:r>
      <w:r w:rsidRPr="00C6052E">
        <w:t>of</w:t>
      </w:r>
      <w:r w:rsidR="00177848" w:rsidRPr="00C6052E">
        <w:t xml:space="preserve"> </w:t>
      </w:r>
      <w:r w:rsidRPr="00C6052E">
        <w:t>Victorian</w:t>
      </w:r>
      <w:r w:rsidR="00177848" w:rsidRPr="00C6052E">
        <w:t xml:space="preserve"> </w:t>
      </w:r>
      <w:r w:rsidRPr="00C6052E">
        <w:t>businesses</w:t>
      </w:r>
      <w:r w:rsidR="00177848" w:rsidRPr="00C6052E">
        <w:t xml:space="preserve"> </w:t>
      </w:r>
      <w:r w:rsidRPr="00C6052E">
        <w:t>and</w:t>
      </w:r>
      <w:r w:rsidR="00177848" w:rsidRPr="00C6052E">
        <w:t xml:space="preserve"> </w:t>
      </w:r>
      <w:r w:rsidRPr="00C6052E">
        <w:t>industry</w:t>
      </w:r>
      <w:r w:rsidR="00177848" w:rsidRPr="00C6052E">
        <w:t xml:space="preserve"> </w:t>
      </w:r>
      <w:r w:rsidRPr="00C6052E">
        <w:t>to</w:t>
      </w:r>
      <w:r w:rsidR="00177848" w:rsidRPr="00C6052E">
        <w:t xml:space="preserve"> </w:t>
      </w:r>
      <w:r w:rsidRPr="00C6052E">
        <w:t>develop,</w:t>
      </w:r>
      <w:r w:rsidR="00177848" w:rsidRPr="00C6052E">
        <w:t xml:space="preserve"> </w:t>
      </w:r>
      <w:r w:rsidRPr="00C6052E">
        <w:t>commercialise</w:t>
      </w:r>
      <w:r w:rsidR="00177848" w:rsidRPr="00C6052E">
        <w:t xml:space="preserve"> </w:t>
      </w:r>
      <w:r w:rsidRPr="00C6052E">
        <w:t>and</w:t>
      </w:r>
      <w:r w:rsidR="00177848" w:rsidRPr="00C6052E">
        <w:t xml:space="preserve"> </w:t>
      </w:r>
      <w:r w:rsidRPr="00C6052E">
        <w:t>effectively</w:t>
      </w:r>
      <w:r w:rsidR="00177848" w:rsidRPr="00C6052E">
        <w:t xml:space="preserve"> </w:t>
      </w:r>
      <w:r w:rsidRPr="00C6052E">
        <w:t>use</w:t>
      </w:r>
      <w:r w:rsidR="00177848" w:rsidRPr="00C6052E">
        <w:t xml:space="preserve"> </w:t>
      </w:r>
      <w:r w:rsidRPr="00C6052E">
        <w:t>new</w:t>
      </w:r>
      <w:r w:rsidR="00177848" w:rsidRPr="00C6052E">
        <w:t xml:space="preserve"> </w:t>
      </w:r>
      <w:r w:rsidRPr="00C6052E">
        <w:t>practices</w:t>
      </w:r>
      <w:r w:rsidR="00177848" w:rsidRPr="00C6052E">
        <w:t xml:space="preserve"> </w:t>
      </w:r>
      <w:r w:rsidRPr="00C6052E">
        <w:t>and</w:t>
      </w:r>
      <w:r w:rsidR="00177848" w:rsidRPr="00C6052E">
        <w:t xml:space="preserve"> </w:t>
      </w:r>
      <w:r w:rsidRPr="00C6052E">
        <w:t>technologies</w:t>
      </w:r>
      <w:r w:rsidR="00177848" w:rsidRPr="00C6052E">
        <w:t xml:space="preserve"> </w:t>
      </w:r>
      <w:r w:rsidRPr="00C6052E">
        <w:t>to</w:t>
      </w:r>
      <w:r w:rsidR="00177848" w:rsidRPr="00C6052E">
        <w:t xml:space="preserve"> </w:t>
      </w:r>
      <w:r w:rsidRPr="00C6052E">
        <w:t>increase</w:t>
      </w:r>
      <w:r w:rsidR="00177848" w:rsidRPr="00C6052E">
        <w:t xml:space="preserve"> </w:t>
      </w:r>
      <w:r w:rsidRPr="00C6052E">
        <w:t>productivity</w:t>
      </w:r>
      <w:r w:rsidR="00177848" w:rsidRPr="00C6052E">
        <w:t xml:space="preserve"> </w:t>
      </w:r>
      <w:r w:rsidRPr="00C6052E">
        <w:t>and</w:t>
      </w:r>
      <w:r w:rsidR="00177848" w:rsidRPr="00C6052E">
        <w:t xml:space="preserve"> </w:t>
      </w:r>
      <w:r w:rsidRPr="00C6052E">
        <w:t>competitiveness,</w:t>
      </w:r>
      <w:r w:rsidR="00177848" w:rsidRPr="00C6052E">
        <w:t xml:space="preserve"> </w:t>
      </w:r>
      <w:r w:rsidRPr="00C6052E">
        <w:t>advocating</w:t>
      </w:r>
      <w:r w:rsidR="00177848" w:rsidRPr="00C6052E">
        <w:t xml:space="preserve"> </w:t>
      </w:r>
      <w:r w:rsidRPr="00C6052E">
        <w:t>for</w:t>
      </w:r>
      <w:r w:rsidR="00177848" w:rsidRPr="00C6052E">
        <w:t xml:space="preserve"> </w:t>
      </w:r>
      <w:r w:rsidRPr="00C6052E">
        <w:t>a</w:t>
      </w:r>
      <w:r w:rsidR="00177848" w:rsidRPr="00C6052E">
        <w:t xml:space="preserve"> </w:t>
      </w:r>
      <w:r w:rsidRPr="00C6052E">
        <w:t>fair</w:t>
      </w:r>
      <w:r w:rsidR="00177848" w:rsidRPr="00C6052E">
        <w:t xml:space="preserve"> </w:t>
      </w:r>
      <w:r w:rsidRPr="00C6052E">
        <w:t>and</w:t>
      </w:r>
      <w:r w:rsidR="00177848" w:rsidRPr="00C6052E">
        <w:t xml:space="preserve"> </w:t>
      </w:r>
      <w:r w:rsidRPr="00C6052E">
        <w:t>competitive</w:t>
      </w:r>
      <w:r w:rsidR="00177848" w:rsidRPr="00C6052E">
        <w:t xml:space="preserve"> </w:t>
      </w:r>
      <w:r w:rsidRPr="00C6052E">
        <w:t>business</w:t>
      </w:r>
      <w:r w:rsidR="00177848" w:rsidRPr="00C6052E">
        <w:t xml:space="preserve"> </w:t>
      </w:r>
      <w:r w:rsidRPr="00C6052E">
        <w:t>environment,</w:t>
      </w:r>
      <w:r w:rsidR="00177848" w:rsidRPr="00C6052E">
        <w:t xml:space="preserve"> </w:t>
      </w:r>
      <w:r w:rsidRPr="00C6052E">
        <w:t>enhancing</w:t>
      </w:r>
      <w:r w:rsidR="00177848" w:rsidRPr="00C6052E">
        <w:t xml:space="preserve"> </w:t>
      </w:r>
      <w:r w:rsidRPr="00C6052E">
        <w:t>the</w:t>
      </w:r>
      <w:r w:rsidR="00177848" w:rsidRPr="00C6052E">
        <w:t xml:space="preserve"> </w:t>
      </w:r>
      <w:r w:rsidRPr="00C6052E">
        <w:t>Victorian</w:t>
      </w:r>
      <w:r w:rsidR="00177848" w:rsidRPr="00C6052E">
        <w:t xml:space="preserve"> </w:t>
      </w:r>
      <w:r w:rsidRPr="00C6052E">
        <w:t>startup</w:t>
      </w:r>
      <w:r w:rsidR="00177848" w:rsidRPr="00C6052E">
        <w:t xml:space="preserve"> </w:t>
      </w:r>
      <w:r w:rsidRPr="00C6052E">
        <w:t>ecosystem</w:t>
      </w:r>
      <w:r w:rsidR="00177848" w:rsidRPr="00C6052E">
        <w:t xml:space="preserve"> </w:t>
      </w:r>
      <w:r w:rsidRPr="00C6052E">
        <w:t>and</w:t>
      </w:r>
      <w:r w:rsidR="00177848" w:rsidRPr="00C6052E">
        <w:t xml:space="preserve"> </w:t>
      </w:r>
      <w:r w:rsidRPr="00C6052E">
        <w:t>supporting</w:t>
      </w:r>
      <w:r w:rsidR="00177848" w:rsidRPr="00C6052E">
        <w:t xml:space="preserve"> </w:t>
      </w:r>
      <w:r w:rsidRPr="00C6052E">
        <w:t>small</w:t>
      </w:r>
      <w:r w:rsidR="00177848" w:rsidRPr="00C6052E">
        <w:t xml:space="preserve"> </w:t>
      </w:r>
      <w:r w:rsidRPr="00C6052E">
        <w:t>businesses.</w:t>
      </w:r>
    </w:p>
    <w:p w14:paraId="2FDE2D76" w14:textId="3A2F50EE" w:rsidR="00EE5BB8" w:rsidRPr="00C6052E" w:rsidRDefault="00EE5BB8" w:rsidP="00EE5BB8">
      <w:pPr>
        <w:pStyle w:val="TableHeading"/>
      </w:pPr>
      <w:r w:rsidRPr="00C6052E">
        <w:t>Table</w:t>
      </w:r>
      <w:r w:rsidR="00177848" w:rsidRPr="00C6052E">
        <w:t xml:space="preserve"> </w:t>
      </w:r>
      <w:r w:rsidRPr="00C6052E">
        <w:t>5:</w:t>
      </w:r>
      <w:r w:rsidR="00177848" w:rsidRPr="00C6052E">
        <w:t xml:space="preserve"> </w:t>
      </w:r>
      <w:r w:rsidRPr="00C6052E">
        <w:t>Output</w:t>
      </w:r>
      <w:r w:rsidR="00177848" w:rsidRPr="00C6052E">
        <w:t xml:space="preserve"> </w:t>
      </w:r>
      <w:r w:rsidRPr="00C6052E">
        <w:t>–</w:t>
      </w:r>
      <w:r w:rsidR="00177848" w:rsidRPr="00C6052E">
        <w:t xml:space="preserve"> </w:t>
      </w:r>
      <w:r w:rsidRPr="00C6052E">
        <w:t>Industry,</w:t>
      </w:r>
      <w:r w:rsidR="00177848" w:rsidRPr="00C6052E">
        <w:t xml:space="preserve"> </w:t>
      </w:r>
      <w:r w:rsidRPr="00C6052E">
        <w:t>Small</w:t>
      </w:r>
      <w:r w:rsidR="00177848" w:rsidRPr="00C6052E">
        <w:t xml:space="preserve"> </w:t>
      </w:r>
      <w:r w:rsidRPr="00C6052E">
        <w:t>Business</w:t>
      </w:r>
      <w:r w:rsidR="00177848" w:rsidRPr="00C6052E">
        <w:t xml:space="preserve"> </w:t>
      </w:r>
      <w:r w:rsidRPr="00C6052E">
        <w:t>and</w:t>
      </w:r>
      <w:r w:rsidR="00177848" w:rsidRPr="00C6052E">
        <w:t xml:space="preserve"> </w:t>
      </w:r>
      <w:r w:rsidRPr="00C6052E">
        <w:t>Medical</w:t>
      </w:r>
      <w:r w:rsidR="00177848" w:rsidRPr="00C6052E">
        <w:t xml:space="preserve"> </w:t>
      </w:r>
      <w:r w:rsidRPr="00C6052E">
        <w:t>Research</w:t>
      </w:r>
      <w:r w:rsidR="00177848" w:rsidRPr="00C6052E">
        <w:t xml:space="preserve"> </w:t>
      </w:r>
    </w:p>
    <w:tbl>
      <w:tblPr>
        <w:tblStyle w:val="TableGrid"/>
        <w:tblW w:w="9747" w:type="dxa"/>
        <w:tblLayout w:type="fixed"/>
        <w:tblLook w:val="04E0" w:firstRow="1" w:lastRow="1" w:firstColumn="1" w:lastColumn="0" w:noHBand="0" w:noVBand="1"/>
      </w:tblPr>
      <w:tblGrid>
        <w:gridCol w:w="4531"/>
        <w:gridCol w:w="1020"/>
        <w:gridCol w:w="1020"/>
        <w:gridCol w:w="1020"/>
        <w:gridCol w:w="1361"/>
        <w:gridCol w:w="795"/>
      </w:tblGrid>
      <w:tr w:rsidR="00EE5BB8" w:rsidRPr="00C6052E" w14:paraId="243F88AA" w14:textId="77777777" w:rsidTr="0063097D">
        <w:trPr>
          <w:tblHeader/>
        </w:trPr>
        <w:tc>
          <w:tcPr>
            <w:tcW w:w="4531" w:type="dxa"/>
            <w:hideMark/>
          </w:tcPr>
          <w:p w14:paraId="7982D4F7" w14:textId="790B07BB" w:rsidR="00EE5BB8" w:rsidRPr="00C6052E" w:rsidRDefault="00EE5BB8" w:rsidP="0063097D">
            <w:pPr>
              <w:pStyle w:val="TableColumnHeading"/>
              <w:rPr>
                <w:lang w:val="en-AU"/>
              </w:rPr>
            </w:pPr>
            <w:bookmarkStart w:id="15" w:name="TableColumnHeadings_11"/>
            <w:bookmarkEnd w:id="15"/>
            <w:r w:rsidRPr="00C6052E">
              <w:rPr>
                <w:lang w:val="en-AU"/>
              </w:rPr>
              <w:t>Performance</w:t>
            </w:r>
            <w:r w:rsidR="00177848" w:rsidRPr="00C6052E">
              <w:rPr>
                <w:lang w:val="en-AU"/>
              </w:rPr>
              <w:t xml:space="preserve"> </w:t>
            </w:r>
            <w:r w:rsidRPr="00C6052E">
              <w:rPr>
                <w:lang w:val="en-AU"/>
              </w:rPr>
              <w:t>measures</w:t>
            </w:r>
          </w:p>
        </w:tc>
        <w:tc>
          <w:tcPr>
            <w:tcW w:w="1020" w:type="dxa"/>
            <w:hideMark/>
          </w:tcPr>
          <w:p w14:paraId="2B31046A" w14:textId="15D53156" w:rsidR="00EE5BB8" w:rsidRPr="00C6052E" w:rsidRDefault="00EE5BB8" w:rsidP="0063097D">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12831394" w14:textId="77777777" w:rsidR="00EE5BB8" w:rsidRPr="00C6052E" w:rsidRDefault="00EE5BB8" w:rsidP="0063097D">
            <w:pPr>
              <w:pStyle w:val="TableColumnHeading"/>
              <w:jc w:val="right"/>
              <w:rPr>
                <w:lang w:val="en-AU"/>
              </w:rPr>
            </w:pPr>
            <w:r w:rsidRPr="00C6052E">
              <w:rPr>
                <w:lang w:val="en-AU"/>
              </w:rPr>
              <w:t>2024–25</w:t>
            </w:r>
            <w:r w:rsidRPr="00C6052E">
              <w:rPr>
                <w:lang w:val="en-AU"/>
              </w:rPr>
              <w:br/>
              <w:t>Actual</w:t>
            </w:r>
          </w:p>
        </w:tc>
        <w:tc>
          <w:tcPr>
            <w:tcW w:w="1020" w:type="dxa"/>
            <w:hideMark/>
          </w:tcPr>
          <w:p w14:paraId="4992C9AA" w14:textId="5AB25FB6" w:rsidR="00EE5BB8" w:rsidRPr="00C6052E" w:rsidRDefault="00EE5BB8" w:rsidP="0063097D">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1F4F61BE" w14:textId="044F973D" w:rsidR="00EE5BB8" w:rsidRPr="00C6052E" w:rsidRDefault="00EE5BB8" w:rsidP="0063097D">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95" w:type="dxa"/>
            <w:hideMark/>
          </w:tcPr>
          <w:p w14:paraId="4365677A" w14:textId="77777777" w:rsidR="00EE5BB8" w:rsidRPr="00C6052E" w:rsidRDefault="00EE5BB8" w:rsidP="0063097D">
            <w:pPr>
              <w:pStyle w:val="TableColumnHeading"/>
              <w:jc w:val="right"/>
              <w:rPr>
                <w:lang w:val="en-AU"/>
              </w:rPr>
            </w:pPr>
            <w:r w:rsidRPr="00C6052E">
              <w:rPr>
                <w:lang w:val="en-AU"/>
              </w:rPr>
              <w:t>Result</w:t>
            </w:r>
          </w:p>
        </w:tc>
      </w:tr>
      <w:tr w:rsidR="00EE5BB8" w:rsidRPr="00C6052E" w14:paraId="7D89E174" w14:textId="77777777" w:rsidTr="0063097D">
        <w:tc>
          <w:tcPr>
            <w:tcW w:w="4531" w:type="dxa"/>
          </w:tcPr>
          <w:p w14:paraId="346AB754" w14:textId="50A62A40" w:rsidR="00EE5BB8" w:rsidRPr="00C6052E" w:rsidRDefault="00EE5BB8" w:rsidP="0063097D">
            <w:pPr>
              <w:pStyle w:val="TableHeading"/>
              <w:rPr>
                <w:lang w:val="en-AU"/>
              </w:rPr>
            </w:pPr>
            <w:r w:rsidRPr="00C6052E">
              <w:rPr>
                <w:lang w:val="en-AU"/>
              </w:rPr>
              <w:t>Industry</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Business</w:t>
            </w:r>
          </w:p>
        </w:tc>
        <w:tc>
          <w:tcPr>
            <w:tcW w:w="1020" w:type="dxa"/>
          </w:tcPr>
          <w:p w14:paraId="7D07D59F" w14:textId="77777777" w:rsidR="00EE5BB8" w:rsidRPr="00C6052E" w:rsidRDefault="00EE5BB8" w:rsidP="0063097D">
            <w:pPr>
              <w:pStyle w:val="TableHeading"/>
              <w:jc w:val="right"/>
              <w:rPr>
                <w:lang w:val="en-AU"/>
              </w:rPr>
            </w:pPr>
          </w:p>
        </w:tc>
        <w:tc>
          <w:tcPr>
            <w:tcW w:w="1020" w:type="dxa"/>
            <w:noWrap/>
          </w:tcPr>
          <w:p w14:paraId="309B393C" w14:textId="77777777" w:rsidR="00EE5BB8" w:rsidRPr="00C6052E" w:rsidRDefault="00EE5BB8" w:rsidP="0063097D">
            <w:pPr>
              <w:pStyle w:val="TableHeading"/>
              <w:jc w:val="right"/>
              <w:rPr>
                <w:lang w:val="en-AU"/>
              </w:rPr>
            </w:pPr>
          </w:p>
        </w:tc>
        <w:tc>
          <w:tcPr>
            <w:tcW w:w="1020" w:type="dxa"/>
          </w:tcPr>
          <w:p w14:paraId="4DEF9208" w14:textId="77777777" w:rsidR="00EE5BB8" w:rsidRPr="00C6052E" w:rsidRDefault="00EE5BB8" w:rsidP="0063097D">
            <w:pPr>
              <w:pStyle w:val="TableHeading"/>
              <w:jc w:val="right"/>
              <w:rPr>
                <w:lang w:val="en-AU"/>
              </w:rPr>
            </w:pPr>
          </w:p>
        </w:tc>
        <w:tc>
          <w:tcPr>
            <w:tcW w:w="1361" w:type="dxa"/>
            <w:noWrap/>
          </w:tcPr>
          <w:p w14:paraId="7AC21192" w14:textId="77777777" w:rsidR="00EE5BB8" w:rsidRPr="00C6052E" w:rsidRDefault="00EE5BB8" w:rsidP="0063097D">
            <w:pPr>
              <w:pStyle w:val="TableHeading"/>
              <w:jc w:val="right"/>
              <w:rPr>
                <w:lang w:val="en-AU"/>
              </w:rPr>
            </w:pPr>
          </w:p>
        </w:tc>
        <w:tc>
          <w:tcPr>
            <w:tcW w:w="795" w:type="dxa"/>
            <w:noWrap/>
          </w:tcPr>
          <w:p w14:paraId="022917FC" w14:textId="77777777" w:rsidR="00EE5BB8" w:rsidRPr="00C6052E" w:rsidRDefault="00EE5BB8" w:rsidP="0063097D">
            <w:pPr>
              <w:pStyle w:val="TableHeading"/>
              <w:rPr>
                <w:lang w:val="en-AU"/>
              </w:rPr>
            </w:pPr>
          </w:p>
        </w:tc>
      </w:tr>
      <w:tr w:rsidR="00EE5BB8" w:rsidRPr="00C6052E" w14:paraId="28B3E73E" w14:textId="77777777" w:rsidTr="0063097D">
        <w:tc>
          <w:tcPr>
            <w:tcW w:w="4531" w:type="dxa"/>
          </w:tcPr>
          <w:p w14:paraId="2D9B2737" w14:textId="66EF3C2F" w:rsidR="00EE5BB8" w:rsidRPr="00C6052E" w:rsidRDefault="00EE5BB8" w:rsidP="0063097D">
            <w:pPr>
              <w:pStyle w:val="TableCopy"/>
              <w:rPr>
                <w:lang w:val="en-AU"/>
              </w:rPr>
            </w:pPr>
            <w:r w:rsidRPr="00C6052E">
              <w:rPr>
                <w:lang w:val="en-AU"/>
              </w:rPr>
              <w:t>This</w:t>
            </w:r>
            <w:r w:rsidR="00177848" w:rsidRPr="00C6052E">
              <w:rPr>
                <w:lang w:val="en-AU"/>
              </w:rPr>
              <w:t xml:space="preserve"> </w:t>
            </w:r>
            <w:r w:rsidRPr="00C6052E">
              <w:rPr>
                <w:lang w:val="en-AU"/>
              </w:rPr>
              <w:t>sub-output</w:t>
            </w:r>
            <w:r w:rsidR="00177848" w:rsidRPr="00C6052E">
              <w:rPr>
                <w:lang w:val="en-AU"/>
              </w:rPr>
              <w:t xml:space="preserve"> </w:t>
            </w:r>
            <w:r w:rsidRPr="00C6052E">
              <w:rPr>
                <w:lang w:val="en-AU"/>
              </w:rPr>
              <w:t>supports</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businesses,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global</w:t>
            </w:r>
            <w:r w:rsidR="00177848" w:rsidRPr="00C6052E">
              <w:rPr>
                <w:lang w:val="en-AU"/>
              </w:rPr>
              <w:t xml:space="preserve"> </w:t>
            </w:r>
            <w:r w:rsidRPr="00C6052E">
              <w:rPr>
                <w:lang w:val="en-AU"/>
              </w:rPr>
              <w:t>enterprises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medium</w:t>
            </w:r>
            <w:r w:rsidR="00177848" w:rsidRPr="00C6052E">
              <w:rPr>
                <w:lang w:val="en-AU"/>
              </w:rPr>
              <w:t xml:space="preserve"> </w:t>
            </w:r>
            <w:r w:rsidRPr="00C6052E">
              <w:rPr>
                <w:lang w:val="en-AU"/>
              </w:rPr>
              <w:t>businesses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startups,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grow,</w:t>
            </w:r>
            <w:r w:rsidR="00177848" w:rsidRPr="00C6052E">
              <w:rPr>
                <w:lang w:val="en-AU"/>
              </w:rPr>
              <w:t xml:space="preserve"> </w:t>
            </w:r>
            <w:r w:rsidRPr="00C6052E">
              <w:rPr>
                <w:lang w:val="en-AU"/>
              </w:rPr>
              <w:t>create</w:t>
            </w:r>
            <w:r w:rsidR="00177848" w:rsidRPr="00C6052E">
              <w:rPr>
                <w:lang w:val="en-AU"/>
              </w:rPr>
              <w:t xml:space="preserve"> </w:t>
            </w:r>
            <w:r w:rsidRPr="00C6052E">
              <w:rPr>
                <w:lang w:val="en-AU"/>
              </w:rPr>
              <w:t>more</w:t>
            </w:r>
            <w:r w:rsidR="00177848" w:rsidRPr="00C6052E">
              <w:rPr>
                <w:lang w:val="en-AU"/>
              </w:rPr>
              <w:t xml:space="preserve"> </w:t>
            </w:r>
            <w:r w:rsidRPr="00C6052E">
              <w:rPr>
                <w:lang w:val="en-AU"/>
              </w:rPr>
              <w:t>job</w:t>
            </w:r>
            <w:r w:rsidR="00177848" w:rsidRPr="00C6052E">
              <w:rPr>
                <w:lang w:val="en-AU"/>
              </w:rPr>
              <w:t xml:space="preserve"> </w:t>
            </w:r>
            <w:r w:rsidRPr="00C6052E">
              <w:rPr>
                <w:lang w:val="en-AU"/>
              </w:rPr>
              <w:t>opportunities,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develop</w:t>
            </w:r>
            <w:r w:rsidR="00177848" w:rsidRPr="00C6052E">
              <w:rPr>
                <w:lang w:val="en-AU"/>
              </w:rPr>
              <w:t xml:space="preserve"> </w:t>
            </w:r>
            <w:r w:rsidRPr="00C6052E">
              <w:rPr>
                <w:lang w:val="en-AU"/>
              </w:rPr>
              <w:t>strategic</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This</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achieved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facilitating</w:t>
            </w:r>
            <w:r w:rsidR="00177848" w:rsidRPr="00C6052E">
              <w:rPr>
                <w:lang w:val="en-AU"/>
              </w:rPr>
              <w:t xml:space="preserve"> </w:t>
            </w:r>
            <w:r w:rsidRPr="00C6052E">
              <w:rPr>
                <w:lang w:val="en-AU"/>
              </w:rPr>
              <w:t>new</w:t>
            </w:r>
            <w:r w:rsidR="00177848" w:rsidRPr="00C6052E">
              <w:rPr>
                <w:lang w:val="en-AU"/>
              </w:rPr>
              <w:t xml:space="preserve"> </w:t>
            </w:r>
            <w:r w:rsidRPr="00C6052E">
              <w:rPr>
                <w:lang w:val="en-AU"/>
              </w:rPr>
              <w:t>investments,</w:t>
            </w:r>
            <w:r w:rsidR="00177848" w:rsidRPr="00C6052E">
              <w:rPr>
                <w:lang w:val="en-AU"/>
              </w:rPr>
              <w:t xml:space="preserve"> </w:t>
            </w:r>
            <w:r w:rsidRPr="00C6052E">
              <w:rPr>
                <w:lang w:val="en-AU"/>
              </w:rPr>
              <w:t>supporting</w:t>
            </w:r>
            <w:r w:rsidR="00177848" w:rsidRPr="00C6052E">
              <w:rPr>
                <w:lang w:val="en-AU"/>
              </w:rPr>
              <w:t xml:space="preserve"> </w:t>
            </w:r>
            <w:r w:rsidRPr="00C6052E">
              <w:rPr>
                <w:lang w:val="en-AU"/>
              </w:rPr>
              <w:t>more</w:t>
            </w:r>
            <w:r w:rsidR="00177848" w:rsidRPr="00C6052E">
              <w:rPr>
                <w:lang w:val="en-AU"/>
              </w:rPr>
              <w:t xml:space="preserve"> </w:t>
            </w:r>
            <w:r w:rsidRPr="00C6052E">
              <w:rPr>
                <w:lang w:val="en-AU"/>
              </w:rPr>
              <w:t>innovative</w:t>
            </w:r>
            <w:r w:rsidR="00177848" w:rsidRPr="00C6052E">
              <w:rPr>
                <w:lang w:val="en-AU"/>
              </w:rPr>
              <w:t xml:space="preserve"> </w:t>
            </w:r>
            <w:r w:rsidRPr="00C6052E">
              <w:rPr>
                <w:lang w:val="en-AU"/>
              </w:rPr>
              <w:t>startups,</w:t>
            </w:r>
            <w:r w:rsidR="00177848" w:rsidRPr="00C6052E">
              <w:rPr>
                <w:lang w:val="en-AU"/>
              </w:rPr>
              <w:t xml:space="preserve"> </w:t>
            </w:r>
            <w:r w:rsidRPr="00C6052E">
              <w:rPr>
                <w:lang w:val="en-AU"/>
              </w:rPr>
              <w:t>developing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attracting</w:t>
            </w:r>
            <w:r w:rsidR="00177848" w:rsidRPr="00C6052E">
              <w:rPr>
                <w:lang w:val="en-AU"/>
              </w:rPr>
              <w:t xml:space="preserve"> </w:t>
            </w:r>
            <w:r w:rsidRPr="00C6052E">
              <w:rPr>
                <w:lang w:val="en-AU"/>
              </w:rPr>
              <w:t>world-class</w:t>
            </w:r>
            <w:r w:rsidR="00177848" w:rsidRPr="00C6052E">
              <w:rPr>
                <w:lang w:val="en-AU"/>
              </w:rPr>
              <w:t xml:space="preserve"> </w:t>
            </w:r>
            <w:r w:rsidRPr="00C6052E">
              <w:rPr>
                <w:lang w:val="en-AU"/>
              </w:rPr>
              <w:t>talent,</w:t>
            </w:r>
            <w:r w:rsidR="00177848" w:rsidRPr="00C6052E">
              <w:rPr>
                <w:lang w:val="en-AU"/>
              </w:rPr>
              <w:t xml:space="preserve"> </w:t>
            </w:r>
            <w:r w:rsidRPr="00C6052E">
              <w:rPr>
                <w:lang w:val="en-AU"/>
              </w:rPr>
              <w:t>accelerating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growth</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impact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research</w:t>
            </w:r>
            <w:r w:rsidR="00177848" w:rsidRPr="00C6052E">
              <w:rPr>
                <w:lang w:val="en-AU"/>
              </w:rPr>
              <w:t xml:space="preserve"> </w:t>
            </w:r>
            <w:r w:rsidRPr="00C6052E">
              <w:rPr>
                <w:lang w:val="en-AU"/>
              </w:rPr>
              <w:t>translation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commercialisation</w:t>
            </w:r>
            <w:r w:rsidR="00177848" w:rsidRPr="00C6052E">
              <w:rPr>
                <w:lang w:val="en-AU"/>
              </w:rPr>
              <w:t xml:space="preserve"> </w:t>
            </w:r>
            <w:r w:rsidRPr="00C6052E">
              <w:rPr>
                <w:lang w:val="en-AU"/>
              </w:rPr>
              <w:t>capabilities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encouraging</w:t>
            </w:r>
            <w:r w:rsidR="00177848" w:rsidRPr="00C6052E">
              <w:rPr>
                <w:lang w:val="en-AU"/>
              </w:rPr>
              <w:t xml:space="preserve"> </w:t>
            </w:r>
            <w:r w:rsidRPr="00C6052E">
              <w:rPr>
                <w:lang w:val="en-AU"/>
              </w:rPr>
              <w:t>a</w:t>
            </w:r>
            <w:r w:rsidR="00177848" w:rsidRPr="00C6052E">
              <w:rPr>
                <w:lang w:val="en-AU"/>
              </w:rPr>
              <w:t xml:space="preserve"> </w:t>
            </w:r>
            <w:r w:rsidRPr="00C6052E">
              <w:rPr>
                <w:lang w:val="en-AU"/>
              </w:rPr>
              <w:t>competitive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fair</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environment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w:t>
            </w:r>
            <w:r w:rsidR="00177848" w:rsidRPr="00C6052E">
              <w:rPr>
                <w:lang w:val="en-AU"/>
              </w:rPr>
              <w:t xml:space="preserve"> </w:t>
            </w:r>
            <w:r w:rsidRPr="00C6052E">
              <w:rPr>
                <w:lang w:val="en-AU"/>
              </w:rPr>
              <w:t>strong,</w:t>
            </w:r>
            <w:r w:rsidR="00177848" w:rsidRPr="00C6052E">
              <w:rPr>
                <w:lang w:val="en-AU"/>
              </w:rPr>
              <w:t xml:space="preserve"> </w:t>
            </w:r>
            <w:r w:rsidRPr="00C6052E">
              <w:rPr>
                <w:lang w:val="en-AU"/>
              </w:rPr>
              <w:t>diversified</w:t>
            </w:r>
            <w:r w:rsidR="00177848" w:rsidRPr="00C6052E">
              <w:rPr>
                <w:lang w:val="en-AU"/>
              </w:rPr>
              <w:t xml:space="preserve"> </w:t>
            </w:r>
            <w:r w:rsidRPr="00C6052E">
              <w:rPr>
                <w:lang w:val="en-AU"/>
              </w:rPr>
              <w:t>economy.</w:t>
            </w:r>
          </w:p>
        </w:tc>
        <w:tc>
          <w:tcPr>
            <w:tcW w:w="1020" w:type="dxa"/>
          </w:tcPr>
          <w:p w14:paraId="343C2E24" w14:textId="77777777" w:rsidR="00EE5BB8" w:rsidRPr="00C6052E" w:rsidRDefault="00EE5BB8" w:rsidP="0063097D">
            <w:pPr>
              <w:pStyle w:val="TableCopy"/>
              <w:jc w:val="right"/>
              <w:rPr>
                <w:lang w:val="en-AU"/>
              </w:rPr>
            </w:pPr>
          </w:p>
        </w:tc>
        <w:tc>
          <w:tcPr>
            <w:tcW w:w="1020" w:type="dxa"/>
            <w:noWrap/>
          </w:tcPr>
          <w:p w14:paraId="03C2E7A9" w14:textId="77777777" w:rsidR="00EE5BB8" w:rsidRPr="00C6052E" w:rsidRDefault="00EE5BB8" w:rsidP="0063097D">
            <w:pPr>
              <w:pStyle w:val="TableCopy"/>
              <w:jc w:val="right"/>
              <w:rPr>
                <w:lang w:val="en-AU"/>
              </w:rPr>
            </w:pPr>
          </w:p>
        </w:tc>
        <w:tc>
          <w:tcPr>
            <w:tcW w:w="1020" w:type="dxa"/>
          </w:tcPr>
          <w:p w14:paraId="673DE3EE" w14:textId="77777777" w:rsidR="00EE5BB8" w:rsidRPr="00C6052E" w:rsidRDefault="00EE5BB8" w:rsidP="0063097D">
            <w:pPr>
              <w:pStyle w:val="TableCopy"/>
              <w:jc w:val="right"/>
              <w:rPr>
                <w:lang w:val="en-AU"/>
              </w:rPr>
            </w:pPr>
          </w:p>
        </w:tc>
        <w:tc>
          <w:tcPr>
            <w:tcW w:w="1361" w:type="dxa"/>
            <w:noWrap/>
          </w:tcPr>
          <w:p w14:paraId="4C5E21BD" w14:textId="77777777" w:rsidR="00EE5BB8" w:rsidRPr="00C6052E" w:rsidRDefault="00EE5BB8" w:rsidP="0063097D">
            <w:pPr>
              <w:pStyle w:val="TableCopy"/>
              <w:jc w:val="right"/>
              <w:rPr>
                <w:lang w:val="en-AU"/>
              </w:rPr>
            </w:pPr>
          </w:p>
        </w:tc>
        <w:tc>
          <w:tcPr>
            <w:tcW w:w="795" w:type="dxa"/>
            <w:noWrap/>
          </w:tcPr>
          <w:p w14:paraId="5241284D" w14:textId="77777777" w:rsidR="00EE5BB8" w:rsidRPr="00C6052E" w:rsidRDefault="00EE5BB8" w:rsidP="0063097D">
            <w:pPr>
              <w:pStyle w:val="TableCopy"/>
              <w:rPr>
                <w:lang w:val="en-AU"/>
              </w:rPr>
            </w:pPr>
          </w:p>
        </w:tc>
      </w:tr>
      <w:tr w:rsidR="00EE5BB8" w:rsidRPr="00C6052E" w14:paraId="0BBB812A" w14:textId="77777777" w:rsidTr="0063097D">
        <w:tc>
          <w:tcPr>
            <w:tcW w:w="4531" w:type="dxa"/>
          </w:tcPr>
          <w:p w14:paraId="18BB0420" w14:textId="77777777" w:rsidR="00EE5BB8" w:rsidRPr="00C6052E" w:rsidRDefault="00EE5BB8" w:rsidP="0063097D">
            <w:pPr>
              <w:pStyle w:val="TableHeading"/>
              <w:rPr>
                <w:lang w:val="en-AU"/>
              </w:rPr>
            </w:pPr>
            <w:r w:rsidRPr="00C6052E">
              <w:rPr>
                <w:lang w:val="en-AU"/>
              </w:rPr>
              <w:t>Quantity</w:t>
            </w:r>
          </w:p>
        </w:tc>
        <w:tc>
          <w:tcPr>
            <w:tcW w:w="1020" w:type="dxa"/>
          </w:tcPr>
          <w:p w14:paraId="599A07DB" w14:textId="77777777" w:rsidR="00EE5BB8" w:rsidRPr="00C6052E" w:rsidRDefault="00EE5BB8" w:rsidP="0063097D">
            <w:pPr>
              <w:pStyle w:val="TableHeading"/>
              <w:jc w:val="right"/>
              <w:rPr>
                <w:lang w:val="en-AU"/>
              </w:rPr>
            </w:pPr>
          </w:p>
        </w:tc>
        <w:tc>
          <w:tcPr>
            <w:tcW w:w="1020" w:type="dxa"/>
            <w:noWrap/>
          </w:tcPr>
          <w:p w14:paraId="052C3A4C" w14:textId="77777777" w:rsidR="00EE5BB8" w:rsidRPr="00C6052E" w:rsidRDefault="00EE5BB8" w:rsidP="0063097D">
            <w:pPr>
              <w:pStyle w:val="TableHeading"/>
              <w:jc w:val="right"/>
              <w:rPr>
                <w:lang w:val="en-AU"/>
              </w:rPr>
            </w:pPr>
          </w:p>
        </w:tc>
        <w:tc>
          <w:tcPr>
            <w:tcW w:w="1020" w:type="dxa"/>
          </w:tcPr>
          <w:p w14:paraId="0CC53201" w14:textId="77777777" w:rsidR="00EE5BB8" w:rsidRPr="00C6052E" w:rsidRDefault="00EE5BB8" w:rsidP="0063097D">
            <w:pPr>
              <w:pStyle w:val="TableHeading"/>
              <w:jc w:val="right"/>
              <w:rPr>
                <w:lang w:val="en-AU"/>
              </w:rPr>
            </w:pPr>
          </w:p>
        </w:tc>
        <w:tc>
          <w:tcPr>
            <w:tcW w:w="1361" w:type="dxa"/>
            <w:noWrap/>
          </w:tcPr>
          <w:p w14:paraId="041C1347" w14:textId="77777777" w:rsidR="00EE5BB8" w:rsidRPr="00C6052E" w:rsidRDefault="00EE5BB8" w:rsidP="0063097D">
            <w:pPr>
              <w:pStyle w:val="TableHeading"/>
              <w:jc w:val="right"/>
              <w:rPr>
                <w:lang w:val="en-AU"/>
              </w:rPr>
            </w:pPr>
          </w:p>
        </w:tc>
        <w:tc>
          <w:tcPr>
            <w:tcW w:w="795" w:type="dxa"/>
            <w:noWrap/>
          </w:tcPr>
          <w:p w14:paraId="441C4623" w14:textId="77777777" w:rsidR="00EE5BB8" w:rsidRPr="00C6052E" w:rsidRDefault="00EE5BB8" w:rsidP="0063097D">
            <w:pPr>
              <w:pStyle w:val="TableHeading"/>
              <w:jc w:val="right"/>
              <w:rPr>
                <w:rStyle w:val="Wingdings"/>
                <w:rFonts w:hint="eastAsia"/>
                <w:lang w:val="en-AU"/>
              </w:rPr>
            </w:pPr>
          </w:p>
        </w:tc>
      </w:tr>
      <w:tr w:rsidR="00EE5BB8" w:rsidRPr="00C6052E" w14:paraId="176F6698" w14:textId="77777777" w:rsidTr="0063097D">
        <w:tc>
          <w:tcPr>
            <w:tcW w:w="4531" w:type="dxa"/>
            <w:hideMark/>
          </w:tcPr>
          <w:p w14:paraId="31C8BD16" w14:textId="77777777" w:rsidR="00EE5BB8" w:rsidRDefault="00EE5BB8" w:rsidP="0063097D">
            <w:pPr>
              <w:pStyle w:val="TableCopy"/>
              <w:rPr>
                <w:lang w:val="en-AU"/>
              </w:rPr>
            </w:pPr>
            <w:r w:rsidRPr="00C6052E">
              <w:rPr>
                <w:lang w:val="en-AU"/>
              </w:rPr>
              <w:t>Capital</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industry</w:t>
            </w:r>
            <w:r w:rsidR="00177848" w:rsidRPr="00C6052E">
              <w:rPr>
                <w:lang w:val="en-AU"/>
              </w:rPr>
              <w:t xml:space="preserve"> </w:t>
            </w:r>
            <w:r w:rsidRPr="00C6052E">
              <w:rPr>
                <w:lang w:val="en-AU"/>
              </w:rPr>
              <w:t>growth</w:t>
            </w:r>
            <w:r w:rsidR="00177848" w:rsidRPr="00C6052E">
              <w:rPr>
                <w:lang w:val="en-AU"/>
              </w:rPr>
              <w:t xml:space="preserve"> </w:t>
            </w:r>
            <w:r w:rsidRPr="00C6052E">
              <w:rPr>
                <w:lang w:val="en-AU"/>
              </w:rPr>
              <w:t>initiatives</w:t>
            </w:r>
          </w:p>
          <w:p w14:paraId="3356D092" w14:textId="0B715591" w:rsidR="00D807D2" w:rsidRPr="00C6052E" w:rsidRDefault="00D807D2" w:rsidP="00D807D2">
            <w:pPr>
              <w:pStyle w:val="Tablenotes-indented"/>
              <w:ind w:left="227" w:firstLine="0"/>
              <w:rPr>
                <w:lang w:val="en-AU"/>
              </w:rPr>
            </w:pPr>
            <w:r w:rsidRPr="00C6052E">
              <w:rPr>
                <w:lang w:val="en-AU"/>
              </w:rPr>
              <w:t>Higher result due to projects that delivered above average capital expenditure project outcomes.</w:t>
            </w:r>
          </w:p>
        </w:tc>
        <w:tc>
          <w:tcPr>
            <w:tcW w:w="1020" w:type="dxa"/>
            <w:hideMark/>
          </w:tcPr>
          <w:p w14:paraId="248C403E" w14:textId="18A78BD9" w:rsidR="00EE5BB8" w:rsidRPr="00C6052E" w:rsidRDefault="00EE5BB8" w:rsidP="0063097D">
            <w:pPr>
              <w:pStyle w:val="TableCopy"/>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33893DC7" w14:textId="77777777" w:rsidR="00EE5BB8" w:rsidRPr="00C6052E" w:rsidRDefault="00EE5BB8" w:rsidP="0063097D">
            <w:pPr>
              <w:pStyle w:val="TableCopy"/>
              <w:jc w:val="right"/>
              <w:rPr>
                <w:lang w:val="en-AU"/>
              </w:rPr>
            </w:pPr>
            <w:r w:rsidRPr="00C6052E">
              <w:rPr>
                <w:lang w:val="en-AU"/>
              </w:rPr>
              <w:t>723</w:t>
            </w:r>
          </w:p>
        </w:tc>
        <w:tc>
          <w:tcPr>
            <w:tcW w:w="1020" w:type="dxa"/>
            <w:hideMark/>
          </w:tcPr>
          <w:p w14:paraId="3313B810" w14:textId="77777777" w:rsidR="00EE5BB8" w:rsidRPr="00C6052E" w:rsidRDefault="00EE5BB8" w:rsidP="0063097D">
            <w:pPr>
              <w:pStyle w:val="TableCopy"/>
              <w:jc w:val="right"/>
              <w:rPr>
                <w:lang w:val="en-AU"/>
              </w:rPr>
            </w:pPr>
            <w:r w:rsidRPr="00C6052E">
              <w:rPr>
                <w:lang w:val="en-AU"/>
              </w:rPr>
              <w:t>300</w:t>
            </w:r>
          </w:p>
        </w:tc>
        <w:tc>
          <w:tcPr>
            <w:tcW w:w="1361" w:type="dxa"/>
            <w:noWrap/>
            <w:hideMark/>
          </w:tcPr>
          <w:p w14:paraId="1688FD34" w14:textId="77777777" w:rsidR="00EE5BB8" w:rsidRPr="00C6052E" w:rsidRDefault="00EE5BB8" w:rsidP="0063097D">
            <w:pPr>
              <w:pStyle w:val="TableCopy"/>
              <w:jc w:val="right"/>
              <w:rPr>
                <w:lang w:val="en-AU"/>
              </w:rPr>
            </w:pPr>
            <w:r w:rsidRPr="00C6052E">
              <w:rPr>
                <w:lang w:val="en-AU"/>
              </w:rPr>
              <w:t>141.0%</w:t>
            </w:r>
          </w:p>
        </w:tc>
        <w:tc>
          <w:tcPr>
            <w:tcW w:w="795" w:type="dxa"/>
            <w:noWrap/>
            <w:hideMark/>
          </w:tcPr>
          <w:p w14:paraId="206680FE" w14:textId="77777777" w:rsidR="00EE5BB8" w:rsidRPr="00C6052E" w:rsidRDefault="00EE5BB8" w:rsidP="0063097D">
            <w:pPr>
              <w:pStyle w:val="TableCopy"/>
              <w:jc w:val="right"/>
              <w:rPr>
                <w:lang w:val="en-AU"/>
              </w:rPr>
            </w:pPr>
            <w:r w:rsidRPr="00C6052E">
              <w:rPr>
                <w:lang w:val="en-AU"/>
              </w:rPr>
              <w:t>1</w:t>
            </w:r>
          </w:p>
        </w:tc>
      </w:tr>
      <w:tr w:rsidR="00EE5BB8" w:rsidRPr="00C6052E" w14:paraId="268E5B6C" w14:textId="77777777" w:rsidTr="0063097D">
        <w:tc>
          <w:tcPr>
            <w:tcW w:w="4531" w:type="dxa"/>
            <w:hideMark/>
          </w:tcPr>
          <w:p w14:paraId="267FD303" w14:textId="77777777" w:rsidR="00EE5BB8" w:rsidRDefault="00EE5BB8" w:rsidP="0063097D">
            <w:pPr>
              <w:pStyle w:val="TableCopy"/>
              <w:rPr>
                <w:lang w:val="en-AU"/>
              </w:rPr>
            </w:pPr>
            <w:r w:rsidRPr="00C6052E">
              <w:rPr>
                <w:lang w:val="en-AU"/>
              </w:rPr>
              <w:lastRenderedPageBreak/>
              <w:t>Companies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consortia</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Breakthrough</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Fund</w:t>
            </w:r>
          </w:p>
          <w:p w14:paraId="214C9F89" w14:textId="455BEC97" w:rsidR="00D807D2" w:rsidRPr="00C6052E" w:rsidRDefault="00D807D2" w:rsidP="00D807D2">
            <w:pPr>
              <w:pStyle w:val="Tablenotes-indented"/>
              <w:ind w:left="227" w:firstLine="0"/>
              <w:rPr>
                <w:lang w:val="en-AU"/>
              </w:rPr>
            </w:pPr>
            <w:r w:rsidRPr="00C6052E">
              <w:rPr>
                <w:lang w:val="en-AU"/>
              </w:rPr>
              <w:t>Higher result due to a larger number of investments of smaller value, noting Breakthrough Victoria's total capital deployment remained within budget for the financial year.</w:t>
            </w:r>
          </w:p>
        </w:tc>
        <w:tc>
          <w:tcPr>
            <w:tcW w:w="1020" w:type="dxa"/>
            <w:hideMark/>
          </w:tcPr>
          <w:p w14:paraId="13911567"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3FEEC099" w14:textId="77777777" w:rsidR="00EE5BB8" w:rsidRPr="00C6052E" w:rsidRDefault="00EE5BB8" w:rsidP="0063097D">
            <w:pPr>
              <w:pStyle w:val="TableCopy"/>
              <w:jc w:val="right"/>
              <w:rPr>
                <w:lang w:val="en-AU"/>
              </w:rPr>
            </w:pPr>
            <w:r w:rsidRPr="00C6052E">
              <w:rPr>
                <w:lang w:val="en-AU"/>
              </w:rPr>
              <w:t>22</w:t>
            </w:r>
          </w:p>
        </w:tc>
        <w:tc>
          <w:tcPr>
            <w:tcW w:w="1020" w:type="dxa"/>
            <w:noWrap/>
            <w:hideMark/>
          </w:tcPr>
          <w:p w14:paraId="455F7F8E" w14:textId="77777777" w:rsidR="00EE5BB8" w:rsidRPr="00C6052E" w:rsidRDefault="00EE5BB8" w:rsidP="0063097D">
            <w:pPr>
              <w:pStyle w:val="TableCopy"/>
              <w:jc w:val="right"/>
              <w:rPr>
                <w:lang w:val="en-AU"/>
              </w:rPr>
            </w:pPr>
            <w:r w:rsidRPr="00C6052E">
              <w:rPr>
                <w:lang w:val="en-AU"/>
              </w:rPr>
              <w:t>10</w:t>
            </w:r>
          </w:p>
        </w:tc>
        <w:tc>
          <w:tcPr>
            <w:tcW w:w="1361" w:type="dxa"/>
            <w:noWrap/>
            <w:hideMark/>
          </w:tcPr>
          <w:p w14:paraId="7BAD397B" w14:textId="77777777" w:rsidR="00EE5BB8" w:rsidRPr="00C6052E" w:rsidRDefault="00EE5BB8" w:rsidP="0063097D">
            <w:pPr>
              <w:pStyle w:val="TableCopy"/>
              <w:jc w:val="right"/>
              <w:rPr>
                <w:lang w:val="en-AU"/>
              </w:rPr>
            </w:pPr>
            <w:r w:rsidRPr="00C6052E">
              <w:rPr>
                <w:lang w:val="en-AU"/>
              </w:rPr>
              <w:t>120.0%</w:t>
            </w:r>
          </w:p>
        </w:tc>
        <w:tc>
          <w:tcPr>
            <w:tcW w:w="795" w:type="dxa"/>
            <w:noWrap/>
            <w:hideMark/>
          </w:tcPr>
          <w:p w14:paraId="3F832E27" w14:textId="77777777" w:rsidR="00EE5BB8" w:rsidRPr="00C6052E" w:rsidRDefault="00EE5BB8" w:rsidP="00A42238">
            <w:pPr>
              <w:pStyle w:val="TableCopy"/>
              <w:jc w:val="right"/>
              <w:rPr>
                <w:lang w:val="en-AU"/>
              </w:rPr>
            </w:pPr>
            <w:r w:rsidRPr="00C6052E">
              <w:rPr>
                <w:lang w:val="en-AU"/>
              </w:rPr>
              <w:t>1</w:t>
            </w:r>
          </w:p>
        </w:tc>
      </w:tr>
      <w:tr w:rsidR="00EE5BB8" w:rsidRPr="00C6052E" w14:paraId="3C0627FA" w14:textId="77777777" w:rsidTr="0063097D">
        <w:tc>
          <w:tcPr>
            <w:tcW w:w="4531" w:type="dxa"/>
            <w:hideMark/>
          </w:tcPr>
          <w:p w14:paraId="42635FED" w14:textId="053C589F" w:rsidR="00EE5BB8" w:rsidRPr="00C6052E" w:rsidRDefault="00EE5BB8" w:rsidP="0063097D">
            <w:pPr>
              <w:pStyle w:val="TableCopy"/>
              <w:rPr>
                <w:lang w:val="en-AU"/>
              </w:rPr>
            </w:pPr>
            <w:r w:rsidRPr="00C6052E">
              <w:rPr>
                <w:lang w:val="en-AU"/>
              </w:rPr>
              <w:t>Companies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new</w:t>
            </w:r>
            <w:r w:rsidR="00177848" w:rsidRPr="00C6052E">
              <w:rPr>
                <w:lang w:val="en-AU"/>
              </w:rPr>
              <w:t xml:space="preserve"> </w:t>
            </w:r>
            <w:r w:rsidRPr="00C6052E">
              <w:rPr>
                <w:lang w:val="en-AU"/>
              </w:rPr>
              <w:t>entrants</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the</w:t>
            </w:r>
            <w:r w:rsidR="00177848" w:rsidRPr="00C6052E">
              <w:rPr>
                <w:lang w:val="en-AU"/>
              </w:rPr>
              <w:t xml:space="preserve"> </w:t>
            </w:r>
            <w:proofErr w:type="spellStart"/>
            <w:r w:rsidRPr="00C6052E">
              <w:rPr>
                <w:lang w:val="en-AU"/>
              </w:rPr>
              <w:t>LaunchVic</w:t>
            </w:r>
            <w:proofErr w:type="spellEnd"/>
            <w:r w:rsidR="00177848" w:rsidRPr="00C6052E">
              <w:rPr>
                <w:lang w:val="en-AU"/>
              </w:rPr>
              <w:t xml:space="preserve"> </w:t>
            </w:r>
            <w:r w:rsidRPr="00C6052E">
              <w:rPr>
                <w:lang w:val="en-AU"/>
              </w:rPr>
              <w:t>initiative</w:t>
            </w:r>
          </w:p>
        </w:tc>
        <w:tc>
          <w:tcPr>
            <w:tcW w:w="1020" w:type="dxa"/>
            <w:hideMark/>
          </w:tcPr>
          <w:p w14:paraId="7963D518"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05F2FD4C" w14:textId="77777777" w:rsidR="00EE5BB8" w:rsidRPr="00C6052E" w:rsidRDefault="00EE5BB8" w:rsidP="0063097D">
            <w:pPr>
              <w:pStyle w:val="TableCopy"/>
              <w:jc w:val="right"/>
              <w:rPr>
                <w:lang w:val="en-AU"/>
              </w:rPr>
            </w:pPr>
            <w:r w:rsidRPr="00C6052E">
              <w:rPr>
                <w:lang w:val="en-AU"/>
              </w:rPr>
              <w:t>144</w:t>
            </w:r>
          </w:p>
        </w:tc>
        <w:tc>
          <w:tcPr>
            <w:tcW w:w="1020" w:type="dxa"/>
            <w:noWrap/>
            <w:hideMark/>
          </w:tcPr>
          <w:p w14:paraId="55EBFE96" w14:textId="77777777" w:rsidR="00EE5BB8" w:rsidRPr="00C6052E" w:rsidRDefault="00EE5BB8" w:rsidP="0063097D">
            <w:pPr>
              <w:pStyle w:val="TableCopy"/>
              <w:jc w:val="right"/>
              <w:rPr>
                <w:lang w:val="en-AU"/>
              </w:rPr>
            </w:pPr>
            <w:r w:rsidRPr="00C6052E">
              <w:rPr>
                <w:lang w:val="en-AU"/>
              </w:rPr>
              <w:t>142</w:t>
            </w:r>
          </w:p>
        </w:tc>
        <w:tc>
          <w:tcPr>
            <w:tcW w:w="1361" w:type="dxa"/>
            <w:noWrap/>
            <w:hideMark/>
          </w:tcPr>
          <w:p w14:paraId="5992A040" w14:textId="77777777" w:rsidR="00EE5BB8" w:rsidRPr="00C6052E" w:rsidRDefault="00EE5BB8" w:rsidP="0063097D">
            <w:pPr>
              <w:pStyle w:val="TableCopy"/>
              <w:jc w:val="right"/>
              <w:rPr>
                <w:lang w:val="en-AU"/>
              </w:rPr>
            </w:pPr>
            <w:r w:rsidRPr="00C6052E">
              <w:rPr>
                <w:lang w:val="en-AU"/>
              </w:rPr>
              <w:t>1.4%</w:t>
            </w:r>
          </w:p>
        </w:tc>
        <w:tc>
          <w:tcPr>
            <w:tcW w:w="795" w:type="dxa"/>
            <w:noWrap/>
            <w:hideMark/>
          </w:tcPr>
          <w:p w14:paraId="691A9655" w14:textId="77777777" w:rsidR="00EE5BB8" w:rsidRPr="00C6052E" w:rsidRDefault="00EE5BB8" w:rsidP="00A42238">
            <w:pPr>
              <w:pStyle w:val="TableCopy"/>
              <w:jc w:val="right"/>
              <w:rPr>
                <w:lang w:val="en-AU"/>
              </w:rPr>
            </w:pPr>
            <w:r w:rsidRPr="00C6052E">
              <w:rPr>
                <w:lang w:val="en-AU"/>
              </w:rPr>
              <w:t>1</w:t>
            </w:r>
          </w:p>
        </w:tc>
      </w:tr>
      <w:tr w:rsidR="00EE5BB8" w:rsidRPr="00C6052E" w14:paraId="5594219B" w14:textId="77777777" w:rsidTr="0063097D">
        <w:tc>
          <w:tcPr>
            <w:tcW w:w="4531" w:type="dxa"/>
            <w:hideMark/>
          </w:tcPr>
          <w:p w14:paraId="3834EAAD" w14:textId="77777777" w:rsidR="00EE5BB8" w:rsidRDefault="00EE5BB8" w:rsidP="0063097D">
            <w:pPr>
              <w:pStyle w:val="TableCopy"/>
              <w:rPr>
                <w:lang w:val="en-AU"/>
              </w:rPr>
            </w:pPr>
            <w:r w:rsidRPr="00C6052E">
              <w:rPr>
                <w:lang w:val="en-AU"/>
              </w:rPr>
              <w:t>Firms</w:t>
            </w:r>
            <w:r w:rsidR="00177848" w:rsidRPr="00C6052E">
              <w:rPr>
                <w:lang w:val="en-AU"/>
              </w:rPr>
              <w:t xml:space="preserve"> </w:t>
            </w:r>
            <w:r w:rsidRPr="00C6052E">
              <w:rPr>
                <w:lang w:val="en-AU"/>
              </w:rPr>
              <w:t>assisted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industry</w:t>
            </w:r>
            <w:r w:rsidR="00177848" w:rsidRPr="00C6052E">
              <w:rPr>
                <w:lang w:val="en-AU"/>
              </w:rPr>
              <w:t xml:space="preserve"> </w:t>
            </w:r>
            <w:r w:rsidRPr="00C6052E">
              <w:rPr>
                <w:lang w:val="en-AU"/>
              </w:rPr>
              <w:t>growth</w:t>
            </w:r>
            <w:r w:rsidR="00177848" w:rsidRPr="00C6052E">
              <w:rPr>
                <w:lang w:val="en-AU"/>
              </w:rPr>
              <w:t xml:space="preserve"> </w:t>
            </w:r>
            <w:r w:rsidRPr="00C6052E">
              <w:rPr>
                <w:lang w:val="en-AU"/>
              </w:rPr>
              <w:t>initiatives</w:t>
            </w:r>
          </w:p>
          <w:p w14:paraId="53386747" w14:textId="763FD9D0" w:rsidR="00D807D2" w:rsidRPr="00C6052E" w:rsidRDefault="00D807D2" w:rsidP="00D807D2">
            <w:pPr>
              <w:pStyle w:val="Tablenotes-indented"/>
              <w:ind w:left="227" w:firstLine="0"/>
              <w:rPr>
                <w:lang w:val="en-AU"/>
              </w:rPr>
            </w:pPr>
            <w:r w:rsidRPr="00C6052E">
              <w:rPr>
                <w:lang w:val="en-AU"/>
              </w:rPr>
              <w:t xml:space="preserve">Higher result due to continued assistance of </w:t>
            </w:r>
            <w:proofErr w:type="gramStart"/>
            <w:r w:rsidRPr="00C6052E">
              <w:rPr>
                <w:lang w:val="en-AU"/>
              </w:rPr>
              <w:t>a large number of</w:t>
            </w:r>
            <w:proofErr w:type="gramEnd"/>
            <w:r w:rsidRPr="00C6052E">
              <w:rPr>
                <w:lang w:val="en-AU"/>
              </w:rPr>
              <w:t xml:space="preserve"> firms with multi-year grant contracts that are being actively managed.</w:t>
            </w:r>
          </w:p>
        </w:tc>
        <w:tc>
          <w:tcPr>
            <w:tcW w:w="1020" w:type="dxa"/>
            <w:hideMark/>
          </w:tcPr>
          <w:p w14:paraId="35DEF73E"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45BFE74E" w14:textId="77777777" w:rsidR="00EE5BB8" w:rsidRPr="00C6052E" w:rsidRDefault="00EE5BB8" w:rsidP="0063097D">
            <w:pPr>
              <w:pStyle w:val="TableCopy"/>
              <w:jc w:val="right"/>
              <w:rPr>
                <w:lang w:val="en-AU"/>
              </w:rPr>
            </w:pPr>
            <w:r w:rsidRPr="00C6052E">
              <w:rPr>
                <w:lang w:val="en-AU"/>
              </w:rPr>
              <w:t>138</w:t>
            </w:r>
          </w:p>
        </w:tc>
        <w:tc>
          <w:tcPr>
            <w:tcW w:w="1020" w:type="dxa"/>
            <w:noWrap/>
            <w:hideMark/>
          </w:tcPr>
          <w:p w14:paraId="6E1976BF" w14:textId="77777777" w:rsidR="00EE5BB8" w:rsidRPr="00C6052E" w:rsidRDefault="00EE5BB8" w:rsidP="0063097D">
            <w:pPr>
              <w:pStyle w:val="TableCopy"/>
              <w:jc w:val="right"/>
              <w:rPr>
                <w:lang w:val="en-AU"/>
              </w:rPr>
            </w:pPr>
            <w:r w:rsidRPr="00C6052E">
              <w:rPr>
                <w:lang w:val="en-AU"/>
              </w:rPr>
              <w:t>80</w:t>
            </w:r>
          </w:p>
        </w:tc>
        <w:tc>
          <w:tcPr>
            <w:tcW w:w="1361" w:type="dxa"/>
            <w:noWrap/>
            <w:hideMark/>
          </w:tcPr>
          <w:p w14:paraId="61ED6E4D" w14:textId="77777777" w:rsidR="00EE5BB8" w:rsidRPr="00C6052E" w:rsidRDefault="00EE5BB8" w:rsidP="0063097D">
            <w:pPr>
              <w:pStyle w:val="TableCopy"/>
              <w:jc w:val="right"/>
              <w:rPr>
                <w:lang w:val="en-AU"/>
              </w:rPr>
            </w:pPr>
            <w:r w:rsidRPr="00C6052E">
              <w:rPr>
                <w:lang w:val="en-AU"/>
              </w:rPr>
              <w:t>72.5%</w:t>
            </w:r>
          </w:p>
        </w:tc>
        <w:tc>
          <w:tcPr>
            <w:tcW w:w="795" w:type="dxa"/>
            <w:noWrap/>
            <w:hideMark/>
          </w:tcPr>
          <w:p w14:paraId="6CAD75FB" w14:textId="77777777" w:rsidR="00EE5BB8" w:rsidRPr="00C6052E" w:rsidRDefault="00EE5BB8" w:rsidP="00A42238">
            <w:pPr>
              <w:pStyle w:val="TableCopy"/>
              <w:jc w:val="right"/>
              <w:rPr>
                <w:lang w:val="en-AU"/>
              </w:rPr>
            </w:pPr>
            <w:r w:rsidRPr="00C6052E">
              <w:rPr>
                <w:lang w:val="en-AU"/>
              </w:rPr>
              <w:t>1</w:t>
            </w:r>
          </w:p>
        </w:tc>
      </w:tr>
      <w:tr w:rsidR="00EE5BB8" w:rsidRPr="00C6052E" w14:paraId="061DF1DA" w14:textId="77777777" w:rsidTr="0063097D">
        <w:tc>
          <w:tcPr>
            <w:tcW w:w="4531" w:type="dxa"/>
            <w:hideMark/>
          </w:tcPr>
          <w:p w14:paraId="6736BBAE" w14:textId="77777777" w:rsidR="00EE5BB8" w:rsidRDefault="00EE5BB8" w:rsidP="0063097D">
            <w:pPr>
              <w:pStyle w:val="TableCopy"/>
              <w:rPr>
                <w:lang w:val="en-AU"/>
              </w:rPr>
            </w:pPr>
            <w:r w:rsidRPr="00C6052E">
              <w:rPr>
                <w:lang w:val="en-AU"/>
              </w:rPr>
              <w:t>Individuals</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under</w:t>
            </w:r>
            <w:r w:rsidR="00177848" w:rsidRPr="00C6052E">
              <w:rPr>
                <w:lang w:val="en-AU"/>
              </w:rPr>
              <w:t xml:space="preserve"> </w:t>
            </w:r>
            <w:r w:rsidRPr="00C6052E">
              <w:rPr>
                <w:lang w:val="en-AU"/>
              </w:rPr>
              <w:t>digital</w:t>
            </w:r>
            <w:r w:rsidR="00177848" w:rsidRPr="00C6052E">
              <w:rPr>
                <w:lang w:val="en-AU"/>
              </w:rPr>
              <w:t xml:space="preserve"> </w:t>
            </w:r>
            <w:r w:rsidRPr="00C6052E">
              <w:rPr>
                <w:lang w:val="en-AU"/>
              </w:rPr>
              <w:t>skills</w:t>
            </w:r>
            <w:r w:rsidR="00177848" w:rsidRPr="00C6052E">
              <w:rPr>
                <w:lang w:val="en-AU"/>
              </w:rPr>
              <w:t xml:space="preserve"> </w:t>
            </w:r>
            <w:r w:rsidRPr="00C6052E">
              <w:rPr>
                <w:lang w:val="en-AU"/>
              </w:rPr>
              <w:t>initiatives</w:t>
            </w:r>
          </w:p>
          <w:p w14:paraId="460B5DDF" w14:textId="154B714B" w:rsidR="00D807D2" w:rsidRPr="00C6052E" w:rsidRDefault="00D807D2" w:rsidP="00D807D2">
            <w:pPr>
              <w:pStyle w:val="Tablenotes-indented"/>
              <w:ind w:left="227" w:firstLine="0"/>
              <w:rPr>
                <w:lang w:val="en-AU"/>
              </w:rPr>
            </w:pPr>
            <w:r w:rsidRPr="00C6052E">
              <w:rPr>
                <w:lang w:val="en-AU"/>
              </w:rPr>
              <w:t>Higher result as more Digital Jobs Program Round 8 and 9 participants chose to engage with the employability services offered by the program for a longer period than anticipated.</w:t>
            </w:r>
          </w:p>
        </w:tc>
        <w:tc>
          <w:tcPr>
            <w:tcW w:w="1020" w:type="dxa"/>
            <w:hideMark/>
          </w:tcPr>
          <w:p w14:paraId="3D1CFDD1"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1C42118C" w14:textId="77777777" w:rsidR="00EE5BB8" w:rsidRPr="00C6052E" w:rsidRDefault="00EE5BB8" w:rsidP="0063097D">
            <w:pPr>
              <w:pStyle w:val="TableCopy"/>
              <w:jc w:val="right"/>
              <w:rPr>
                <w:lang w:val="en-AU"/>
              </w:rPr>
            </w:pPr>
            <w:r w:rsidRPr="00C6052E">
              <w:rPr>
                <w:lang w:val="en-AU"/>
              </w:rPr>
              <w:t>1,070</w:t>
            </w:r>
          </w:p>
        </w:tc>
        <w:tc>
          <w:tcPr>
            <w:tcW w:w="1020" w:type="dxa"/>
            <w:noWrap/>
            <w:hideMark/>
          </w:tcPr>
          <w:p w14:paraId="2DA7DA70" w14:textId="77777777" w:rsidR="00EE5BB8" w:rsidRPr="00C6052E" w:rsidRDefault="00EE5BB8" w:rsidP="0063097D">
            <w:pPr>
              <w:pStyle w:val="TableCopy"/>
              <w:jc w:val="right"/>
              <w:rPr>
                <w:lang w:val="en-AU"/>
              </w:rPr>
            </w:pPr>
            <w:r w:rsidRPr="00C6052E">
              <w:rPr>
                <w:lang w:val="en-AU"/>
              </w:rPr>
              <w:t>1,000</w:t>
            </w:r>
          </w:p>
        </w:tc>
        <w:tc>
          <w:tcPr>
            <w:tcW w:w="1361" w:type="dxa"/>
            <w:noWrap/>
            <w:hideMark/>
          </w:tcPr>
          <w:p w14:paraId="1B73C578" w14:textId="77777777" w:rsidR="00EE5BB8" w:rsidRPr="00C6052E" w:rsidRDefault="00EE5BB8" w:rsidP="0063097D">
            <w:pPr>
              <w:pStyle w:val="TableCopy"/>
              <w:jc w:val="right"/>
              <w:rPr>
                <w:lang w:val="en-AU"/>
              </w:rPr>
            </w:pPr>
            <w:r w:rsidRPr="00C6052E">
              <w:rPr>
                <w:lang w:val="en-AU"/>
              </w:rPr>
              <w:t>7.0%</w:t>
            </w:r>
          </w:p>
        </w:tc>
        <w:tc>
          <w:tcPr>
            <w:tcW w:w="795" w:type="dxa"/>
            <w:noWrap/>
            <w:hideMark/>
          </w:tcPr>
          <w:p w14:paraId="436B4AB6" w14:textId="77777777" w:rsidR="00EE5BB8" w:rsidRPr="00C6052E" w:rsidRDefault="00EE5BB8" w:rsidP="00A42238">
            <w:pPr>
              <w:pStyle w:val="TableCopy"/>
              <w:jc w:val="right"/>
              <w:rPr>
                <w:lang w:val="en-AU"/>
              </w:rPr>
            </w:pPr>
            <w:r w:rsidRPr="00C6052E">
              <w:rPr>
                <w:lang w:val="en-AU"/>
              </w:rPr>
              <w:t>1</w:t>
            </w:r>
          </w:p>
        </w:tc>
      </w:tr>
      <w:tr w:rsidR="00EE5BB8" w:rsidRPr="00C6052E" w14:paraId="5B80A6F0" w14:textId="77777777" w:rsidTr="0063097D">
        <w:tc>
          <w:tcPr>
            <w:tcW w:w="4531" w:type="dxa"/>
            <w:hideMark/>
          </w:tcPr>
          <w:p w14:paraId="3DCF6997" w14:textId="77777777" w:rsidR="00EE5BB8" w:rsidRDefault="00EE5BB8" w:rsidP="0063097D">
            <w:pPr>
              <w:pStyle w:val="TableCopy"/>
              <w:rPr>
                <w:lang w:val="en-AU"/>
              </w:rPr>
            </w:pPr>
            <w:r w:rsidRPr="00C6052E">
              <w:rPr>
                <w:lang w:val="en-AU"/>
              </w:rPr>
              <w:t>Industry</w:t>
            </w:r>
            <w:r w:rsidR="00177848" w:rsidRPr="00C6052E">
              <w:rPr>
                <w:lang w:val="en-AU"/>
              </w:rPr>
              <w:t xml:space="preserve"> </w:t>
            </w:r>
            <w:r w:rsidRPr="00C6052E">
              <w:rPr>
                <w:lang w:val="en-AU"/>
              </w:rPr>
              <w:t>roundtables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engagement</w:t>
            </w:r>
            <w:r w:rsidR="00177848" w:rsidRPr="00C6052E">
              <w:rPr>
                <w:lang w:val="en-AU"/>
              </w:rPr>
              <w:t xml:space="preserve"> </w:t>
            </w:r>
            <w:r w:rsidRPr="00C6052E">
              <w:rPr>
                <w:lang w:val="en-AU"/>
              </w:rPr>
              <w:t>forums</w:t>
            </w:r>
          </w:p>
          <w:p w14:paraId="0259907F" w14:textId="123F8A2B" w:rsidR="00D807D2" w:rsidRPr="00C6052E" w:rsidRDefault="00D807D2" w:rsidP="00D807D2">
            <w:pPr>
              <w:pStyle w:val="Tablenotes-indented"/>
              <w:ind w:left="227" w:firstLine="0"/>
              <w:rPr>
                <w:lang w:val="en-AU"/>
              </w:rPr>
            </w:pPr>
            <w:r w:rsidRPr="00C6052E">
              <w:rPr>
                <w:lang w:val="en-AU"/>
              </w:rPr>
              <w:t>Higher result due to stronger-than-expected participation from industry stakeholders in Fair Jobs Code engagement activities and stakeholder briefings held during trade shows throughout the year. Additionally, through the development and implementation of the Economic Growth Statement stakeholder engagement further contributed to the overall total.</w:t>
            </w:r>
          </w:p>
        </w:tc>
        <w:tc>
          <w:tcPr>
            <w:tcW w:w="1020" w:type="dxa"/>
            <w:hideMark/>
          </w:tcPr>
          <w:p w14:paraId="410909BD"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12C77AF2" w14:textId="77777777" w:rsidR="00EE5BB8" w:rsidRPr="00C6052E" w:rsidRDefault="00EE5BB8" w:rsidP="0063097D">
            <w:pPr>
              <w:pStyle w:val="TableCopy"/>
              <w:jc w:val="right"/>
              <w:rPr>
                <w:lang w:val="en-AU"/>
              </w:rPr>
            </w:pPr>
            <w:r w:rsidRPr="00C6052E">
              <w:rPr>
                <w:lang w:val="en-AU"/>
              </w:rPr>
              <w:t>110</w:t>
            </w:r>
          </w:p>
        </w:tc>
        <w:tc>
          <w:tcPr>
            <w:tcW w:w="1020" w:type="dxa"/>
            <w:noWrap/>
            <w:hideMark/>
          </w:tcPr>
          <w:p w14:paraId="09C453E2" w14:textId="77777777" w:rsidR="00EE5BB8" w:rsidRPr="00C6052E" w:rsidRDefault="00EE5BB8" w:rsidP="0063097D">
            <w:pPr>
              <w:pStyle w:val="TableCopy"/>
              <w:jc w:val="right"/>
              <w:rPr>
                <w:lang w:val="en-AU"/>
              </w:rPr>
            </w:pPr>
            <w:r w:rsidRPr="00C6052E">
              <w:rPr>
                <w:lang w:val="en-AU"/>
              </w:rPr>
              <w:t>60</w:t>
            </w:r>
          </w:p>
        </w:tc>
        <w:tc>
          <w:tcPr>
            <w:tcW w:w="1361" w:type="dxa"/>
            <w:noWrap/>
            <w:hideMark/>
          </w:tcPr>
          <w:p w14:paraId="4BD2C0E5" w14:textId="77777777" w:rsidR="00EE5BB8" w:rsidRPr="00C6052E" w:rsidRDefault="00EE5BB8" w:rsidP="0063097D">
            <w:pPr>
              <w:pStyle w:val="TableCopy"/>
              <w:jc w:val="right"/>
              <w:rPr>
                <w:lang w:val="en-AU"/>
              </w:rPr>
            </w:pPr>
            <w:r w:rsidRPr="00C6052E">
              <w:rPr>
                <w:lang w:val="en-AU"/>
              </w:rPr>
              <w:t>83.3%</w:t>
            </w:r>
          </w:p>
        </w:tc>
        <w:tc>
          <w:tcPr>
            <w:tcW w:w="795" w:type="dxa"/>
            <w:noWrap/>
            <w:hideMark/>
          </w:tcPr>
          <w:p w14:paraId="6F3EE914" w14:textId="77777777" w:rsidR="00EE5BB8" w:rsidRPr="00C6052E" w:rsidRDefault="00EE5BB8" w:rsidP="00A42238">
            <w:pPr>
              <w:pStyle w:val="TableCopy"/>
              <w:jc w:val="right"/>
              <w:rPr>
                <w:lang w:val="en-AU"/>
              </w:rPr>
            </w:pPr>
            <w:r w:rsidRPr="00C6052E">
              <w:rPr>
                <w:lang w:val="en-AU"/>
              </w:rPr>
              <w:t>1</w:t>
            </w:r>
          </w:p>
        </w:tc>
      </w:tr>
      <w:tr w:rsidR="00EE5BB8" w:rsidRPr="00C6052E" w14:paraId="597D813B" w14:textId="77777777" w:rsidTr="0063097D">
        <w:tc>
          <w:tcPr>
            <w:tcW w:w="4531" w:type="dxa"/>
            <w:hideMark/>
          </w:tcPr>
          <w:p w14:paraId="7EC093CA" w14:textId="77777777" w:rsidR="00EE5BB8" w:rsidRDefault="00EE5BB8" w:rsidP="0063097D">
            <w:pPr>
              <w:pStyle w:val="TableCopy"/>
              <w:rPr>
                <w:lang w:val="en-AU"/>
              </w:rPr>
            </w:pPr>
            <w:r w:rsidRPr="00C6052E">
              <w:rPr>
                <w:lang w:val="en-AU"/>
              </w:rPr>
              <w:t>Jobs</w:t>
            </w:r>
            <w:r w:rsidR="00177848" w:rsidRPr="00C6052E">
              <w:rPr>
                <w:lang w:val="en-AU"/>
              </w:rPr>
              <w:t xml:space="preserve"> </w:t>
            </w:r>
            <w:r w:rsidRPr="00C6052E">
              <w:rPr>
                <w:lang w:val="en-AU"/>
              </w:rPr>
              <w:t>created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industry</w:t>
            </w:r>
            <w:r w:rsidR="00177848" w:rsidRPr="00C6052E">
              <w:rPr>
                <w:lang w:val="en-AU"/>
              </w:rPr>
              <w:t xml:space="preserve"> </w:t>
            </w:r>
            <w:r w:rsidRPr="00C6052E">
              <w:rPr>
                <w:lang w:val="en-AU"/>
              </w:rPr>
              <w:t>growth</w:t>
            </w:r>
            <w:r w:rsidR="00177848" w:rsidRPr="00C6052E">
              <w:rPr>
                <w:lang w:val="en-AU"/>
              </w:rPr>
              <w:t xml:space="preserve"> </w:t>
            </w:r>
            <w:r w:rsidRPr="00C6052E">
              <w:rPr>
                <w:lang w:val="en-AU"/>
              </w:rPr>
              <w:t>initiatives</w:t>
            </w:r>
          </w:p>
          <w:p w14:paraId="5266240E" w14:textId="3B4AD463" w:rsidR="00D807D2" w:rsidRPr="00C6052E" w:rsidRDefault="00D807D2" w:rsidP="00D807D2">
            <w:pPr>
              <w:pStyle w:val="Tablenotes-indented"/>
              <w:ind w:left="227" w:firstLine="0"/>
              <w:rPr>
                <w:lang w:val="en-AU"/>
              </w:rPr>
            </w:pPr>
            <w:r w:rsidRPr="00C6052E">
              <w:rPr>
                <w:lang w:val="en-AU"/>
              </w:rPr>
              <w:t xml:space="preserve">Higher result due to </w:t>
            </w:r>
            <w:proofErr w:type="gramStart"/>
            <w:r w:rsidRPr="00C6052E">
              <w:rPr>
                <w:lang w:val="en-AU"/>
              </w:rPr>
              <w:t>a number of</w:t>
            </w:r>
            <w:proofErr w:type="gramEnd"/>
            <w:r w:rsidRPr="00C6052E">
              <w:rPr>
                <w:lang w:val="en-AU"/>
              </w:rPr>
              <w:t xml:space="preserve"> projects that delivered above average jobs project outcomes.</w:t>
            </w:r>
          </w:p>
        </w:tc>
        <w:tc>
          <w:tcPr>
            <w:tcW w:w="1020" w:type="dxa"/>
            <w:hideMark/>
          </w:tcPr>
          <w:p w14:paraId="33820C79"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1F253A34" w14:textId="77777777" w:rsidR="00EE5BB8" w:rsidRPr="00C6052E" w:rsidRDefault="00EE5BB8" w:rsidP="0063097D">
            <w:pPr>
              <w:pStyle w:val="TableCopy"/>
              <w:jc w:val="right"/>
              <w:rPr>
                <w:lang w:val="en-AU"/>
              </w:rPr>
            </w:pPr>
            <w:r w:rsidRPr="00C6052E">
              <w:rPr>
                <w:lang w:val="en-AU"/>
              </w:rPr>
              <w:t>1,100</w:t>
            </w:r>
          </w:p>
        </w:tc>
        <w:tc>
          <w:tcPr>
            <w:tcW w:w="1020" w:type="dxa"/>
            <w:noWrap/>
            <w:hideMark/>
          </w:tcPr>
          <w:p w14:paraId="723691DD" w14:textId="77777777" w:rsidR="00EE5BB8" w:rsidRPr="00C6052E" w:rsidRDefault="00EE5BB8" w:rsidP="0063097D">
            <w:pPr>
              <w:pStyle w:val="TableCopy"/>
              <w:jc w:val="right"/>
              <w:rPr>
                <w:lang w:val="en-AU"/>
              </w:rPr>
            </w:pPr>
            <w:r w:rsidRPr="00C6052E">
              <w:rPr>
                <w:lang w:val="en-AU"/>
              </w:rPr>
              <w:t>900</w:t>
            </w:r>
          </w:p>
        </w:tc>
        <w:tc>
          <w:tcPr>
            <w:tcW w:w="1361" w:type="dxa"/>
            <w:noWrap/>
            <w:hideMark/>
          </w:tcPr>
          <w:p w14:paraId="3286B53C" w14:textId="77777777" w:rsidR="00EE5BB8" w:rsidRPr="00C6052E" w:rsidRDefault="00EE5BB8" w:rsidP="0063097D">
            <w:pPr>
              <w:pStyle w:val="TableCopy"/>
              <w:jc w:val="right"/>
              <w:rPr>
                <w:lang w:val="en-AU"/>
              </w:rPr>
            </w:pPr>
            <w:r w:rsidRPr="00C6052E">
              <w:rPr>
                <w:lang w:val="en-AU"/>
              </w:rPr>
              <w:t>22.2%</w:t>
            </w:r>
          </w:p>
        </w:tc>
        <w:tc>
          <w:tcPr>
            <w:tcW w:w="795" w:type="dxa"/>
            <w:noWrap/>
            <w:hideMark/>
          </w:tcPr>
          <w:p w14:paraId="74E392A4" w14:textId="77777777" w:rsidR="00EE5BB8" w:rsidRPr="00C6052E" w:rsidRDefault="00EE5BB8" w:rsidP="00A42238">
            <w:pPr>
              <w:pStyle w:val="TableCopy"/>
              <w:jc w:val="right"/>
              <w:rPr>
                <w:lang w:val="en-AU"/>
              </w:rPr>
            </w:pPr>
            <w:r w:rsidRPr="00C6052E">
              <w:rPr>
                <w:lang w:val="en-AU"/>
              </w:rPr>
              <w:t>1</w:t>
            </w:r>
          </w:p>
        </w:tc>
      </w:tr>
      <w:tr w:rsidR="00EE5BB8" w:rsidRPr="00C6052E" w14:paraId="296C108E" w14:textId="77777777" w:rsidTr="0063097D">
        <w:tc>
          <w:tcPr>
            <w:tcW w:w="4531" w:type="dxa"/>
            <w:hideMark/>
          </w:tcPr>
          <w:p w14:paraId="06DDAA01" w14:textId="77777777" w:rsidR="00EE5BB8"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equity</w:t>
            </w:r>
            <w:r w:rsidR="00177848" w:rsidRPr="00C6052E">
              <w:rPr>
                <w:lang w:val="en-AU"/>
              </w:rPr>
              <w:t xml:space="preserve"> </w:t>
            </w:r>
            <w:r w:rsidRPr="00C6052E">
              <w:rPr>
                <w:lang w:val="en-AU"/>
              </w:rPr>
              <w:t>investments</w:t>
            </w:r>
            <w:r w:rsidR="00177848" w:rsidRPr="00C6052E">
              <w:rPr>
                <w:lang w:val="en-AU"/>
              </w:rPr>
              <w:t xml:space="preserve"> </w:t>
            </w:r>
            <w:r w:rsidRPr="00C6052E">
              <w:rPr>
                <w:lang w:val="en-AU"/>
              </w:rPr>
              <w:t>held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female</w:t>
            </w:r>
            <w:r w:rsidR="00177848" w:rsidRPr="00C6052E">
              <w:rPr>
                <w:lang w:val="en-AU"/>
              </w:rPr>
              <w:t xml:space="preserve"> </w:t>
            </w:r>
            <w:r w:rsidRPr="00C6052E">
              <w:rPr>
                <w:lang w:val="en-AU"/>
              </w:rPr>
              <w:t>founders</w:t>
            </w:r>
            <w:r w:rsidR="00177848" w:rsidRPr="00C6052E">
              <w:rPr>
                <w:lang w:val="en-AU"/>
              </w:rPr>
              <w:t xml:space="preserve"> </w:t>
            </w:r>
            <w:r w:rsidRPr="00C6052E">
              <w:rPr>
                <w:lang w:val="en-AU"/>
              </w:rPr>
              <w:t>under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Alice</w:t>
            </w:r>
            <w:r w:rsidR="00177848" w:rsidRPr="00C6052E">
              <w:rPr>
                <w:lang w:val="en-AU"/>
              </w:rPr>
              <w:t xml:space="preserve"> </w:t>
            </w:r>
            <w:r w:rsidRPr="00C6052E">
              <w:rPr>
                <w:lang w:val="en-AU"/>
              </w:rPr>
              <w:t>Anderson</w:t>
            </w:r>
            <w:r w:rsidR="00177848" w:rsidRPr="00C6052E">
              <w:rPr>
                <w:lang w:val="en-AU"/>
              </w:rPr>
              <w:t xml:space="preserve"> </w:t>
            </w:r>
            <w:r w:rsidRPr="00C6052E">
              <w:rPr>
                <w:lang w:val="en-AU"/>
              </w:rPr>
              <w:t>Fund</w:t>
            </w:r>
            <w:r w:rsidR="00177848" w:rsidRPr="00C6052E">
              <w:rPr>
                <w:lang w:val="en-AU"/>
              </w:rPr>
              <w:t xml:space="preserve"> </w:t>
            </w:r>
            <w:r w:rsidRPr="00C6052E">
              <w:rPr>
                <w:lang w:val="en-AU"/>
              </w:rPr>
              <w:t>initiative</w:t>
            </w:r>
          </w:p>
          <w:p w14:paraId="19911815" w14:textId="6E3F5926" w:rsidR="00D807D2" w:rsidRPr="00C6052E" w:rsidRDefault="00D807D2" w:rsidP="00D807D2">
            <w:pPr>
              <w:pStyle w:val="Tablenotes-indented"/>
              <w:ind w:left="227" w:firstLine="0"/>
              <w:rPr>
                <w:lang w:val="en-AU"/>
              </w:rPr>
            </w:pPr>
            <w:r w:rsidRPr="00C6052E">
              <w:rPr>
                <w:lang w:val="en-AU"/>
              </w:rPr>
              <w:t>Higher result due to a higher than anticipated number of quality applications received and an improved</w:t>
            </w:r>
            <w:r w:rsidRPr="00C6052E">
              <w:rPr>
                <w:rFonts w:cs="Cambria"/>
                <w:lang w:val="en-AU"/>
              </w:rPr>
              <w:t xml:space="preserve"> </w:t>
            </w:r>
            <w:r w:rsidRPr="00C6052E">
              <w:rPr>
                <w:lang w:val="en-AU"/>
              </w:rPr>
              <w:t>investment landscape.</w:t>
            </w:r>
          </w:p>
        </w:tc>
        <w:tc>
          <w:tcPr>
            <w:tcW w:w="1020" w:type="dxa"/>
            <w:hideMark/>
          </w:tcPr>
          <w:p w14:paraId="6E5599CB"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64F9FB7A" w14:textId="77777777" w:rsidR="00EE5BB8" w:rsidRPr="00C6052E" w:rsidRDefault="00EE5BB8" w:rsidP="0063097D">
            <w:pPr>
              <w:pStyle w:val="TableCopy"/>
              <w:jc w:val="right"/>
              <w:rPr>
                <w:lang w:val="en-AU"/>
              </w:rPr>
            </w:pPr>
            <w:r w:rsidRPr="00C6052E">
              <w:rPr>
                <w:lang w:val="en-AU"/>
              </w:rPr>
              <w:t>9</w:t>
            </w:r>
          </w:p>
        </w:tc>
        <w:tc>
          <w:tcPr>
            <w:tcW w:w="1020" w:type="dxa"/>
            <w:hideMark/>
          </w:tcPr>
          <w:p w14:paraId="6531658A" w14:textId="77777777" w:rsidR="00EE5BB8" w:rsidRPr="00C6052E" w:rsidRDefault="00EE5BB8" w:rsidP="0063097D">
            <w:pPr>
              <w:pStyle w:val="TableCopy"/>
              <w:jc w:val="right"/>
              <w:rPr>
                <w:lang w:val="en-AU"/>
              </w:rPr>
            </w:pPr>
            <w:r w:rsidRPr="00C6052E">
              <w:rPr>
                <w:lang w:val="en-AU"/>
              </w:rPr>
              <w:t>5</w:t>
            </w:r>
          </w:p>
        </w:tc>
        <w:tc>
          <w:tcPr>
            <w:tcW w:w="1361" w:type="dxa"/>
            <w:noWrap/>
            <w:hideMark/>
          </w:tcPr>
          <w:p w14:paraId="33114064" w14:textId="77777777" w:rsidR="00EE5BB8" w:rsidRPr="00C6052E" w:rsidRDefault="00EE5BB8" w:rsidP="0063097D">
            <w:pPr>
              <w:pStyle w:val="TableCopy"/>
              <w:jc w:val="right"/>
              <w:rPr>
                <w:lang w:val="en-AU"/>
              </w:rPr>
            </w:pPr>
            <w:r w:rsidRPr="00C6052E">
              <w:rPr>
                <w:lang w:val="en-AU"/>
              </w:rPr>
              <w:t>80.0%</w:t>
            </w:r>
          </w:p>
        </w:tc>
        <w:tc>
          <w:tcPr>
            <w:tcW w:w="795" w:type="dxa"/>
            <w:noWrap/>
            <w:hideMark/>
          </w:tcPr>
          <w:p w14:paraId="37E00D54" w14:textId="77777777" w:rsidR="00EE5BB8" w:rsidRPr="00C6052E" w:rsidRDefault="00EE5BB8" w:rsidP="00A42238">
            <w:pPr>
              <w:pStyle w:val="TableCopy"/>
              <w:jc w:val="right"/>
              <w:rPr>
                <w:lang w:val="en-AU"/>
              </w:rPr>
            </w:pPr>
            <w:r w:rsidRPr="00C6052E">
              <w:rPr>
                <w:lang w:val="en-AU"/>
              </w:rPr>
              <w:t>1</w:t>
            </w:r>
          </w:p>
        </w:tc>
      </w:tr>
      <w:tr w:rsidR="00EE5BB8" w:rsidRPr="00C6052E" w14:paraId="0F9477EB" w14:textId="77777777" w:rsidTr="0063097D">
        <w:tc>
          <w:tcPr>
            <w:tcW w:w="4531" w:type="dxa"/>
            <w:hideMark/>
          </w:tcPr>
          <w:p w14:paraId="6EE45571" w14:textId="77777777" w:rsidR="00EE5BB8" w:rsidRDefault="00EE5BB8" w:rsidP="0063097D">
            <w:pPr>
              <w:pStyle w:val="TableCopy"/>
              <w:keepNext/>
              <w:rPr>
                <w:lang w:val="en-AU"/>
              </w:rPr>
            </w:pPr>
            <w:r w:rsidRPr="00C6052E">
              <w:rPr>
                <w:lang w:val="en-AU"/>
              </w:rPr>
              <w:lastRenderedPageBreak/>
              <w:t>Participation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access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programs</w:t>
            </w:r>
          </w:p>
          <w:p w14:paraId="237B6FA7" w14:textId="2D389830" w:rsidR="00D807D2" w:rsidRPr="00C6052E" w:rsidRDefault="00D807D2" w:rsidP="00D807D2">
            <w:pPr>
              <w:pStyle w:val="Tablenotes-indented"/>
              <w:ind w:left="227" w:firstLine="0"/>
              <w:rPr>
                <w:lang w:val="en-AU"/>
              </w:rPr>
            </w:pPr>
            <w:r w:rsidRPr="00C6052E">
              <w:rPr>
                <w:lang w:val="en-AU"/>
              </w:rPr>
              <w:t>Higher result due to greater than expected engagement by current and prospective business owners and operators with Business Victoria learning and advice services offered in 2024-25. Support for bushfire affected small businesses has also been made available.</w:t>
            </w:r>
          </w:p>
        </w:tc>
        <w:tc>
          <w:tcPr>
            <w:tcW w:w="1020" w:type="dxa"/>
            <w:noWrap/>
            <w:hideMark/>
          </w:tcPr>
          <w:p w14:paraId="51770C9E" w14:textId="77777777" w:rsidR="00EE5BB8" w:rsidRPr="00C6052E" w:rsidRDefault="00EE5BB8" w:rsidP="0063097D">
            <w:pPr>
              <w:pStyle w:val="TableCopy"/>
              <w:keepNext/>
              <w:jc w:val="right"/>
              <w:rPr>
                <w:lang w:val="en-AU"/>
              </w:rPr>
            </w:pPr>
            <w:r w:rsidRPr="00C6052E">
              <w:rPr>
                <w:lang w:val="en-AU"/>
              </w:rPr>
              <w:t>number</w:t>
            </w:r>
          </w:p>
        </w:tc>
        <w:tc>
          <w:tcPr>
            <w:tcW w:w="1020" w:type="dxa"/>
            <w:noWrap/>
            <w:hideMark/>
          </w:tcPr>
          <w:p w14:paraId="5F2BF704" w14:textId="77777777" w:rsidR="00EE5BB8" w:rsidRPr="00C6052E" w:rsidRDefault="00EE5BB8" w:rsidP="0063097D">
            <w:pPr>
              <w:pStyle w:val="TableCopy"/>
              <w:keepNext/>
              <w:jc w:val="right"/>
              <w:rPr>
                <w:lang w:val="en-AU"/>
              </w:rPr>
            </w:pPr>
            <w:r w:rsidRPr="00C6052E">
              <w:rPr>
                <w:lang w:val="en-AU"/>
              </w:rPr>
              <w:t>6,701</w:t>
            </w:r>
          </w:p>
        </w:tc>
        <w:tc>
          <w:tcPr>
            <w:tcW w:w="1020" w:type="dxa"/>
            <w:noWrap/>
            <w:hideMark/>
          </w:tcPr>
          <w:p w14:paraId="34B04AB1" w14:textId="77777777" w:rsidR="00EE5BB8" w:rsidRPr="00C6052E" w:rsidRDefault="00EE5BB8" w:rsidP="0063097D">
            <w:pPr>
              <w:pStyle w:val="TableCopy"/>
              <w:keepNext/>
              <w:jc w:val="right"/>
              <w:rPr>
                <w:lang w:val="en-AU"/>
              </w:rPr>
            </w:pPr>
            <w:r w:rsidRPr="00C6052E">
              <w:rPr>
                <w:lang w:val="en-AU"/>
              </w:rPr>
              <w:t>4,000</w:t>
            </w:r>
          </w:p>
        </w:tc>
        <w:tc>
          <w:tcPr>
            <w:tcW w:w="1361" w:type="dxa"/>
            <w:noWrap/>
            <w:hideMark/>
          </w:tcPr>
          <w:p w14:paraId="6A2E33E7" w14:textId="77777777" w:rsidR="00EE5BB8" w:rsidRPr="00C6052E" w:rsidRDefault="00EE5BB8" w:rsidP="0063097D">
            <w:pPr>
              <w:pStyle w:val="TableCopy"/>
              <w:keepNext/>
              <w:jc w:val="right"/>
              <w:rPr>
                <w:lang w:val="en-AU"/>
              </w:rPr>
            </w:pPr>
            <w:r w:rsidRPr="00C6052E">
              <w:rPr>
                <w:lang w:val="en-AU"/>
              </w:rPr>
              <w:t>67.5%</w:t>
            </w:r>
          </w:p>
        </w:tc>
        <w:tc>
          <w:tcPr>
            <w:tcW w:w="795" w:type="dxa"/>
            <w:noWrap/>
            <w:hideMark/>
          </w:tcPr>
          <w:p w14:paraId="098A0953" w14:textId="77777777" w:rsidR="00EE5BB8" w:rsidRPr="00C6052E" w:rsidRDefault="00EE5BB8" w:rsidP="00A42238">
            <w:pPr>
              <w:pStyle w:val="TableCopy"/>
              <w:jc w:val="right"/>
              <w:rPr>
                <w:lang w:val="en-AU"/>
              </w:rPr>
            </w:pPr>
            <w:r w:rsidRPr="00C6052E">
              <w:rPr>
                <w:lang w:val="en-AU"/>
              </w:rPr>
              <w:t>1</w:t>
            </w:r>
          </w:p>
        </w:tc>
      </w:tr>
      <w:tr w:rsidR="00EE5BB8" w:rsidRPr="00C6052E" w14:paraId="71D79B5E" w14:textId="77777777" w:rsidTr="0063097D">
        <w:tc>
          <w:tcPr>
            <w:tcW w:w="4531" w:type="dxa"/>
            <w:hideMark/>
          </w:tcPr>
          <w:p w14:paraId="3EFA9862" w14:textId="54918817" w:rsidR="00EE5BB8" w:rsidRPr="00C6052E" w:rsidRDefault="00EE5BB8" w:rsidP="0063097D">
            <w:pPr>
              <w:pStyle w:val="TableCopy"/>
              <w:rPr>
                <w:lang w:val="en-AU"/>
              </w:rPr>
            </w:pPr>
            <w:r w:rsidRPr="00C6052E">
              <w:rPr>
                <w:lang w:val="en-AU"/>
              </w:rPr>
              <w:t>Projects</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building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scaling</w:t>
            </w:r>
            <w:r w:rsidR="00177848" w:rsidRPr="00C6052E">
              <w:rPr>
                <w:lang w:val="en-AU"/>
              </w:rPr>
              <w:t xml:space="preserve"> </w:t>
            </w:r>
            <w:r w:rsidRPr="00C6052E">
              <w:rPr>
                <w:lang w:val="en-AU"/>
              </w:rPr>
              <w:t>up</w:t>
            </w:r>
            <w:r w:rsidR="00177848" w:rsidRPr="00C6052E">
              <w:rPr>
                <w:lang w:val="en-AU"/>
              </w:rPr>
              <w:t xml:space="preserve"> </w:t>
            </w:r>
            <w:r w:rsidRPr="00C6052E">
              <w:rPr>
                <w:lang w:val="en-AU"/>
              </w:rPr>
              <w:t>messenger</w:t>
            </w:r>
            <w:r w:rsidR="00177848" w:rsidRPr="00C6052E">
              <w:rPr>
                <w:lang w:val="en-AU"/>
              </w:rPr>
              <w:t xml:space="preserve"> </w:t>
            </w:r>
            <w:r w:rsidRPr="00C6052E">
              <w:rPr>
                <w:lang w:val="en-AU"/>
              </w:rPr>
              <w:t>Ribonucleic</w:t>
            </w:r>
            <w:r w:rsidR="00177848" w:rsidRPr="00C6052E">
              <w:rPr>
                <w:lang w:val="en-AU"/>
              </w:rPr>
              <w:t xml:space="preserve"> </w:t>
            </w:r>
            <w:r w:rsidRPr="00C6052E">
              <w:rPr>
                <w:lang w:val="en-AU"/>
              </w:rPr>
              <w:t>Acid</w:t>
            </w:r>
            <w:r w:rsidR="00177848" w:rsidRPr="00C6052E">
              <w:rPr>
                <w:lang w:val="en-AU"/>
              </w:rPr>
              <w:t xml:space="preserve"> </w:t>
            </w:r>
            <w:r w:rsidRPr="00C6052E">
              <w:rPr>
                <w:lang w:val="en-AU"/>
              </w:rPr>
              <w:t>Vaccine</w:t>
            </w:r>
            <w:r w:rsidR="00177848" w:rsidRPr="00C6052E">
              <w:rPr>
                <w:lang w:val="en-AU"/>
              </w:rPr>
              <w:t xml:space="preserve"> </w:t>
            </w:r>
            <w:r w:rsidRPr="00C6052E">
              <w:rPr>
                <w:lang w:val="en-AU"/>
              </w:rPr>
              <w:t>(mRNA)</w:t>
            </w:r>
            <w:r w:rsidR="00177848" w:rsidRPr="00C6052E">
              <w:rPr>
                <w:lang w:val="en-AU"/>
              </w:rPr>
              <w:t xml:space="preserve"> </w:t>
            </w:r>
            <w:r w:rsidRPr="00C6052E">
              <w:rPr>
                <w:lang w:val="en-AU"/>
              </w:rPr>
              <w:t>manufacturing</w:t>
            </w:r>
            <w:r w:rsidR="00177848" w:rsidRPr="00C6052E">
              <w:rPr>
                <w:lang w:val="en-AU"/>
              </w:rPr>
              <w:t xml:space="preserve"> </w:t>
            </w:r>
            <w:r w:rsidRPr="00C6052E">
              <w:rPr>
                <w:lang w:val="en-AU"/>
              </w:rPr>
              <w:t>capability</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w:t>
            </w:r>
          </w:p>
        </w:tc>
        <w:tc>
          <w:tcPr>
            <w:tcW w:w="1020" w:type="dxa"/>
            <w:hideMark/>
          </w:tcPr>
          <w:p w14:paraId="2EB4B66D"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65C750BB" w14:textId="77777777" w:rsidR="00EE5BB8" w:rsidRPr="00C6052E" w:rsidRDefault="00EE5BB8" w:rsidP="0063097D">
            <w:pPr>
              <w:pStyle w:val="TableCopy"/>
              <w:jc w:val="right"/>
              <w:rPr>
                <w:lang w:val="en-AU"/>
              </w:rPr>
            </w:pPr>
            <w:r w:rsidRPr="00C6052E">
              <w:rPr>
                <w:lang w:val="en-AU"/>
              </w:rPr>
              <w:t>7</w:t>
            </w:r>
          </w:p>
        </w:tc>
        <w:tc>
          <w:tcPr>
            <w:tcW w:w="1020" w:type="dxa"/>
            <w:noWrap/>
            <w:hideMark/>
          </w:tcPr>
          <w:p w14:paraId="2A710DAC" w14:textId="77777777" w:rsidR="00EE5BB8" w:rsidRPr="00C6052E" w:rsidRDefault="00EE5BB8" w:rsidP="0063097D">
            <w:pPr>
              <w:pStyle w:val="TableCopy"/>
              <w:jc w:val="right"/>
              <w:rPr>
                <w:lang w:val="en-AU"/>
              </w:rPr>
            </w:pPr>
            <w:r w:rsidRPr="00C6052E">
              <w:rPr>
                <w:lang w:val="en-AU"/>
              </w:rPr>
              <w:t>7</w:t>
            </w:r>
          </w:p>
        </w:tc>
        <w:tc>
          <w:tcPr>
            <w:tcW w:w="1361" w:type="dxa"/>
            <w:noWrap/>
            <w:hideMark/>
          </w:tcPr>
          <w:p w14:paraId="4E263D00" w14:textId="77777777" w:rsidR="00EE5BB8" w:rsidRPr="00C6052E" w:rsidRDefault="00EE5BB8" w:rsidP="0063097D">
            <w:pPr>
              <w:pStyle w:val="TableCopy"/>
              <w:jc w:val="right"/>
              <w:rPr>
                <w:lang w:val="en-AU"/>
              </w:rPr>
            </w:pPr>
            <w:r w:rsidRPr="00C6052E">
              <w:rPr>
                <w:lang w:val="en-AU"/>
              </w:rPr>
              <w:t>0.0%</w:t>
            </w:r>
          </w:p>
        </w:tc>
        <w:tc>
          <w:tcPr>
            <w:tcW w:w="795" w:type="dxa"/>
            <w:noWrap/>
            <w:hideMark/>
          </w:tcPr>
          <w:p w14:paraId="2BFF07B6" w14:textId="77777777" w:rsidR="00EE5BB8" w:rsidRPr="00C6052E" w:rsidRDefault="00EE5BB8" w:rsidP="00A42238">
            <w:pPr>
              <w:pStyle w:val="TableCopy"/>
              <w:jc w:val="right"/>
              <w:rPr>
                <w:lang w:val="en-AU"/>
              </w:rPr>
            </w:pPr>
            <w:r w:rsidRPr="00C6052E">
              <w:rPr>
                <w:lang w:val="en-AU"/>
              </w:rPr>
              <w:t>1</w:t>
            </w:r>
          </w:p>
        </w:tc>
      </w:tr>
      <w:tr w:rsidR="00EE5BB8" w:rsidRPr="00C6052E" w14:paraId="1093ABAF" w14:textId="77777777" w:rsidTr="0063097D">
        <w:tc>
          <w:tcPr>
            <w:tcW w:w="4531" w:type="dxa"/>
            <w:hideMark/>
          </w:tcPr>
          <w:p w14:paraId="77706593" w14:textId="6C1A189C" w:rsidR="00EE5BB8" w:rsidRPr="00C6052E" w:rsidRDefault="00EE5BB8" w:rsidP="0063097D">
            <w:pPr>
              <w:pStyle w:val="TableCopy"/>
              <w:rPr>
                <w:lang w:val="en-AU"/>
              </w:rPr>
            </w:pPr>
            <w:r w:rsidRPr="00C6052E">
              <w:rPr>
                <w:lang w:val="en-AU"/>
              </w:rPr>
              <w:t>Strategic</w:t>
            </w:r>
            <w:r w:rsidR="00177848" w:rsidRPr="00C6052E">
              <w:rPr>
                <w:lang w:val="en-AU"/>
              </w:rPr>
              <w:t xml:space="preserve"> </w:t>
            </w:r>
            <w:r w:rsidRPr="00C6052E">
              <w:rPr>
                <w:lang w:val="en-AU"/>
              </w:rPr>
              <w:t>priority</w:t>
            </w:r>
            <w:r w:rsidR="00177848" w:rsidRPr="00C6052E">
              <w:rPr>
                <w:lang w:val="en-AU"/>
              </w:rPr>
              <w:t xml:space="preserve"> </w:t>
            </w:r>
            <w:r w:rsidRPr="00C6052E">
              <w:rPr>
                <w:lang w:val="en-AU"/>
              </w:rPr>
              <w:t>businesses</w:t>
            </w:r>
            <w:r w:rsidR="00177848" w:rsidRPr="00C6052E">
              <w:rPr>
                <w:lang w:val="en-AU"/>
              </w:rPr>
              <w:t xml:space="preserve"> </w:t>
            </w:r>
            <w:r w:rsidRPr="00C6052E">
              <w:rPr>
                <w:lang w:val="en-AU"/>
              </w:rPr>
              <w:t>engaged</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growth</w:t>
            </w:r>
          </w:p>
        </w:tc>
        <w:tc>
          <w:tcPr>
            <w:tcW w:w="1020" w:type="dxa"/>
            <w:hideMark/>
          </w:tcPr>
          <w:p w14:paraId="2DF59F21"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42E69007" w14:textId="77777777" w:rsidR="00EE5BB8" w:rsidRPr="00C6052E" w:rsidRDefault="00EE5BB8" w:rsidP="0063097D">
            <w:pPr>
              <w:pStyle w:val="TableCopy"/>
              <w:jc w:val="right"/>
              <w:rPr>
                <w:lang w:val="en-AU"/>
              </w:rPr>
            </w:pPr>
            <w:r w:rsidRPr="00C6052E">
              <w:rPr>
                <w:lang w:val="en-AU"/>
              </w:rPr>
              <w:t>911</w:t>
            </w:r>
          </w:p>
        </w:tc>
        <w:tc>
          <w:tcPr>
            <w:tcW w:w="1020" w:type="dxa"/>
            <w:hideMark/>
          </w:tcPr>
          <w:p w14:paraId="22302A9F" w14:textId="77777777" w:rsidR="00EE5BB8" w:rsidRPr="00C6052E" w:rsidRDefault="00EE5BB8" w:rsidP="0063097D">
            <w:pPr>
              <w:pStyle w:val="TableCopy"/>
              <w:jc w:val="right"/>
              <w:rPr>
                <w:lang w:val="en-AU"/>
              </w:rPr>
            </w:pPr>
            <w:r w:rsidRPr="00C6052E">
              <w:rPr>
                <w:lang w:val="en-AU"/>
              </w:rPr>
              <w:t>900</w:t>
            </w:r>
          </w:p>
        </w:tc>
        <w:tc>
          <w:tcPr>
            <w:tcW w:w="1361" w:type="dxa"/>
            <w:noWrap/>
            <w:hideMark/>
          </w:tcPr>
          <w:p w14:paraId="2CDFD394" w14:textId="77777777" w:rsidR="00EE5BB8" w:rsidRPr="00C6052E" w:rsidRDefault="00EE5BB8" w:rsidP="0063097D">
            <w:pPr>
              <w:pStyle w:val="TableCopy"/>
              <w:jc w:val="right"/>
              <w:rPr>
                <w:lang w:val="en-AU"/>
              </w:rPr>
            </w:pPr>
            <w:r w:rsidRPr="00C6052E">
              <w:rPr>
                <w:lang w:val="en-AU"/>
              </w:rPr>
              <w:t>1.2%</w:t>
            </w:r>
          </w:p>
        </w:tc>
        <w:tc>
          <w:tcPr>
            <w:tcW w:w="795" w:type="dxa"/>
            <w:noWrap/>
            <w:hideMark/>
          </w:tcPr>
          <w:p w14:paraId="21C4A8FD" w14:textId="77777777" w:rsidR="00EE5BB8" w:rsidRPr="00C6052E" w:rsidRDefault="00EE5BB8" w:rsidP="00A42238">
            <w:pPr>
              <w:pStyle w:val="TableCopy"/>
              <w:jc w:val="right"/>
              <w:rPr>
                <w:lang w:val="en-AU"/>
              </w:rPr>
            </w:pPr>
            <w:r w:rsidRPr="00C6052E">
              <w:rPr>
                <w:lang w:val="en-AU"/>
              </w:rPr>
              <w:t>1</w:t>
            </w:r>
          </w:p>
        </w:tc>
      </w:tr>
      <w:tr w:rsidR="00EE5BB8" w:rsidRPr="00C6052E" w14:paraId="73BB0924" w14:textId="77777777" w:rsidTr="0063097D">
        <w:tc>
          <w:tcPr>
            <w:tcW w:w="4531" w:type="dxa"/>
            <w:hideMark/>
          </w:tcPr>
          <w:p w14:paraId="1C3028E7" w14:textId="77777777" w:rsidR="00EE5BB8" w:rsidRDefault="00EE5BB8" w:rsidP="0063097D">
            <w:pPr>
              <w:pStyle w:val="TableCopy"/>
              <w:rPr>
                <w:lang w:val="en-AU"/>
              </w:rPr>
            </w:pPr>
            <w:r w:rsidRPr="00C6052E">
              <w:rPr>
                <w:lang w:val="en-AU"/>
              </w:rPr>
              <w:t>Visits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digital</w:t>
            </w:r>
            <w:r w:rsidR="00177848" w:rsidRPr="00C6052E">
              <w:rPr>
                <w:lang w:val="en-AU"/>
              </w:rPr>
              <w:t xml:space="preserve"> </w:t>
            </w:r>
            <w:r w:rsidRPr="00C6052E">
              <w:rPr>
                <w:lang w:val="en-AU"/>
              </w:rPr>
              <w:t>channels</w:t>
            </w:r>
          </w:p>
          <w:p w14:paraId="0C2E0DC7" w14:textId="1D70C698" w:rsidR="00D807D2" w:rsidRPr="00C6052E" w:rsidRDefault="00D807D2" w:rsidP="00D807D2">
            <w:pPr>
              <w:pStyle w:val="Tablenotes-indented"/>
              <w:ind w:left="227" w:firstLine="0"/>
              <w:rPr>
                <w:lang w:val="en-AU"/>
              </w:rPr>
            </w:pPr>
            <w:r w:rsidRPr="00C6052E">
              <w:rPr>
                <w:lang w:val="en-AU"/>
              </w:rPr>
              <w:t>Higher result due to a larger number of visits to Business Victoria digital channels, including to access business resources and services, grant programs and emergency relief following events such as floods and bushfires.</w:t>
            </w:r>
          </w:p>
        </w:tc>
        <w:tc>
          <w:tcPr>
            <w:tcW w:w="1020" w:type="dxa"/>
            <w:noWrap/>
            <w:hideMark/>
          </w:tcPr>
          <w:p w14:paraId="5DD33D6B"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0BE81F92" w14:textId="77777777" w:rsidR="00EE5BB8" w:rsidRPr="00C6052E" w:rsidRDefault="00EE5BB8" w:rsidP="0063097D">
            <w:pPr>
              <w:pStyle w:val="TableCopy"/>
              <w:jc w:val="right"/>
              <w:rPr>
                <w:lang w:val="en-AU"/>
              </w:rPr>
            </w:pPr>
            <w:r w:rsidRPr="00C6052E">
              <w:rPr>
                <w:lang w:val="en-AU"/>
              </w:rPr>
              <w:t>4,786,073</w:t>
            </w:r>
          </w:p>
        </w:tc>
        <w:tc>
          <w:tcPr>
            <w:tcW w:w="1020" w:type="dxa"/>
            <w:noWrap/>
            <w:hideMark/>
          </w:tcPr>
          <w:p w14:paraId="630FD484" w14:textId="141393F4" w:rsidR="00EE5BB8" w:rsidRPr="00C6052E" w:rsidRDefault="00EE5BB8" w:rsidP="0063097D">
            <w:pPr>
              <w:pStyle w:val="TableCopy"/>
              <w:jc w:val="right"/>
              <w:rPr>
                <w:lang w:val="en-AU"/>
              </w:rPr>
            </w:pPr>
            <w:r w:rsidRPr="00C6052E">
              <w:rPr>
                <w:lang w:val="en-AU"/>
              </w:rPr>
              <w:t>2,000,000</w:t>
            </w:r>
            <w:r w:rsidR="00177848" w:rsidRPr="00C6052E">
              <w:rPr>
                <w:lang w:val="en-AU"/>
              </w:rPr>
              <w:t xml:space="preserve"> </w:t>
            </w:r>
          </w:p>
        </w:tc>
        <w:tc>
          <w:tcPr>
            <w:tcW w:w="1361" w:type="dxa"/>
            <w:noWrap/>
            <w:hideMark/>
          </w:tcPr>
          <w:p w14:paraId="7158B9CC" w14:textId="77777777" w:rsidR="00EE5BB8" w:rsidRPr="00C6052E" w:rsidRDefault="00EE5BB8" w:rsidP="0063097D">
            <w:pPr>
              <w:pStyle w:val="TableCopy"/>
              <w:jc w:val="right"/>
              <w:rPr>
                <w:lang w:val="en-AU"/>
              </w:rPr>
            </w:pPr>
            <w:r w:rsidRPr="00C6052E">
              <w:rPr>
                <w:lang w:val="en-AU"/>
              </w:rPr>
              <w:t>139.3%</w:t>
            </w:r>
          </w:p>
        </w:tc>
        <w:tc>
          <w:tcPr>
            <w:tcW w:w="795" w:type="dxa"/>
            <w:noWrap/>
            <w:hideMark/>
          </w:tcPr>
          <w:p w14:paraId="73DCABE3" w14:textId="77777777" w:rsidR="00EE5BB8" w:rsidRPr="00C6052E" w:rsidRDefault="00EE5BB8" w:rsidP="00A42238">
            <w:pPr>
              <w:pStyle w:val="TableCopy"/>
              <w:jc w:val="right"/>
              <w:rPr>
                <w:lang w:val="en-AU"/>
              </w:rPr>
            </w:pPr>
            <w:r w:rsidRPr="00C6052E">
              <w:rPr>
                <w:lang w:val="en-AU"/>
              </w:rPr>
              <w:t>1</w:t>
            </w:r>
          </w:p>
        </w:tc>
      </w:tr>
      <w:tr w:rsidR="00EE5BB8" w:rsidRPr="00C6052E" w14:paraId="02C3432C" w14:textId="77777777" w:rsidTr="0063097D">
        <w:tc>
          <w:tcPr>
            <w:tcW w:w="4531" w:type="dxa"/>
          </w:tcPr>
          <w:p w14:paraId="4FAF31CB" w14:textId="77777777" w:rsidR="00EE5BB8" w:rsidRPr="00C6052E" w:rsidRDefault="00EE5BB8" w:rsidP="0063097D">
            <w:pPr>
              <w:pStyle w:val="TableHeading"/>
              <w:rPr>
                <w:lang w:val="en-AU"/>
              </w:rPr>
            </w:pPr>
            <w:r w:rsidRPr="00C6052E">
              <w:rPr>
                <w:lang w:val="en-AU"/>
              </w:rPr>
              <w:t>Quality</w:t>
            </w:r>
          </w:p>
        </w:tc>
        <w:tc>
          <w:tcPr>
            <w:tcW w:w="1020" w:type="dxa"/>
          </w:tcPr>
          <w:p w14:paraId="0F161729" w14:textId="77777777" w:rsidR="00EE5BB8" w:rsidRPr="00C6052E" w:rsidRDefault="00EE5BB8" w:rsidP="0063097D">
            <w:pPr>
              <w:pStyle w:val="TableHeading"/>
              <w:rPr>
                <w:lang w:val="en-AU"/>
              </w:rPr>
            </w:pPr>
          </w:p>
        </w:tc>
        <w:tc>
          <w:tcPr>
            <w:tcW w:w="1020" w:type="dxa"/>
            <w:noWrap/>
          </w:tcPr>
          <w:p w14:paraId="5D832E46" w14:textId="77777777" w:rsidR="00EE5BB8" w:rsidRPr="00C6052E" w:rsidRDefault="00EE5BB8" w:rsidP="0063097D">
            <w:pPr>
              <w:pStyle w:val="TableHeading"/>
              <w:rPr>
                <w:lang w:val="en-AU"/>
              </w:rPr>
            </w:pPr>
          </w:p>
        </w:tc>
        <w:tc>
          <w:tcPr>
            <w:tcW w:w="1020" w:type="dxa"/>
            <w:noWrap/>
          </w:tcPr>
          <w:p w14:paraId="0C931DFB" w14:textId="77777777" w:rsidR="00EE5BB8" w:rsidRPr="00C6052E" w:rsidRDefault="00EE5BB8" w:rsidP="0063097D">
            <w:pPr>
              <w:pStyle w:val="TableHeading"/>
              <w:rPr>
                <w:lang w:val="en-AU"/>
              </w:rPr>
            </w:pPr>
          </w:p>
        </w:tc>
        <w:tc>
          <w:tcPr>
            <w:tcW w:w="1361" w:type="dxa"/>
            <w:noWrap/>
          </w:tcPr>
          <w:p w14:paraId="02F1E4E7" w14:textId="77777777" w:rsidR="00EE5BB8" w:rsidRPr="00C6052E" w:rsidRDefault="00EE5BB8" w:rsidP="0063097D">
            <w:pPr>
              <w:pStyle w:val="TableHeading"/>
              <w:rPr>
                <w:lang w:val="en-AU"/>
              </w:rPr>
            </w:pPr>
          </w:p>
        </w:tc>
        <w:tc>
          <w:tcPr>
            <w:tcW w:w="795" w:type="dxa"/>
            <w:noWrap/>
          </w:tcPr>
          <w:p w14:paraId="14E726AC" w14:textId="77777777" w:rsidR="00EE5BB8" w:rsidRPr="00C6052E" w:rsidRDefault="00EE5BB8" w:rsidP="00A42238">
            <w:pPr>
              <w:pStyle w:val="TableCopy"/>
              <w:jc w:val="right"/>
              <w:rPr>
                <w:lang w:val="en-AU"/>
              </w:rPr>
            </w:pPr>
          </w:p>
        </w:tc>
      </w:tr>
      <w:tr w:rsidR="00EE5BB8" w:rsidRPr="00C6052E" w14:paraId="01037936" w14:textId="77777777" w:rsidTr="0063097D">
        <w:tc>
          <w:tcPr>
            <w:tcW w:w="4531" w:type="dxa"/>
            <w:hideMark/>
          </w:tcPr>
          <w:p w14:paraId="17F49952" w14:textId="02C99064" w:rsidR="00EE5BB8" w:rsidRPr="00C6052E" w:rsidRDefault="00EE5BB8" w:rsidP="0063097D">
            <w:pPr>
              <w:pStyle w:val="TableCopy"/>
              <w:rPr>
                <w:lang w:val="en-AU"/>
              </w:rPr>
            </w:pPr>
            <w:r w:rsidRPr="00C6052E">
              <w:rPr>
                <w:lang w:val="en-AU"/>
              </w:rPr>
              <w:t>Client</w:t>
            </w:r>
            <w:r w:rsidR="00177848" w:rsidRPr="00C6052E">
              <w:rPr>
                <w:lang w:val="en-AU"/>
              </w:rPr>
              <w:t xml:space="preserve"> </w:t>
            </w:r>
            <w:r w:rsidRPr="00C6052E">
              <w:rPr>
                <w:lang w:val="en-AU"/>
              </w:rPr>
              <w:t>satisfaction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information,</w:t>
            </w:r>
            <w:r w:rsidR="00177848" w:rsidRPr="00C6052E">
              <w:rPr>
                <w:lang w:val="en-AU"/>
              </w:rPr>
              <w:t xml:space="preserve"> </w:t>
            </w:r>
            <w:r w:rsidRPr="00C6052E">
              <w:rPr>
                <w:lang w:val="en-AU"/>
              </w:rPr>
              <w:t>referral,</w:t>
            </w:r>
            <w:r w:rsidR="00177848" w:rsidRPr="00C6052E">
              <w:rPr>
                <w:lang w:val="en-AU"/>
              </w:rPr>
              <w:t xml:space="preserve"> </w:t>
            </w:r>
            <w:r w:rsidRPr="00C6052E">
              <w:rPr>
                <w:lang w:val="en-AU"/>
              </w:rPr>
              <w:t>advisory</w:t>
            </w:r>
            <w:r w:rsidR="00177848" w:rsidRPr="00C6052E">
              <w:rPr>
                <w:lang w:val="en-AU"/>
              </w:rPr>
              <w:t xml:space="preserve"> </w:t>
            </w:r>
            <w:r w:rsidRPr="00C6052E">
              <w:rPr>
                <w:lang w:val="en-AU"/>
              </w:rPr>
              <w:t>service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programs</w:t>
            </w:r>
          </w:p>
        </w:tc>
        <w:tc>
          <w:tcPr>
            <w:tcW w:w="1020" w:type="dxa"/>
            <w:hideMark/>
          </w:tcPr>
          <w:p w14:paraId="1DAAAA52" w14:textId="01B79D24"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754D9DD" w14:textId="77777777" w:rsidR="00EE5BB8" w:rsidRPr="00C6052E" w:rsidRDefault="00EE5BB8" w:rsidP="0063097D">
            <w:pPr>
              <w:pStyle w:val="TableCopy"/>
              <w:jc w:val="right"/>
              <w:rPr>
                <w:lang w:val="en-AU"/>
              </w:rPr>
            </w:pPr>
            <w:r w:rsidRPr="00C6052E">
              <w:rPr>
                <w:lang w:val="en-AU"/>
              </w:rPr>
              <w:t>93</w:t>
            </w:r>
          </w:p>
        </w:tc>
        <w:tc>
          <w:tcPr>
            <w:tcW w:w="1020" w:type="dxa"/>
            <w:noWrap/>
            <w:hideMark/>
          </w:tcPr>
          <w:p w14:paraId="4D36D777" w14:textId="77777777" w:rsidR="00EE5BB8" w:rsidRPr="00C6052E" w:rsidRDefault="00EE5BB8" w:rsidP="0063097D">
            <w:pPr>
              <w:pStyle w:val="TableCopy"/>
              <w:jc w:val="right"/>
              <w:rPr>
                <w:lang w:val="en-AU"/>
              </w:rPr>
            </w:pPr>
            <w:r w:rsidRPr="00C6052E">
              <w:rPr>
                <w:lang w:val="en-AU"/>
              </w:rPr>
              <w:t>90</w:t>
            </w:r>
          </w:p>
        </w:tc>
        <w:tc>
          <w:tcPr>
            <w:tcW w:w="1361" w:type="dxa"/>
            <w:noWrap/>
            <w:hideMark/>
          </w:tcPr>
          <w:p w14:paraId="4BF4C473" w14:textId="77777777" w:rsidR="00EE5BB8" w:rsidRPr="00C6052E" w:rsidRDefault="00EE5BB8" w:rsidP="0063097D">
            <w:pPr>
              <w:pStyle w:val="TableCopy"/>
              <w:jc w:val="right"/>
              <w:rPr>
                <w:lang w:val="en-AU"/>
              </w:rPr>
            </w:pPr>
            <w:r w:rsidRPr="00C6052E">
              <w:rPr>
                <w:lang w:val="en-AU"/>
              </w:rPr>
              <w:t>3.3%</w:t>
            </w:r>
          </w:p>
        </w:tc>
        <w:tc>
          <w:tcPr>
            <w:tcW w:w="795" w:type="dxa"/>
            <w:noWrap/>
            <w:hideMark/>
          </w:tcPr>
          <w:p w14:paraId="08214FEA" w14:textId="77777777" w:rsidR="00EE5BB8" w:rsidRPr="00C6052E" w:rsidRDefault="00EE5BB8" w:rsidP="00A42238">
            <w:pPr>
              <w:pStyle w:val="TableCopy"/>
              <w:jc w:val="right"/>
              <w:rPr>
                <w:lang w:val="en-AU"/>
              </w:rPr>
            </w:pPr>
            <w:r w:rsidRPr="00C6052E">
              <w:rPr>
                <w:lang w:val="en-AU"/>
              </w:rPr>
              <w:t>1</w:t>
            </w:r>
          </w:p>
        </w:tc>
      </w:tr>
      <w:tr w:rsidR="00EE5BB8" w:rsidRPr="00C6052E" w14:paraId="564256A2" w14:textId="77777777" w:rsidTr="0063097D">
        <w:tc>
          <w:tcPr>
            <w:tcW w:w="4531" w:type="dxa"/>
            <w:hideMark/>
          </w:tcPr>
          <w:p w14:paraId="7D4DBEBE" w14:textId="2725F151" w:rsidR="00EE5BB8" w:rsidRPr="00C6052E" w:rsidRDefault="00EE5BB8" w:rsidP="0063097D">
            <w:pPr>
              <w:pStyle w:val="TableCopy"/>
              <w:rPr>
                <w:lang w:val="en-AU"/>
              </w:rPr>
            </w:pPr>
            <w:r w:rsidRPr="00C6052E">
              <w:rPr>
                <w:lang w:val="en-AU"/>
              </w:rPr>
              <w:t>Client</w:t>
            </w:r>
            <w:r w:rsidR="00177848" w:rsidRPr="00C6052E">
              <w:rPr>
                <w:lang w:val="en-AU"/>
              </w:rPr>
              <w:t xml:space="preserve"> </w:t>
            </w:r>
            <w:r w:rsidRPr="00C6052E">
              <w:rPr>
                <w:lang w:val="en-AU"/>
              </w:rPr>
              <w:t>satisfaction</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Offices</w:t>
            </w:r>
          </w:p>
        </w:tc>
        <w:tc>
          <w:tcPr>
            <w:tcW w:w="1020" w:type="dxa"/>
            <w:hideMark/>
          </w:tcPr>
          <w:p w14:paraId="2A9B6CB9" w14:textId="351FFF04"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27A6B13A" w14:textId="77777777" w:rsidR="00EE5BB8" w:rsidRPr="00C6052E" w:rsidRDefault="00EE5BB8" w:rsidP="0063097D">
            <w:pPr>
              <w:pStyle w:val="TableCopy"/>
              <w:jc w:val="right"/>
              <w:rPr>
                <w:lang w:val="en-AU"/>
              </w:rPr>
            </w:pPr>
            <w:r w:rsidRPr="00C6052E">
              <w:rPr>
                <w:lang w:val="en-AU"/>
              </w:rPr>
              <w:t>77</w:t>
            </w:r>
          </w:p>
        </w:tc>
        <w:tc>
          <w:tcPr>
            <w:tcW w:w="1020" w:type="dxa"/>
            <w:noWrap/>
            <w:hideMark/>
          </w:tcPr>
          <w:p w14:paraId="40E9C481" w14:textId="77777777" w:rsidR="00EE5BB8" w:rsidRPr="00C6052E" w:rsidRDefault="00EE5BB8" w:rsidP="0063097D">
            <w:pPr>
              <w:pStyle w:val="TableCopy"/>
              <w:jc w:val="right"/>
              <w:rPr>
                <w:lang w:val="en-AU"/>
              </w:rPr>
            </w:pPr>
            <w:r w:rsidRPr="00C6052E">
              <w:rPr>
                <w:lang w:val="en-AU"/>
              </w:rPr>
              <w:t>80</w:t>
            </w:r>
          </w:p>
        </w:tc>
        <w:tc>
          <w:tcPr>
            <w:tcW w:w="1361" w:type="dxa"/>
            <w:noWrap/>
            <w:hideMark/>
          </w:tcPr>
          <w:p w14:paraId="632458CF" w14:textId="77777777" w:rsidR="00EE5BB8" w:rsidRPr="00C6052E" w:rsidRDefault="00EE5BB8" w:rsidP="0063097D">
            <w:pPr>
              <w:pStyle w:val="TableCopy"/>
              <w:jc w:val="right"/>
              <w:rPr>
                <w:lang w:val="en-AU"/>
              </w:rPr>
            </w:pPr>
            <w:r w:rsidRPr="00C6052E">
              <w:rPr>
                <w:lang w:val="en-AU"/>
              </w:rPr>
              <w:t>-3.8%</w:t>
            </w:r>
          </w:p>
        </w:tc>
        <w:tc>
          <w:tcPr>
            <w:tcW w:w="795" w:type="dxa"/>
            <w:noWrap/>
            <w:hideMark/>
          </w:tcPr>
          <w:p w14:paraId="046FF623" w14:textId="77777777" w:rsidR="00EE5BB8" w:rsidRPr="00C6052E" w:rsidRDefault="00EE5BB8" w:rsidP="00A42238">
            <w:pPr>
              <w:pStyle w:val="TableCopy"/>
              <w:jc w:val="right"/>
              <w:rPr>
                <w:lang w:val="en-AU"/>
              </w:rPr>
            </w:pPr>
            <w:r w:rsidRPr="00C6052E">
              <w:rPr>
                <w:lang w:val="en-AU"/>
              </w:rPr>
              <w:t>2</w:t>
            </w:r>
          </w:p>
        </w:tc>
      </w:tr>
      <w:tr w:rsidR="00EE5BB8" w:rsidRPr="00C6052E" w14:paraId="0CE3F7D1" w14:textId="77777777" w:rsidTr="0063097D">
        <w:tc>
          <w:tcPr>
            <w:tcW w:w="4531" w:type="dxa"/>
            <w:hideMark/>
          </w:tcPr>
          <w:p w14:paraId="58EB17C7" w14:textId="77777777" w:rsidR="00EE5BB8" w:rsidRDefault="00EE5BB8" w:rsidP="0063097D">
            <w:pPr>
              <w:pStyle w:val="TableCopy"/>
              <w:rPr>
                <w:lang w:val="en-AU"/>
              </w:rPr>
            </w:pPr>
            <w:r w:rsidRPr="00C6052E">
              <w:rPr>
                <w:lang w:val="en-AU"/>
              </w:rPr>
              <w:t>Client</w:t>
            </w:r>
            <w:r w:rsidR="00177848" w:rsidRPr="00C6052E">
              <w:rPr>
                <w:lang w:val="en-AU"/>
              </w:rPr>
              <w:t xml:space="preserve"> </w:t>
            </w:r>
            <w:r w:rsidRPr="00C6052E">
              <w:rPr>
                <w:lang w:val="en-AU"/>
              </w:rPr>
              <w:t>satisfaction</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Commission</w:t>
            </w:r>
            <w:r w:rsidR="00177848" w:rsidRPr="00C6052E">
              <w:rPr>
                <w:lang w:val="en-AU"/>
              </w:rPr>
              <w:t xml:space="preserve"> </w:t>
            </w:r>
            <w:r w:rsidRPr="00C6052E">
              <w:rPr>
                <w:lang w:val="en-AU"/>
              </w:rPr>
              <w:t>mediation</w:t>
            </w:r>
            <w:r w:rsidR="00177848" w:rsidRPr="00C6052E">
              <w:rPr>
                <w:lang w:val="en-AU"/>
              </w:rPr>
              <w:t xml:space="preserve"> </w:t>
            </w:r>
            <w:r w:rsidRPr="00C6052E">
              <w:rPr>
                <w:lang w:val="en-AU"/>
              </w:rPr>
              <w:t>service</w:t>
            </w:r>
          </w:p>
          <w:p w14:paraId="4A026E5A" w14:textId="52198209" w:rsidR="00D807D2" w:rsidRPr="00C6052E" w:rsidRDefault="00D807D2" w:rsidP="00D807D2">
            <w:pPr>
              <w:pStyle w:val="Tablenotes-indented"/>
              <w:ind w:left="227" w:firstLine="0"/>
              <w:rPr>
                <w:lang w:val="en-AU"/>
              </w:rPr>
            </w:pPr>
            <w:r w:rsidRPr="00C6052E">
              <w:rPr>
                <w:lang w:val="en-AU"/>
              </w:rPr>
              <w:t>Higher result due to the addition of short-term resourcing provided by one-off funding.</w:t>
            </w:r>
          </w:p>
        </w:tc>
        <w:tc>
          <w:tcPr>
            <w:tcW w:w="1020" w:type="dxa"/>
            <w:hideMark/>
          </w:tcPr>
          <w:p w14:paraId="5A5042F1" w14:textId="0E4D1E1F"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542505FF" w14:textId="77777777" w:rsidR="00EE5BB8" w:rsidRPr="00C6052E" w:rsidRDefault="00EE5BB8" w:rsidP="0063097D">
            <w:pPr>
              <w:pStyle w:val="TableCopy"/>
              <w:jc w:val="right"/>
              <w:rPr>
                <w:lang w:val="en-AU"/>
              </w:rPr>
            </w:pPr>
            <w:r w:rsidRPr="00C6052E">
              <w:rPr>
                <w:lang w:val="en-AU"/>
              </w:rPr>
              <w:t>80</w:t>
            </w:r>
          </w:p>
        </w:tc>
        <w:tc>
          <w:tcPr>
            <w:tcW w:w="1020" w:type="dxa"/>
            <w:noWrap/>
            <w:hideMark/>
          </w:tcPr>
          <w:p w14:paraId="2B63D770" w14:textId="77777777" w:rsidR="00EE5BB8" w:rsidRPr="00C6052E" w:rsidRDefault="00EE5BB8" w:rsidP="0063097D">
            <w:pPr>
              <w:pStyle w:val="TableCopy"/>
              <w:jc w:val="right"/>
              <w:rPr>
                <w:lang w:val="en-AU"/>
              </w:rPr>
            </w:pPr>
            <w:r w:rsidRPr="00C6052E">
              <w:rPr>
                <w:lang w:val="en-AU"/>
              </w:rPr>
              <w:t>70</w:t>
            </w:r>
          </w:p>
        </w:tc>
        <w:tc>
          <w:tcPr>
            <w:tcW w:w="1361" w:type="dxa"/>
            <w:noWrap/>
            <w:hideMark/>
          </w:tcPr>
          <w:p w14:paraId="304CA853" w14:textId="77777777" w:rsidR="00EE5BB8" w:rsidRPr="00C6052E" w:rsidRDefault="00EE5BB8" w:rsidP="0063097D">
            <w:pPr>
              <w:pStyle w:val="TableCopy"/>
              <w:jc w:val="right"/>
              <w:rPr>
                <w:lang w:val="en-AU"/>
              </w:rPr>
            </w:pPr>
            <w:r w:rsidRPr="00C6052E">
              <w:rPr>
                <w:lang w:val="en-AU"/>
              </w:rPr>
              <w:t>14.3%</w:t>
            </w:r>
          </w:p>
        </w:tc>
        <w:tc>
          <w:tcPr>
            <w:tcW w:w="795" w:type="dxa"/>
            <w:noWrap/>
            <w:hideMark/>
          </w:tcPr>
          <w:p w14:paraId="07E23A51" w14:textId="77777777" w:rsidR="00EE5BB8" w:rsidRPr="00C6052E" w:rsidRDefault="00EE5BB8" w:rsidP="00A42238">
            <w:pPr>
              <w:pStyle w:val="TableCopy"/>
              <w:jc w:val="right"/>
              <w:rPr>
                <w:lang w:val="en-AU"/>
              </w:rPr>
            </w:pPr>
            <w:r w:rsidRPr="00C6052E">
              <w:rPr>
                <w:lang w:val="en-AU"/>
              </w:rPr>
              <w:t>1</w:t>
            </w:r>
          </w:p>
        </w:tc>
      </w:tr>
      <w:tr w:rsidR="00EE5BB8" w:rsidRPr="00C6052E" w14:paraId="5ABF2B10" w14:textId="77777777" w:rsidTr="0063097D">
        <w:tc>
          <w:tcPr>
            <w:tcW w:w="4531" w:type="dxa"/>
            <w:hideMark/>
          </w:tcPr>
          <w:p w14:paraId="54DAD0B0" w14:textId="77777777" w:rsidR="00EE5BB8" w:rsidRDefault="00EE5BB8" w:rsidP="0063097D">
            <w:pPr>
              <w:pStyle w:val="TableCopy"/>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disputes</w:t>
            </w:r>
            <w:r w:rsidR="00177848" w:rsidRPr="00C6052E">
              <w:rPr>
                <w:lang w:val="en-AU"/>
              </w:rPr>
              <w:t xml:space="preserve"> </w:t>
            </w:r>
            <w:r w:rsidRPr="00C6052E">
              <w:rPr>
                <w:lang w:val="en-AU"/>
              </w:rPr>
              <w:t>presented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Commission</w:t>
            </w:r>
            <w:r w:rsidR="00177848" w:rsidRPr="00C6052E">
              <w:rPr>
                <w:lang w:val="en-AU"/>
              </w:rPr>
              <w:t xml:space="preserve"> </w:t>
            </w:r>
            <w:r w:rsidRPr="00C6052E">
              <w:rPr>
                <w:lang w:val="en-AU"/>
              </w:rPr>
              <w:t>successfully</w:t>
            </w:r>
            <w:r w:rsidR="00177848" w:rsidRPr="00C6052E">
              <w:rPr>
                <w:lang w:val="en-AU"/>
              </w:rPr>
              <w:t xml:space="preserve"> </w:t>
            </w:r>
            <w:r w:rsidRPr="00C6052E">
              <w:rPr>
                <w:lang w:val="en-AU"/>
              </w:rPr>
              <w:t>mediated</w:t>
            </w:r>
          </w:p>
          <w:p w14:paraId="3E0167E0" w14:textId="40FE76DB" w:rsidR="00D807D2" w:rsidRPr="00C6052E" w:rsidRDefault="00D807D2" w:rsidP="00D807D2">
            <w:pPr>
              <w:pStyle w:val="Tablenotes-indented"/>
              <w:ind w:left="227" w:firstLine="0"/>
              <w:rPr>
                <w:lang w:val="en-AU"/>
              </w:rPr>
            </w:pPr>
            <w:r w:rsidRPr="00C6052E">
              <w:rPr>
                <w:lang w:val="en-AU"/>
              </w:rPr>
              <w:t>Higher result due to the addition of short-term resourcing provided by one-off funding.</w:t>
            </w:r>
          </w:p>
        </w:tc>
        <w:tc>
          <w:tcPr>
            <w:tcW w:w="1020" w:type="dxa"/>
            <w:hideMark/>
          </w:tcPr>
          <w:p w14:paraId="56FAD6D0" w14:textId="53F6B6A2"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700FCC9D" w14:textId="77777777" w:rsidR="00EE5BB8" w:rsidRPr="00C6052E" w:rsidRDefault="00EE5BB8" w:rsidP="0063097D">
            <w:pPr>
              <w:pStyle w:val="TableCopy"/>
              <w:jc w:val="right"/>
              <w:rPr>
                <w:lang w:val="en-AU"/>
              </w:rPr>
            </w:pPr>
            <w:r w:rsidRPr="00C6052E">
              <w:rPr>
                <w:lang w:val="en-AU"/>
              </w:rPr>
              <w:t>68.8</w:t>
            </w:r>
          </w:p>
        </w:tc>
        <w:tc>
          <w:tcPr>
            <w:tcW w:w="1020" w:type="dxa"/>
            <w:noWrap/>
            <w:hideMark/>
          </w:tcPr>
          <w:p w14:paraId="2929A82F" w14:textId="77777777" w:rsidR="00EE5BB8" w:rsidRPr="00C6052E" w:rsidRDefault="00EE5BB8" w:rsidP="0063097D">
            <w:pPr>
              <w:pStyle w:val="TableCopy"/>
              <w:jc w:val="right"/>
              <w:rPr>
                <w:lang w:val="en-AU"/>
              </w:rPr>
            </w:pPr>
            <w:r w:rsidRPr="00C6052E">
              <w:rPr>
                <w:lang w:val="en-AU"/>
              </w:rPr>
              <w:t>60</w:t>
            </w:r>
          </w:p>
        </w:tc>
        <w:tc>
          <w:tcPr>
            <w:tcW w:w="1361" w:type="dxa"/>
            <w:noWrap/>
            <w:hideMark/>
          </w:tcPr>
          <w:p w14:paraId="3E25E45F" w14:textId="77777777" w:rsidR="00EE5BB8" w:rsidRPr="00C6052E" w:rsidRDefault="00EE5BB8" w:rsidP="0063097D">
            <w:pPr>
              <w:pStyle w:val="TableCopy"/>
              <w:jc w:val="right"/>
              <w:rPr>
                <w:lang w:val="en-AU"/>
              </w:rPr>
            </w:pPr>
            <w:r w:rsidRPr="00C6052E">
              <w:rPr>
                <w:lang w:val="en-AU"/>
              </w:rPr>
              <w:t>14.6%</w:t>
            </w:r>
          </w:p>
        </w:tc>
        <w:tc>
          <w:tcPr>
            <w:tcW w:w="795" w:type="dxa"/>
            <w:noWrap/>
            <w:hideMark/>
          </w:tcPr>
          <w:p w14:paraId="4EB6ED6C" w14:textId="77777777" w:rsidR="00EE5BB8" w:rsidRPr="00C6052E" w:rsidRDefault="00EE5BB8" w:rsidP="00A42238">
            <w:pPr>
              <w:pStyle w:val="TableCopy"/>
              <w:jc w:val="right"/>
              <w:rPr>
                <w:lang w:val="en-AU"/>
              </w:rPr>
            </w:pPr>
            <w:r w:rsidRPr="00C6052E">
              <w:rPr>
                <w:lang w:val="en-AU"/>
              </w:rPr>
              <w:t>1</w:t>
            </w:r>
          </w:p>
        </w:tc>
      </w:tr>
      <w:tr w:rsidR="00EE5BB8" w:rsidRPr="00C6052E" w14:paraId="3404F24C" w14:textId="77777777" w:rsidTr="0063097D">
        <w:tc>
          <w:tcPr>
            <w:tcW w:w="4531" w:type="dxa"/>
            <w:hideMark/>
          </w:tcPr>
          <w:p w14:paraId="2FAD8EDC" w14:textId="77777777" w:rsidR="00EE5BB8" w:rsidRDefault="00EE5BB8" w:rsidP="0063097D">
            <w:pPr>
              <w:pStyle w:val="TableCopy"/>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disputes</w:t>
            </w:r>
            <w:r w:rsidR="00177848" w:rsidRPr="00C6052E">
              <w:rPr>
                <w:lang w:val="en-AU"/>
              </w:rPr>
              <w:t xml:space="preserve"> </w:t>
            </w:r>
            <w:r w:rsidRPr="00C6052E">
              <w:rPr>
                <w:lang w:val="en-AU"/>
              </w:rPr>
              <w:t>resolved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Small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Commission</w:t>
            </w:r>
            <w:r w:rsidR="00177848" w:rsidRPr="00C6052E">
              <w:rPr>
                <w:lang w:val="en-AU"/>
              </w:rPr>
              <w:t xml:space="preserve"> </w:t>
            </w:r>
            <w:r w:rsidRPr="00C6052E">
              <w:rPr>
                <w:lang w:val="en-AU"/>
              </w:rPr>
              <w:t>prior</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mediation</w:t>
            </w:r>
          </w:p>
          <w:p w14:paraId="1E8C3506" w14:textId="084D8577" w:rsidR="00D807D2" w:rsidRPr="00C6052E" w:rsidRDefault="00D807D2" w:rsidP="00D807D2">
            <w:pPr>
              <w:pStyle w:val="Tablenotes-indented"/>
              <w:ind w:left="227" w:firstLine="0"/>
              <w:rPr>
                <w:lang w:val="en-AU"/>
              </w:rPr>
            </w:pPr>
            <w:r w:rsidRPr="00C6052E">
              <w:rPr>
                <w:lang w:val="en-AU"/>
              </w:rPr>
              <w:t>Higher result due to the addition of short-term resourcing provided by one-off funding.</w:t>
            </w:r>
          </w:p>
        </w:tc>
        <w:tc>
          <w:tcPr>
            <w:tcW w:w="1020" w:type="dxa"/>
            <w:hideMark/>
          </w:tcPr>
          <w:p w14:paraId="03DAD929" w14:textId="79698243"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7DC9B349" w14:textId="77777777" w:rsidR="00EE5BB8" w:rsidRPr="00C6052E" w:rsidRDefault="00EE5BB8" w:rsidP="0063097D">
            <w:pPr>
              <w:pStyle w:val="TableCopy"/>
              <w:jc w:val="right"/>
              <w:rPr>
                <w:lang w:val="en-AU"/>
              </w:rPr>
            </w:pPr>
            <w:r w:rsidRPr="00C6052E">
              <w:rPr>
                <w:lang w:val="en-AU"/>
              </w:rPr>
              <w:t>32.9</w:t>
            </w:r>
          </w:p>
        </w:tc>
        <w:tc>
          <w:tcPr>
            <w:tcW w:w="1020" w:type="dxa"/>
            <w:noWrap/>
            <w:hideMark/>
          </w:tcPr>
          <w:p w14:paraId="3DEFFCF8" w14:textId="77777777" w:rsidR="00EE5BB8" w:rsidRPr="00C6052E" w:rsidRDefault="00EE5BB8" w:rsidP="0063097D">
            <w:pPr>
              <w:pStyle w:val="TableCopy"/>
              <w:jc w:val="right"/>
              <w:rPr>
                <w:lang w:val="en-AU"/>
              </w:rPr>
            </w:pPr>
            <w:r w:rsidRPr="00C6052E">
              <w:rPr>
                <w:lang w:val="en-AU"/>
              </w:rPr>
              <w:t>25</w:t>
            </w:r>
          </w:p>
        </w:tc>
        <w:tc>
          <w:tcPr>
            <w:tcW w:w="1361" w:type="dxa"/>
            <w:noWrap/>
            <w:hideMark/>
          </w:tcPr>
          <w:p w14:paraId="3AC87CE7" w14:textId="77777777" w:rsidR="00EE5BB8" w:rsidRPr="00C6052E" w:rsidRDefault="00EE5BB8" w:rsidP="0063097D">
            <w:pPr>
              <w:pStyle w:val="TableCopy"/>
              <w:jc w:val="right"/>
              <w:rPr>
                <w:lang w:val="en-AU"/>
              </w:rPr>
            </w:pPr>
            <w:r w:rsidRPr="00C6052E">
              <w:rPr>
                <w:lang w:val="en-AU"/>
              </w:rPr>
              <w:t>31.6%</w:t>
            </w:r>
          </w:p>
        </w:tc>
        <w:tc>
          <w:tcPr>
            <w:tcW w:w="795" w:type="dxa"/>
            <w:noWrap/>
            <w:hideMark/>
          </w:tcPr>
          <w:p w14:paraId="386C7658" w14:textId="77777777" w:rsidR="00EE5BB8" w:rsidRPr="00C6052E" w:rsidRDefault="00EE5BB8" w:rsidP="00A42238">
            <w:pPr>
              <w:pStyle w:val="TableCopy"/>
              <w:jc w:val="right"/>
              <w:rPr>
                <w:lang w:val="en-AU"/>
              </w:rPr>
            </w:pPr>
            <w:r w:rsidRPr="00C6052E">
              <w:rPr>
                <w:lang w:val="en-AU"/>
              </w:rPr>
              <w:t>1</w:t>
            </w:r>
          </w:p>
        </w:tc>
      </w:tr>
      <w:tr w:rsidR="00EE5BB8" w:rsidRPr="00C6052E" w14:paraId="67FDC064" w14:textId="77777777" w:rsidTr="0063097D">
        <w:tc>
          <w:tcPr>
            <w:tcW w:w="4531" w:type="dxa"/>
          </w:tcPr>
          <w:p w14:paraId="2008B53D" w14:textId="77777777" w:rsidR="00EE5BB8" w:rsidRPr="00C6052E" w:rsidRDefault="00EE5BB8" w:rsidP="0063097D">
            <w:pPr>
              <w:pStyle w:val="TableHeading"/>
              <w:rPr>
                <w:lang w:val="en-AU"/>
              </w:rPr>
            </w:pPr>
            <w:r w:rsidRPr="00C6052E">
              <w:rPr>
                <w:lang w:val="en-AU"/>
              </w:rPr>
              <w:lastRenderedPageBreak/>
              <w:t>Cost</w:t>
            </w:r>
          </w:p>
        </w:tc>
        <w:tc>
          <w:tcPr>
            <w:tcW w:w="1020" w:type="dxa"/>
          </w:tcPr>
          <w:p w14:paraId="091D9F75" w14:textId="77777777" w:rsidR="00EE5BB8" w:rsidRPr="00C6052E" w:rsidRDefault="00EE5BB8" w:rsidP="0063097D">
            <w:pPr>
              <w:pStyle w:val="TableHeading"/>
              <w:rPr>
                <w:lang w:val="en-AU"/>
              </w:rPr>
            </w:pPr>
          </w:p>
        </w:tc>
        <w:tc>
          <w:tcPr>
            <w:tcW w:w="1020" w:type="dxa"/>
            <w:noWrap/>
          </w:tcPr>
          <w:p w14:paraId="507B0B1E" w14:textId="77777777" w:rsidR="00EE5BB8" w:rsidRPr="00C6052E" w:rsidRDefault="00EE5BB8" w:rsidP="0063097D">
            <w:pPr>
              <w:pStyle w:val="TableHeading"/>
              <w:rPr>
                <w:lang w:val="en-AU"/>
              </w:rPr>
            </w:pPr>
          </w:p>
        </w:tc>
        <w:tc>
          <w:tcPr>
            <w:tcW w:w="1020" w:type="dxa"/>
            <w:noWrap/>
          </w:tcPr>
          <w:p w14:paraId="1B665FE8" w14:textId="77777777" w:rsidR="00EE5BB8" w:rsidRPr="00C6052E" w:rsidRDefault="00EE5BB8" w:rsidP="0063097D">
            <w:pPr>
              <w:pStyle w:val="TableHeading"/>
              <w:rPr>
                <w:lang w:val="en-AU"/>
              </w:rPr>
            </w:pPr>
          </w:p>
        </w:tc>
        <w:tc>
          <w:tcPr>
            <w:tcW w:w="1361" w:type="dxa"/>
            <w:noWrap/>
          </w:tcPr>
          <w:p w14:paraId="417A113C" w14:textId="77777777" w:rsidR="00EE5BB8" w:rsidRPr="00C6052E" w:rsidRDefault="00EE5BB8" w:rsidP="0063097D">
            <w:pPr>
              <w:pStyle w:val="TableHeading"/>
              <w:rPr>
                <w:lang w:val="en-AU"/>
              </w:rPr>
            </w:pPr>
          </w:p>
        </w:tc>
        <w:tc>
          <w:tcPr>
            <w:tcW w:w="795" w:type="dxa"/>
            <w:noWrap/>
          </w:tcPr>
          <w:p w14:paraId="02F40F5B" w14:textId="77777777" w:rsidR="00EE5BB8" w:rsidRPr="00C6052E" w:rsidRDefault="00EE5BB8" w:rsidP="00A42238">
            <w:pPr>
              <w:pStyle w:val="TableCopy"/>
              <w:jc w:val="right"/>
              <w:rPr>
                <w:lang w:val="en-AU"/>
              </w:rPr>
            </w:pPr>
          </w:p>
        </w:tc>
      </w:tr>
      <w:tr w:rsidR="00EE5BB8" w:rsidRPr="00C6052E" w14:paraId="759CD04D" w14:textId="77777777" w:rsidTr="0063097D">
        <w:tc>
          <w:tcPr>
            <w:tcW w:w="4531" w:type="dxa"/>
            <w:hideMark/>
          </w:tcPr>
          <w:p w14:paraId="78F0C140" w14:textId="77777777" w:rsidR="00EE5BB8"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p w14:paraId="0CCAAE3A" w14:textId="6197D381" w:rsidR="00D807D2" w:rsidRPr="00C6052E" w:rsidRDefault="00D807D2" w:rsidP="00D807D2">
            <w:pPr>
              <w:pStyle w:val="Tablenotes-indented"/>
              <w:ind w:left="227" w:firstLine="0"/>
              <w:rPr>
                <w:lang w:val="en-AU"/>
              </w:rPr>
            </w:pPr>
            <w:r w:rsidRPr="00C6052E">
              <w:rPr>
                <w:lang w:val="en-AU"/>
              </w:rPr>
              <w:t>The 2024–25 result is lower than the 2024–25 budget due to the timing of grant payments for industry support programs, with milestone payments now expected to be made in future years.</w:t>
            </w:r>
          </w:p>
        </w:tc>
        <w:tc>
          <w:tcPr>
            <w:tcW w:w="1020" w:type="dxa"/>
            <w:hideMark/>
          </w:tcPr>
          <w:p w14:paraId="568A8EC8" w14:textId="0C651F4E" w:rsidR="00EE5BB8" w:rsidRPr="00C6052E" w:rsidRDefault="00EE5BB8" w:rsidP="00B53837">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1C9472D6" w14:textId="77777777" w:rsidR="00EE5BB8" w:rsidRPr="00C6052E" w:rsidRDefault="00EE5BB8" w:rsidP="00B53837">
            <w:pPr>
              <w:pStyle w:val="Tabletotal"/>
              <w:jc w:val="right"/>
              <w:rPr>
                <w:lang w:val="en-AU"/>
              </w:rPr>
            </w:pPr>
            <w:r w:rsidRPr="00C6052E">
              <w:rPr>
                <w:lang w:val="en-AU"/>
              </w:rPr>
              <w:t>300.1</w:t>
            </w:r>
          </w:p>
        </w:tc>
        <w:tc>
          <w:tcPr>
            <w:tcW w:w="1020" w:type="dxa"/>
            <w:noWrap/>
            <w:hideMark/>
          </w:tcPr>
          <w:p w14:paraId="06064FF7" w14:textId="77777777" w:rsidR="00EE5BB8" w:rsidRPr="00C6052E" w:rsidRDefault="00EE5BB8" w:rsidP="00B53837">
            <w:pPr>
              <w:pStyle w:val="Tabletotal"/>
              <w:jc w:val="right"/>
              <w:rPr>
                <w:lang w:val="en-AU"/>
              </w:rPr>
            </w:pPr>
            <w:r w:rsidRPr="00C6052E">
              <w:rPr>
                <w:lang w:val="en-AU"/>
              </w:rPr>
              <w:t>418.7</w:t>
            </w:r>
          </w:p>
        </w:tc>
        <w:tc>
          <w:tcPr>
            <w:tcW w:w="1361" w:type="dxa"/>
            <w:noWrap/>
            <w:hideMark/>
          </w:tcPr>
          <w:p w14:paraId="3B367080" w14:textId="77777777" w:rsidR="00EE5BB8" w:rsidRPr="00C6052E" w:rsidRDefault="00EE5BB8" w:rsidP="00B53837">
            <w:pPr>
              <w:pStyle w:val="Tabletotal"/>
              <w:jc w:val="right"/>
              <w:rPr>
                <w:lang w:val="en-AU"/>
              </w:rPr>
            </w:pPr>
            <w:r w:rsidRPr="00C6052E">
              <w:rPr>
                <w:lang w:val="en-AU"/>
              </w:rPr>
              <w:t>-28.3%</w:t>
            </w:r>
          </w:p>
        </w:tc>
        <w:tc>
          <w:tcPr>
            <w:tcW w:w="795" w:type="dxa"/>
            <w:noWrap/>
            <w:hideMark/>
          </w:tcPr>
          <w:p w14:paraId="3286BA10" w14:textId="77777777" w:rsidR="00EE5BB8" w:rsidRPr="00C6052E" w:rsidRDefault="00EE5BB8" w:rsidP="00B53837">
            <w:pPr>
              <w:pStyle w:val="Tabletotal"/>
              <w:jc w:val="right"/>
              <w:rPr>
                <w:lang w:val="en-AU"/>
              </w:rPr>
            </w:pPr>
            <w:r w:rsidRPr="00C6052E">
              <w:rPr>
                <w:lang w:val="en-AU"/>
              </w:rPr>
              <w:t>1</w:t>
            </w:r>
          </w:p>
        </w:tc>
      </w:tr>
    </w:tbl>
    <w:p w14:paraId="1C165E3E" w14:textId="3B90FA3A" w:rsidR="00EE5BB8" w:rsidRPr="00C6052E" w:rsidRDefault="00EE5BB8" w:rsidP="00EE5BB8">
      <w:pPr>
        <w:pStyle w:val="Tablenotes"/>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212A3A68" w14:textId="77777777" w:rsidR="00EE5BB8" w:rsidRPr="00C6052E" w:rsidRDefault="00EE5BB8" w:rsidP="00EE5BB8"/>
    <w:tbl>
      <w:tblPr>
        <w:tblStyle w:val="TableGrid"/>
        <w:tblW w:w="9747" w:type="dxa"/>
        <w:tblLayout w:type="fixed"/>
        <w:tblLook w:val="04A0" w:firstRow="1" w:lastRow="0" w:firstColumn="1" w:lastColumn="0" w:noHBand="0" w:noVBand="1"/>
      </w:tblPr>
      <w:tblGrid>
        <w:gridCol w:w="4531"/>
        <w:gridCol w:w="1020"/>
        <w:gridCol w:w="1020"/>
        <w:gridCol w:w="1020"/>
        <w:gridCol w:w="1361"/>
        <w:gridCol w:w="795"/>
      </w:tblGrid>
      <w:tr w:rsidR="00EE5BB8" w:rsidRPr="00C6052E" w14:paraId="1B5CED33" w14:textId="77777777" w:rsidTr="0063097D">
        <w:tc>
          <w:tcPr>
            <w:tcW w:w="4531" w:type="dxa"/>
            <w:hideMark/>
          </w:tcPr>
          <w:p w14:paraId="6C0F5F00" w14:textId="77C6F9B5" w:rsidR="00EE5BB8" w:rsidRPr="00C6052E" w:rsidRDefault="00EE5BB8" w:rsidP="0063097D">
            <w:pPr>
              <w:pStyle w:val="TableColumnHeading"/>
              <w:rPr>
                <w:lang w:val="en-AU"/>
              </w:rPr>
            </w:pPr>
            <w:bookmarkStart w:id="16" w:name="TableColumnHeadings_12"/>
            <w:bookmarkEnd w:id="16"/>
            <w:r w:rsidRPr="00C6052E">
              <w:rPr>
                <w:lang w:val="en-AU"/>
              </w:rPr>
              <w:t>Performance</w:t>
            </w:r>
            <w:r w:rsidR="00177848" w:rsidRPr="00C6052E">
              <w:rPr>
                <w:lang w:val="en-AU"/>
              </w:rPr>
              <w:t xml:space="preserve"> </w:t>
            </w:r>
            <w:r w:rsidRPr="00C6052E">
              <w:rPr>
                <w:lang w:val="en-AU"/>
              </w:rPr>
              <w:t>measures</w:t>
            </w:r>
          </w:p>
        </w:tc>
        <w:tc>
          <w:tcPr>
            <w:tcW w:w="1020" w:type="dxa"/>
            <w:hideMark/>
          </w:tcPr>
          <w:p w14:paraId="24BC7E2F" w14:textId="4D5C2BC5" w:rsidR="00EE5BB8" w:rsidRPr="00C6052E" w:rsidRDefault="00EE5BB8" w:rsidP="0063097D">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6E419C3A" w14:textId="77777777" w:rsidR="00EE5BB8" w:rsidRPr="00C6052E" w:rsidRDefault="00EE5BB8" w:rsidP="0063097D">
            <w:pPr>
              <w:pStyle w:val="TableColumnHeading"/>
              <w:jc w:val="right"/>
              <w:rPr>
                <w:lang w:val="en-AU"/>
              </w:rPr>
            </w:pPr>
            <w:r w:rsidRPr="00C6052E">
              <w:rPr>
                <w:lang w:val="en-AU"/>
              </w:rPr>
              <w:t>2024-25</w:t>
            </w:r>
            <w:r w:rsidRPr="00C6052E">
              <w:rPr>
                <w:lang w:val="en-AU"/>
              </w:rPr>
              <w:br/>
              <w:t>Actual</w:t>
            </w:r>
          </w:p>
        </w:tc>
        <w:tc>
          <w:tcPr>
            <w:tcW w:w="1020" w:type="dxa"/>
            <w:hideMark/>
          </w:tcPr>
          <w:p w14:paraId="66133E07" w14:textId="21365346" w:rsidR="00EE5BB8" w:rsidRPr="00C6052E" w:rsidRDefault="00EE5BB8" w:rsidP="0063097D">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0B3F6E2F" w14:textId="704D187E" w:rsidR="00EE5BB8" w:rsidRPr="00C6052E" w:rsidRDefault="00EE5BB8" w:rsidP="0063097D">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95" w:type="dxa"/>
            <w:hideMark/>
          </w:tcPr>
          <w:p w14:paraId="1B72BA2C" w14:textId="77777777" w:rsidR="00EE5BB8" w:rsidRPr="00C6052E" w:rsidRDefault="00EE5BB8" w:rsidP="0063097D">
            <w:pPr>
              <w:pStyle w:val="TableColumnHeading"/>
              <w:jc w:val="right"/>
              <w:rPr>
                <w:lang w:val="en-AU"/>
              </w:rPr>
            </w:pPr>
            <w:r w:rsidRPr="00C6052E">
              <w:rPr>
                <w:lang w:val="en-AU"/>
              </w:rPr>
              <w:t>Result</w:t>
            </w:r>
          </w:p>
        </w:tc>
      </w:tr>
      <w:tr w:rsidR="00EE5BB8" w:rsidRPr="00C6052E" w14:paraId="74C19BEF" w14:textId="77777777" w:rsidTr="0063097D">
        <w:tc>
          <w:tcPr>
            <w:tcW w:w="4531" w:type="dxa"/>
          </w:tcPr>
          <w:p w14:paraId="57046E61" w14:textId="3058BE66" w:rsidR="00EE5BB8" w:rsidRPr="00C6052E" w:rsidRDefault="00EE5BB8" w:rsidP="0063097D">
            <w:pPr>
              <w:pStyle w:val="TableHeading"/>
              <w:rPr>
                <w:lang w:val="en-AU"/>
              </w:rPr>
            </w:pPr>
            <w:r w:rsidRPr="00C6052E">
              <w:rPr>
                <w:lang w:val="en-AU"/>
              </w:rPr>
              <w:t>Medical</w:t>
            </w:r>
            <w:r w:rsidR="00177848" w:rsidRPr="00C6052E">
              <w:rPr>
                <w:lang w:val="en-AU"/>
              </w:rPr>
              <w:t xml:space="preserve"> </w:t>
            </w:r>
            <w:r w:rsidRPr="00C6052E">
              <w:rPr>
                <w:lang w:val="en-AU"/>
              </w:rPr>
              <w:t>Research</w:t>
            </w:r>
          </w:p>
        </w:tc>
        <w:tc>
          <w:tcPr>
            <w:tcW w:w="1020" w:type="dxa"/>
          </w:tcPr>
          <w:p w14:paraId="600B698F" w14:textId="77777777" w:rsidR="00EE5BB8" w:rsidRPr="00C6052E" w:rsidRDefault="00EE5BB8" w:rsidP="0063097D">
            <w:pPr>
              <w:pStyle w:val="TableHeading"/>
              <w:jc w:val="right"/>
              <w:rPr>
                <w:lang w:val="en-AU"/>
              </w:rPr>
            </w:pPr>
          </w:p>
        </w:tc>
        <w:tc>
          <w:tcPr>
            <w:tcW w:w="1020" w:type="dxa"/>
            <w:noWrap/>
          </w:tcPr>
          <w:p w14:paraId="30DD897D" w14:textId="77777777" w:rsidR="00EE5BB8" w:rsidRPr="00C6052E" w:rsidRDefault="00EE5BB8" w:rsidP="0063097D">
            <w:pPr>
              <w:pStyle w:val="TableHeading"/>
              <w:jc w:val="right"/>
              <w:rPr>
                <w:lang w:val="en-AU"/>
              </w:rPr>
            </w:pPr>
          </w:p>
        </w:tc>
        <w:tc>
          <w:tcPr>
            <w:tcW w:w="1020" w:type="dxa"/>
          </w:tcPr>
          <w:p w14:paraId="3DF04186" w14:textId="77777777" w:rsidR="00EE5BB8" w:rsidRPr="00C6052E" w:rsidRDefault="00EE5BB8" w:rsidP="0063097D">
            <w:pPr>
              <w:pStyle w:val="TableHeading"/>
              <w:jc w:val="right"/>
              <w:rPr>
                <w:lang w:val="en-AU"/>
              </w:rPr>
            </w:pPr>
          </w:p>
        </w:tc>
        <w:tc>
          <w:tcPr>
            <w:tcW w:w="1361" w:type="dxa"/>
            <w:noWrap/>
          </w:tcPr>
          <w:p w14:paraId="450E8599" w14:textId="77777777" w:rsidR="00EE5BB8" w:rsidRPr="00C6052E" w:rsidRDefault="00EE5BB8" w:rsidP="0063097D">
            <w:pPr>
              <w:pStyle w:val="TableHeading"/>
              <w:jc w:val="right"/>
              <w:rPr>
                <w:lang w:val="en-AU"/>
              </w:rPr>
            </w:pPr>
          </w:p>
        </w:tc>
        <w:tc>
          <w:tcPr>
            <w:tcW w:w="795" w:type="dxa"/>
            <w:noWrap/>
          </w:tcPr>
          <w:p w14:paraId="59282934" w14:textId="77777777" w:rsidR="00EE5BB8" w:rsidRPr="00C6052E" w:rsidRDefault="00EE5BB8" w:rsidP="00A42238">
            <w:pPr>
              <w:pStyle w:val="TableCopy"/>
              <w:jc w:val="right"/>
              <w:rPr>
                <w:lang w:val="en-AU"/>
              </w:rPr>
            </w:pPr>
          </w:p>
        </w:tc>
      </w:tr>
      <w:tr w:rsidR="00EE5BB8" w:rsidRPr="00C6052E" w14:paraId="001895F8" w14:textId="77777777" w:rsidTr="0063097D">
        <w:tc>
          <w:tcPr>
            <w:tcW w:w="4531" w:type="dxa"/>
          </w:tcPr>
          <w:p w14:paraId="42881D2E" w14:textId="24A5DDE9" w:rsidR="00EE5BB8" w:rsidRPr="00C6052E" w:rsidRDefault="00EE5BB8" w:rsidP="0063097D">
            <w:pPr>
              <w:pStyle w:val="TableCopy"/>
              <w:rPr>
                <w:lang w:val="en-AU"/>
              </w:rPr>
            </w:pPr>
            <w:r w:rsidRPr="00C6052E">
              <w:rPr>
                <w:lang w:val="en-AU"/>
              </w:rPr>
              <w:t>This</w:t>
            </w:r>
            <w:r w:rsidR="00177848" w:rsidRPr="00C6052E">
              <w:rPr>
                <w:lang w:val="en-AU"/>
              </w:rPr>
              <w:t xml:space="preserve"> </w:t>
            </w:r>
            <w:r w:rsidRPr="00C6052E">
              <w:rPr>
                <w:lang w:val="en-AU"/>
              </w:rPr>
              <w:t>sub-output</w:t>
            </w:r>
            <w:r w:rsidR="00177848" w:rsidRPr="00C6052E">
              <w:rPr>
                <w:lang w:val="en-AU"/>
              </w:rPr>
              <w:t xml:space="preserve"> </w:t>
            </w:r>
            <w:r w:rsidRPr="00C6052E">
              <w:rPr>
                <w:lang w:val="en-AU"/>
              </w:rPr>
              <w:t>supports</w:t>
            </w:r>
            <w:r w:rsidR="00177848" w:rsidRPr="00C6052E">
              <w:rPr>
                <w:lang w:val="en-AU"/>
              </w:rPr>
              <w:t xml:space="preserve"> </w:t>
            </w:r>
            <w:r w:rsidRPr="00C6052E">
              <w:rPr>
                <w:lang w:val="en-AU"/>
              </w:rPr>
              <w:t>maintaining</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position</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leader</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health</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medical</w:t>
            </w:r>
            <w:r w:rsidR="00177848" w:rsidRPr="00C6052E">
              <w:rPr>
                <w:lang w:val="en-AU"/>
              </w:rPr>
              <w:t xml:space="preserve"> </w:t>
            </w:r>
            <w:r w:rsidRPr="00C6052E">
              <w:rPr>
                <w:lang w:val="en-AU"/>
              </w:rPr>
              <w:t>research,</w:t>
            </w:r>
            <w:r w:rsidR="00177848" w:rsidRPr="00C6052E">
              <w:rPr>
                <w:lang w:val="en-AU"/>
              </w:rPr>
              <w:t xml:space="preserve"> </w:t>
            </w:r>
            <w:r w:rsidRPr="00C6052E">
              <w:rPr>
                <w:lang w:val="en-AU"/>
              </w:rPr>
              <w:t>while</w:t>
            </w:r>
            <w:r w:rsidR="00177848" w:rsidRPr="00C6052E">
              <w:rPr>
                <w:lang w:val="en-AU"/>
              </w:rPr>
              <w:t xml:space="preserve"> </w:t>
            </w:r>
            <w:r w:rsidRPr="00C6052E">
              <w:rPr>
                <w:lang w:val="en-AU"/>
              </w:rPr>
              <w:t>protecting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growing</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sector</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funding</w:t>
            </w:r>
            <w:r w:rsidR="00177848" w:rsidRPr="00C6052E">
              <w:rPr>
                <w:lang w:val="en-AU"/>
              </w:rPr>
              <w:t xml:space="preserve"> </w:t>
            </w:r>
            <w:r w:rsidRPr="00C6052E">
              <w:rPr>
                <w:lang w:val="en-AU"/>
              </w:rPr>
              <w:t>visionary</w:t>
            </w:r>
            <w:r w:rsidR="00177848" w:rsidRPr="00C6052E">
              <w:rPr>
                <w:lang w:val="en-AU"/>
              </w:rPr>
              <w:t xml:space="preserve"> </w:t>
            </w:r>
            <w:r w:rsidRPr="00C6052E">
              <w:rPr>
                <w:lang w:val="en-AU"/>
              </w:rPr>
              <w:t>research</w:t>
            </w:r>
            <w:r w:rsidR="00177848" w:rsidRPr="00C6052E">
              <w:rPr>
                <w:lang w:val="en-AU"/>
              </w:rPr>
              <w:t xml:space="preserve"> </w:t>
            </w:r>
            <w:r w:rsidRPr="00C6052E">
              <w:rPr>
                <w:lang w:val="en-AU"/>
              </w:rPr>
              <w:t>throughout</w:t>
            </w:r>
            <w:r w:rsidR="00177848" w:rsidRPr="00C6052E">
              <w:rPr>
                <w:lang w:val="en-AU"/>
              </w:rPr>
              <w:t xml:space="preserve"> </w:t>
            </w:r>
            <w:r w:rsidRPr="00C6052E">
              <w:rPr>
                <w:lang w:val="en-AU"/>
              </w:rPr>
              <w:t>providing</w:t>
            </w:r>
            <w:r w:rsidR="00177848" w:rsidRPr="00C6052E">
              <w:rPr>
                <w:lang w:val="en-AU"/>
              </w:rPr>
              <w:t xml:space="preserve"> </w:t>
            </w:r>
            <w:r w:rsidRPr="00C6052E">
              <w:rPr>
                <w:lang w:val="en-AU"/>
              </w:rPr>
              <w:t>critical</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flagship</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research</w:t>
            </w:r>
            <w:r w:rsidR="00177848" w:rsidRPr="00C6052E">
              <w:rPr>
                <w:lang w:val="en-AU"/>
              </w:rPr>
              <w:t xml:space="preserve"> </w:t>
            </w:r>
            <w:r w:rsidRPr="00C6052E">
              <w:rPr>
                <w:lang w:val="en-AU"/>
              </w:rPr>
              <w:t>institutes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strengthening</w:t>
            </w:r>
            <w:r w:rsidR="00177848" w:rsidRPr="00C6052E">
              <w:rPr>
                <w:lang w:val="en-AU"/>
              </w:rPr>
              <w:t xml:space="preserve"> </w:t>
            </w:r>
            <w:r w:rsidRPr="00C6052E">
              <w:rPr>
                <w:lang w:val="en-AU"/>
              </w:rPr>
              <w:t>commercialisation.</w:t>
            </w:r>
          </w:p>
        </w:tc>
        <w:tc>
          <w:tcPr>
            <w:tcW w:w="1020" w:type="dxa"/>
          </w:tcPr>
          <w:p w14:paraId="7AD44333" w14:textId="77777777" w:rsidR="00EE5BB8" w:rsidRPr="00C6052E" w:rsidRDefault="00EE5BB8" w:rsidP="0063097D">
            <w:pPr>
              <w:pStyle w:val="TableCopy"/>
              <w:jc w:val="right"/>
              <w:rPr>
                <w:lang w:val="en-AU"/>
              </w:rPr>
            </w:pPr>
          </w:p>
        </w:tc>
        <w:tc>
          <w:tcPr>
            <w:tcW w:w="1020" w:type="dxa"/>
            <w:noWrap/>
          </w:tcPr>
          <w:p w14:paraId="3C230565" w14:textId="77777777" w:rsidR="00EE5BB8" w:rsidRPr="00C6052E" w:rsidRDefault="00EE5BB8" w:rsidP="0063097D">
            <w:pPr>
              <w:pStyle w:val="TableCopy"/>
              <w:jc w:val="right"/>
              <w:rPr>
                <w:lang w:val="en-AU"/>
              </w:rPr>
            </w:pPr>
          </w:p>
        </w:tc>
        <w:tc>
          <w:tcPr>
            <w:tcW w:w="1020" w:type="dxa"/>
          </w:tcPr>
          <w:p w14:paraId="2692D5ED" w14:textId="77777777" w:rsidR="00EE5BB8" w:rsidRPr="00C6052E" w:rsidRDefault="00EE5BB8" w:rsidP="0063097D">
            <w:pPr>
              <w:pStyle w:val="TableCopy"/>
              <w:jc w:val="right"/>
              <w:rPr>
                <w:lang w:val="en-AU"/>
              </w:rPr>
            </w:pPr>
          </w:p>
        </w:tc>
        <w:tc>
          <w:tcPr>
            <w:tcW w:w="1361" w:type="dxa"/>
            <w:noWrap/>
          </w:tcPr>
          <w:p w14:paraId="6A259D97" w14:textId="77777777" w:rsidR="00EE5BB8" w:rsidRPr="00C6052E" w:rsidRDefault="00EE5BB8" w:rsidP="0063097D">
            <w:pPr>
              <w:pStyle w:val="TableCopy"/>
              <w:jc w:val="right"/>
              <w:rPr>
                <w:lang w:val="en-AU"/>
              </w:rPr>
            </w:pPr>
          </w:p>
        </w:tc>
        <w:tc>
          <w:tcPr>
            <w:tcW w:w="795" w:type="dxa"/>
            <w:noWrap/>
          </w:tcPr>
          <w:p w14:paraId="401BA869" w14:textId="77777777" w:rsidR="00EE5BB8" w:rsidRPr="00C6052E" w:rsidRDefault="00EE5BB8" w:rsidP="00A42238">
            <w:pPr>
              <w:pStyle w:val="TableCopy"/>
              <w:jc w:val="right"/>
              <w:rPr>
                <w:lang w:val="en-AU"/>
              </w:rPr>
            </w:pPr>
          </w:p>
        </w:tc>
      </w:tr>
      <w:tr w:rsidR="00EE5BB8" w:rsidRPr="00C6052E" w14:paraId="2581BD77" w14:textId="77777777" w:rsidTr="0063097D">
        <w:tc>
          <w:tcPr>
            <w:tcW w:w="4531" w:type="dxa"/>
          </w:tcPr>
          <w:p w14:paraId="4A3E0C0E" w14:textId="77777777" w:rsidR="00EE5BB8" w:rsidRPr="00C6052E" w:rsidRDefault="00EE5BB8" w:rsidP="0063097D">
            <w:pPr>
              <w:pStyle w:val="TableHeading"/>
              <w:rPr>
                <w:lang w:val="en-AU"/>
              </w:rPr>
            </w:pPr>
            <w:r w:rsidRPr="00C6052E">
              <w:rPr>
                <w:lang w:val="en-AU"/>
              </w:rPr>
              <w:t>Quantity</w:t>
            </w:r>
          </w:p>
        </w:tc>
        <w:tc>
          <w:tcPr>
            <w:tcW w:w="1020" w:type="dxa"/>
          </w:tcPr>
          <w:p w14:paraId="4961616F" w14:textId="77777777" w:rsidR="00EE5BB8" w:rsidRPr="00C6052E" w:rsidRDefault="00EE5BB8" w:rsidP="0063097D">
            <w:pPr>
              <w:pStyle w:val="TableHeading"/>
              <w:jc w:val="right"/>
              <w:rPr>
                <w:lang w:val="en-AU"/>
              </w:rPr>
            </w:pPr>
          </w:p>
        </w:tc>
        <w:tc>
          <w:tcPr>
            <w:tcW w:w="1020" w:type="dxa"/>
            <w:noWrap/>
          </w:tcPr>
          <w:p w14:paraId="37E3B977" w14:textId="77777777" w:rsidR="00EE5BB8" w:rsidRPr="00C6052E" w:rsidRDefault="00EE5BB8" w:rsidP="0063097D">
            <w:pPr>
              <w:pStyle w:val="TableHeading"/>
              <w:jc w:val="right"/>
              <w:rPr>
                <w:lang w:val="en-AU"/>
              </w:rPr>
            </w:pPr>
          </w:p>
        </w:tc>
        <w:tc>
          <w:tcPr>
            <w:tcW w:w="1020" w:type="dxa"/>
          </w:tcPr>
          <w:p w14:paraId="364ED16A" w14:textId="77777777" w:rsidR="00EE5BB8" w:rsidRPr="00C6052E" w:rsidRDefault="00EE5BB8" w:rsidP="0063097D">
            <w:pPr>
              <w:pStyle w:val="TableHeading"/>
              <w:jc w:val="right"/>
              <w:rPr>
                <w:lang w:val="en-AU"/>
              </w:rPr>
            </w:pPr>
          </w:p>
        </w:tc>
        <w:tc>
          <w:tcPr>
            <w:tcW w:w="1361" w:type="dxa"/>
            <w:noWrap/>
          </w:tcPr>
          <w:p w14:paraId="08C4986B" w14:textId="77777777" w:rsidR="00EE5BB8" w:rsidRPr="00C6052E" w:rsidRDefault="00EE5BB8" w:rsidP="0063097D">
            <w:pPr>
              <w:pStyle w:val="TableHeading"/>
              <w:jc w:val="right"/>
              <w:rPr>
                <w:lang w:val="en-AU"/>
              </w:rPr>
            </w:pPr>
          </w:p>
        </w:tc>
        <w:tc>
          <w:tcPr>
            <w:tcW w:w="795" w:type="dxa"/>
            <w:noWrap/>
          </w:tcPr>
          <w:p w14:paraId="7917EA3A" w14:textId="77777777" w:rsidR="00EE5BB8" w:rsidRPr="00C6052E" w:rsidRDefault="00EE5BB8" w:rsidP="00A42238">
            <w:pPr>
              <w:pStyle w:val="TableCopy"/>
              <w:jc w:val="right"/>
              <w:rPr>
                <w:lang w:val="en-AU"/>
              </w:rPr>
            </w:pPr>
          </w:p>
        </w:tc>
      </w:tr>
      <w:tr w:rsidR="00EE5BB8" w:rsidRPr="00C6052E" w14:paraId="3590C895" w14:textId="77777777" w:rsidTr="0063097D">
        <w:tc>
          <w:tcPr>
            <w:tcW w:w="4531" w:type="dxa"/>
            <w:hideMark/>
          </w:tcPr>
          <w:p w14:paraId="7D4E4496" w14:textId="7ABECC5A" w:rsidR="00EE5BB8" w:rsidRPr="00C6052E" w:rsidRDefault="00EE5BB8" w:rsidP="0063097D">
            <w:pPr>
              <w:pStyle w:val="TableCopy"/>
              <w:rPr>
                <w:lang w:val="en-AU"/>
              </w:rPr>
            </w:pPr>
            <w:r w:rsidRPr="00C6052E">
              <w:rPr>
                <w:lang w:val="en-AU"/>
              </w:rPr>
              <w:t>Operational</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supports</w:t>
            </w:r>
            <w:r w:rsidR="00177848" w:rsidRPr="00C6052E">
              <w:rPr>
                <w:lang w:val="en-AU"/>
              </w:rPr>
              <w:t xml:space="preserve"> </w:t>
            </w:r>
            <w:r w:rsidRPr="00C6052E">
              <w:rPr>
                <w:lang w:val="en-AU"/>
              </w:rPr>
              <w:t>grants</w:t>
            </w:r>
            <w:r w:rsidR="00177848" w:rsidRPr="00C6052E">
              <w:rPr>
                <w:lang w:val="en-AU"/>
              </w:rPr>
              <w:t xml:space="preserve"> </w:t>
            </w:r>
            <w:r w:rsidRPr="00C6052E">
              <w:rPr>
                <w:lang w:val="en-AU"/>
              </w:rPr>
              <w:t>under</w:t>
            </w:r>
            <w:r w:rsidR="00177848" w:rsidRPr="00C6052E">
              <w:rPr>
                <w:lang w:val="en-AU"/>
              </w:rPr>
              <w:t xml:space="preserve"> </w:t>
            </w:r>
            <w:r w:rsidRPr="00C6052E">
              <w:rPr>
                <w:lang w:val="en-AU"/>
              </w:rPr>
              <w:t>management</w:t>
            </w:r>
          </w:p>
        </w:tc>
        <w:tc>
          <w:tcPr>
            <w:tcW w:w="1020" w:type="dxa"/>
            <w:hideMark/>
          </w:tcPr>
          <w:p w14:paraId="3EAA1DD6"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1F477196" w14:textId="77777777" w:rsidR="00EE5BB8" w:rsidRPr="00C6052E" w:rsidRDefault="00EE5BB8" w:rsidP="0063097D">
            <w:pPr>
              <w:pStyle w:val="TableCopy"/>
              <w:jc w:val="right"/>
              <w:rPr>
                <w:lang w:val="en-AU"/>
              </w:rPr>
            </w:pPr>
            <w:r w:rsidRPr="00C6052E">
              <w:rPr>
                <w:lang w:val="en-AU"/>
              </w:rPr>
              <w:t>12</w:t>
            </w:r>
          </w:p>
        </w:tc>
        <w:tc>
          <w:tcPr>
            <w:tcW w:w="1020" w:type="dxa"/>
            <w:hideMark/>
          </w:tcPr>
          <w:p w14:paraId="12DD4EFA" w14:textId="77777777" w:rsidR="00EE5BB8" w:rsidRPr="00C6052E" w:rsidRDefault="00EE5BB8" w:rsidP="0063097D">
            <w:pPr>
              <w:pStyle w:val="TableCopy"/>
              <w:jc w:val="right"/>
              <w:rPr>
                <w:lang w:val="en-AU"/>
              </w:rPr>
            </w:pPr>
            <w:r w:rsidRPr="00C6052E">
              <w:rPr>
                <w:lang w:val="en-AU"/>
              </w:rPr>
              <w:t>12</w:t>
            </w:r>
          </w:p>
        </w:tc>
        <w:tc>
          <w:tcPr>
            <w:tcW w:w="1361" w:type="dxa"/>
            <w:noWrap/>
            <w:hideMark/>
          </w:tcPr>
          <w:p w14:paraId="4F2B8B3C" w14:textId="77777777" w:rsidR="00EE5BB8" w:rsidRPr="00C6052E" w:rsidRDefault="00EE5BB8" w:rsidP="0063097D">
            <w:pPr>
              <w:pStyle w:val="TableCopy"/>
              <w:jc w:val="right"/>
              <w:rPr>
                <w:lang w:val="en-AU"/>
              </w:rPr>
            </w:pPr>
            <w:r w:rsidRPr="00C6052E">
              <w:rPr>
                <w:lang w:val="en-AU"/>
              </w:rPr>
              <w:t>0.0%</w:t>
            </w:r>
          </w:p>
        </w:tc>
        <w:tc>
          <w:tcPr>
            <w:tcW w:w="795" w:type="dxa"/>
            <w:noWrap/>
            <w:hideMark/>
          </w:tcPr>
          <w:p w14:paraId="54896266" w14:textId="77777777" w:rsidR="00EE5BB8" w:rsidRPr="00C6052E" w:rsidRDefault="00EE5BB8" w:rsidP="00A42238">
            <w:pPr>
              <w:pStyle w:val="TableCopy"/>
              <w:jc w:val="right"/>
              <w:rPr>
                <w:lang w:val="en-AU"/>
              </w:rPr>
            </w:pPr>
            <w:r w:rsidRPr="00C6052E">
              <w:rPr>
                <w:lang w:val="en-AU"/>
              </w:rPr>
              <w:t>1</w:t>
            </w:r>
          </w:p>
        </w:tc>
      </w:tr>
      <w:tr w:rsidR="00EE5BB8" w:rsidRPr="00C6052E" w14:paraId="4627B732" w14:textId="77777777" w:rsidTr="0063097D">
        <w:tc>
          <w:tcPr>
            <w:tcW w:w="4531" w:type="dxa"/>
          </w:tcPr>
          <w:p w14:paraId="0E6BDAB1" w14:textId="77777777" w:rsidR="00EE5BB8" w:rsidRPr="00C6052E" w:rsidRDefault="00EE5BB8" w:rsidP="0063097D">
            <w:pPr>
              <w:pStyle w:val="TableHeading"/>
              <w:rPr>
                <w:lang w:val="en-AU"/>
              </w:rPr>
            </w:pPr>
            <w:r w:rsidRPr="00C6052E">
              <w:rPr>
                <w:lang w:val="en-AU"/>
              </w:rPr>
              <w:t>Cost</w:t>
            </w:r>
          </w:p>
        </w:tc>
        <w:tc>
          <w:tcPr>
            <w:tcW w:w="1020" w:type="dxa"/>
          </w:tcPr>
          <w:p w14:paraId="5AB1749E" w14:textId="77777777" w:rsidR="00EE5BB8" w:rsidRPr="00C6052E" w:rsidRDefault="00EE5BB8" w:rsidP="0063097D">
            <w:pPr>
              <w:pStyle w:val="TableHeading"/>
              <w:jc w:val="right"/>
              <w:rPr>
                <w:lang w:val="en-AU"/>
              </w:rPr>
            </w:pPr>
          </w:p>
        </w:tc>
        <w:tc>
          <w:tcPr>
            <w:tcW w:w="1020" w:type="dxa"/>
            <w:noWrap/>
          </w:tcPr>
          <w:p w14:paraId="64D3B3B4" w14:textId="77777777" w:rsidR="00EE5BB8" w:rsidRPr="00C6052E" w:rsidRDefault="00EE5BB8" w:rsidP="0063097D">
            <w:pPr>
              <w:pStyle w:val="TableHeading"/>
              <w:jc w:val="right"/>
              <w:rPr>
                <w:lang w:val="en-AU"/>
              </w:rPr>
            </w:pPr>
          </w:p>
        </w:tc>
        <w:tc>
          <w:tcPr>
            <w:tcW w:w="1020" w:type="dxa"/>
            <w:noWrap/>
          </w:tcPr>
          <w:p w14:paraId="28A1E638" w14:textId="77777777" w:rsidR="00EE5BB8" w:rsidRPr="00C6052E" w:rsidRDefault="00EE5BB8" w:rsidP="0063097D">
            <w:pPr>
              <w:pStyle w:val="TableHeading"/>
              <w:jc w:val="right"/>
              <w:rPr>
                <w:lang w:val="en-AU"/>
              </w:rPr>
            </w:pPr>
          </w:p>
        </w:tc>
        <w:tc>
          <w:tcPr>
            <w:tcW w:w="1361" w:type="dxa"/>
            <w:noWrap/>
          </w:tcPr>
          <w:p w14:paraId="6609C669" w14:textId="77777777" w:rsidR="00EE5BB8" w:rsidRPr="00C6052E" w:rsidRDefault="00EE5BB8" w:rsidP="0063097D">
            <w:pPr>
              <w:pStyle w:val="TableHeading"/>
              <w:jc w:val="right"/>
              <w:rPr>
                <w:lang w:val="en-AU"/>
              </w:rPr>
            </w:pPr>
          </w:p>
        </w:tc>
        <w:tc>
          <w:tcPr>
            <w:tcW w:w="795" w:type="dxa"/>
            <w:noWrap/>
          </w:tcPr>
          <w:p w14:paraId="200DA2B5" w14:textId="77777777" w:rsidR="00EE5BB8" w:rsidRPr="00C6052E" w:rsidRDefault="00EE5BB8" w:rsidP="00A42238">
            <w:pPr>
              <w:pStyle w:val="TableCopy"/>
              <w:jc w:val="right"/>
              <w:rPr>
                <w:lang w:val="en-AU"/>
              </w:rPr>
            </w:pPr>
          </w:p>
        </w:tc>
      </w:tr>
      <w:tr w:rsidR="00EE5BB8" w:rsidRPr="00C6052E" w14:paraId="5319F189" w14:textId="77777777" w:rsidTr="0063097D">
        <w:tc>
          <w:tcPr>
            <w:tcW w:w="4531" w:type="dxa"/>
            <w:hideMark/>
          </w:tcPr>
          <w:p w14:paraId="622C3A9A" w14:textId="77777777" w:rsidR="00EE5BB8"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p w14:paraId="7CABD0E7" w14:textId="4D9E6BC1" w:rsidR="00D807D2" w:rsidRPr="00C6052E" w:rsidRDefault="00D807D2" w:rsidP="00D807D2">
            <w:pPr>
              <w:pStyle w:val="Tablenotes-indented"/>
              <w:ind w:left="227" w:firstLine="0"/>
              <w:rPr>
                <w:lang w:val="en-AU"/>
              </w:rPr>
            </w:pPr>
            <w:r w:rsidRPr="00C6052E">
              <w:rPr>
                <w:lang w:val="en-AU"/>
              </w:rPr>
              <w:t>The 2024–25 result is higher than the 2024–25 budget mainly due to approved funding being released from contingency for the Australian Institute for Infectious Disease.</w:t>
            </w:r>
          </w:p>
        </w:tc>
        <w:tc>
          <w:tcPr>
            <w:tcW w:w="1020" w:type="dxa"/>
            <w:hideMark/>
          </w:tcPr>
          <w:p w14:paraId="667A22A7" w14:textId="000FC1E4" w:rsidR="00EE5BB8" w:rsidRPr="00C6052E" w:rsidRDefault="00EE5BB8" w:rsidP="00B53837">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769060DE" w14:textId="77777777" w:rsidR="00EE5BB8" w:rsidRPr="00C6052E" w:rsidRDefault="00EE5BB8" w:rsidP="00B53837">
            <w:pPr>
              <w:pStyle w:val="Tabletotal"/>
              <w:jc w:val="right"/>
              <w:rPr>
                <w:lang w:val="en-AU"/>
              </w:rPr>
            </w:pPr>
            <w:r w:rsidRPr="00C6052E">
              <w:rPr>
                <w:lang w:val="en-AU"/>
              </w:rPr>
              <w:t>80.9</w:t>
            </w:r>
          </w:p>
        </w:tc>
        <w:tc>
          <w:tcPr>
            <w:tcW w:w="1020" w:type="dxa"/>
            <w:noWrap/>
            <w:hideMark/>
          </w:tcPr>
          <w:p w14:paraId="1BE11CB0" w14:textId="77777777" w:rsidR="00EE5BB8" w:rsidRPr="00C6052E" w:rsidRDefault="00EE5BB8" w:rsidP="00B53837">
            <w:pPr>
              <w:pStyle w:val="Tabletotal"/>
              <w:jc w:val="right"/>
              <w:rPr>
                <w:lang w:val="en-AU"/>
              </w:rPr>
            </w:pPr>
            <w:r w:rsidRPr="00C6052E">
              <w:rPr>
                <w:lang w:val="en-AU"/>
              </w:rPr>
              <w:t>57.3</w:t>
            </w:r>
          </w:p>
        </w:tc>
        <w:tc>
          <w:tcPr>
            <w:tcW w:w="1361" w:type="dxa"/>
            <w:noWrap/>
            <w:hideMark/>
          </w:tcPr>
          <w:p w14:paraId="26163F1E" w14:textId="77777777" w:rsidR="00EE5BB8" w:rsidRPr="00C6052E" w:rsidRDefault="00EE5BB8" w:rsidP="00B53837">
            <w:pPr>
              <w:pStyle w:val="Tabletotal"/>
              <w:jc w:val="right"/>
              <w:rPr>
                <w:lang w:val="en-AU"/>
              </w:rPr>
            </w:pPr>
            <w:r w:rsidRPr="00C6052E">
              <w:rPr>
                <w:lang w:val="en-AU"/>
              </w:rPr>
              <w:t>41.3%</w:t>
            </w:r>
          </w:p>
        </w:tc>
        <w:tc>
          <w:tcPr>
            <w:tcW w:w="795" w:type="dxa"/>
            <w:noWrap/>
            <w:hideMark/>
          </w:tcPr>
          <w:p w14:paraId="3E8017B3" w14:textId="77777777" w:rsidR="00EE5BB8" w:rsidRPr="00C6052E" w:rsidRDefault="00EE5BB8" w:rsidP="00B53837">
            <w:pPr>
              <w:pStyle w:val="Tabletotal"/>
              <w:jc w:val="right"/>
              <w:rPr>
                <w:lang w:val="en-AU"/>
              </w:rPr>
            </w:pPr>
            <w:r w:rsidRPr="00C6052E">
              <w:rPr>
                <w:lang w:val="en-AU"/>
              </w:rPr>
              <w:t>3</w:t>
            </w:r>
          </w:p>
        </w:tc>
      </w:tr>
    </w:tbl>
    <w:p w14:paraId="6A178749" w14:textId="770D6584" w:rsidR="00EE5BB8" w:rsidRPr="00C6052E" w:rsidRDefault="00EE5BB8" w:rsidP="00EE5BB8">
      <w:pPr>
        <w:pStyle w:val="Tablenotes"/>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23ADF667" w14:textId="242FD4D6" w:rsidR="00EE5BB8" w:rsidRPr="00C6052E" w:rsidRDefault="00EE5BB8" w:rsidP="00EE5BB8">
      <w:pPr>
        <w:pStyle w:val="Heading3"/>
      </w:pPr>
      <w:r w:rsidRPr="00C6052E">
        <w:lastRenderedPageBreak/>
        <w:t>Objective</w:t>
      </w:r>
      <w:r w:rsidR="00177848" w:rsidRPr="00C6052E">
        <w:t xml:space="preserve"> </w:t>
      </w:r>
      <w:r w:rsidRPr="00C6052E">
        <w:t>3:</w:t>
      </w:r>
      <w:r w:rsidR="00177848" w:rsidRPr="00C6052E">
        <w:t xml:space="preserve"> </w:t>
      </w:r>
      <w:r w:rsidRPr="00C6052E">
        <w:t>Economic</w:t>
      </w:r>
      <w:r w:rsidR="00177848" w:rsidRPr="00C6052E">
        <w:t xml:space="preserve"> </w:t>
      </w:r>
      <w:r w:rsidRPr="00C6052E">
        <w:t>growth</w:t>
      </w:r>
      <w:r w:rsidR="00177848" w:rsidRPr="00C6052E">
        <w:t xml:space="preserve"> </w:t>
      </w:r>
      <w:r w:rsidRPr="00C6052E">
        <w:t>through</w:t>
      </w:r>
      <w:r w:rsidR="00177848" w:rsidRPr="00C6052E">
        <w:t xml:space="preserve"> </w:t>
      </w:r>
      <w:r w:rsidRPr="00C6052E">
        <w:t>trade</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attraction</w:t>
      </w:r>
    </w:p>
    <w:p w14:paraId="63D2A30F" w14:textId="5DF041B9" w:rsidR="00EE5BB8" w:rsidRPr="00C6052E" w:rsidRDefault="00EE5BB8" w:rsidP="00EE5BB8">
      <w:pPr>
        <w:keepNext/>
        <w:keepLines/>
      </w:pPr>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strengthen</w:t>
      </w:r>
      <w:r w:rsidR="00177848" w:rsidRPr="00C6052E">
        <w:t xml:space="preserve"> </w:t>
      </w:r>
      <w:r w:rsidRPr="00C6052E">
        <w:t>Victoria’s</w:t>
      </w:r>
      <w:r w:rsidR="00177848" w:rsidRPr="00C6052E">
        <w:t xml:space="preserve"> </w:t>
      </w:r>
      <w:r w:rsidRPr="00C6052E">
        <w:t>economic</w:t>
      </w:r>
      <w:r w:rsidR="00177848" w:rsidRPr="00C6052E">
        <w:t xml:space="preserve"> </w:t>
      </w:r>
      <w:r w:rsidRPr="00C6052E">
        <w:t>performance</w:t>
      </w:r>
      <w:r w:rsidR="00177848" w:rsidRPr="00C6052E">
        <w:t xml:space="preserve"> </w:t>
      </w:r>
      <w:r w:rsidRPr="00C6052E">
        <w:t>through</w:t>
      </w:r>
      <w:r w:rsidR="00177848" w:rsidRPr="00C6052E">
        <w:t xml:space="preserve"> </w:t>
      </w:r>
      <w:r w:rsidRPr="00C6052E">
        <w:t>facilitating</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and</w:t>
      </w:r>
      <w:r w:rsidR="00177848" w:rsidRPr="00C6052E">
        <w:t xml:space="preserve"> </w:t>
      </w:r>
      <w:r w:rsidRPr="00C6052E">
        <w:t>business</w:t>
      </w:r>
      <w:r w:rsidR="00177848" w:rsidRPr="00C6052E">
        <w:t xml:space="preserve"> </w:t>
      </w:r>
      <w:r w:rsidRPr="00C6052E">
        <w:t>creation</w:t>
      </w:r>
      <w:r w:rsidR="00177848" w:rsidRPr="00C6052E">
        <w:t xml:space="preserve"> </w:t>
      </w:r>
      <w:r w:rsidRPr="00C6052E">
        <w:t>in</w:t>
      </w:r>
      <w:r w:rsidR="00177848" w:rsidRPr="00C6052E">
        <w:t xml:space="preserve"> </w:t>
      </w:r>
      <w:r w:rsidRPr="00C6052E">
        <w:t>Victoria,</w:t>
      </w:r>
      <w:r w:rsidR="00177848" w:rsidRPr="00C6052E">
        <w:t xml:space="preserve"> </w:t>
      </w:r>
      <w:r w:rsidRPr="00C6052E">
        <w:t>helping</w:t>
      </w:r>
      <w:r w:rsidR="00177848" w:rsidRPr="00C6052E">
        <w:t xml:space="preserve"> </w:t>
      </w:r>
      <w:r w:rsidRPr="00C6052E">
        <w:t>businesses</w:t>
      </w:r>
      <w:r w:rsidR="00177848" w:rsidRPr="00C6052E">
        <w:t xml:space="preserve"> </w:t>
      </w:r>
      <w:r w:rsidRPr="00C6052E">
        <w:t>successfully</w:t>
      </w:r>
      <w:r w:rsidR="00177848" w:rsidRPr="00C6052E">
        <w:t xml:space="preserve"> </w:t>
      </w:r>
      <w:r w:rsidRPr="00C6052E">
        <w:t>trade</w:t>
      </w:r>
      <w:r w:rsidR="00177848" w:rsidRPr="00C6052E">
        <w:t xml:space="preserve"> </w:t>
      </w:r>
      <w:r w:rsidRPr="00C6052E">
        <w:t>into</w:t>
      </w:r>
      <w:r w:rsidR="00177848" w:rsidRPr="00C6052E">
        <w:t xml:space="preserve"> </w:t>
      </w:r>
      <w:r w:rsidRPr="00C6052E">
        <w:t>global</w:t>
      </w:r>
      <w:r w:rsidR="00177848" w:rsidRPr="00C6052E">
        <w:t xml:space="preserve"> </w:t>
      </w:r>
      <w:r w:rsidRPr="00C6052E">
        <w:t>markets,</w:t>
      </w:r>
      <w:r w:rsidR="00177848" w:rsidRPr="00C6052E">
        <w:t xml:space="preserve"> </w:t>
      </w:r>
      <w:r w:rsidRPr="00C6052E">
        <w:t>and</w:t>
      </w:r>
      <w:r w:rsidR="00177848" w:rsidRPr="00C6052E">
        <w:t xml:space="preserve"> </w:t>
      </w:r>
      <w:r w:rsidRPr="00C6052E">
        <w:t>growing</w:t>
      </w:r>
      <w:r w:rsidR="00177848" w:rsidRPr="00C6052E">
        <w:t xml:space="preserve"> </w:t>
      </w:r>
      <w:r w:rsidRPr="00C6052E">
        <w:t>Victoria’s</w:t>
      </w:r>
      <w:r w:rsidR="00177848" w:rsidRPr="00C6052E">
        <w:t xml:space="preserve"> </w:t>
      </w:r>
      <w:r w:rsidRPr="00C6052E">
        <w:t>market</w:t>
      </w:r>
      <w:r w:rsidR="00177848" w:rsidRPr="00C6052E">
        <w:t xml:space="preserve"> </w:t>
      </w:r>
      <w:r w:rsidRPr="00C6052E">
        <w:t>share</w:t>
      </w:r>
      <w:r w:rsidR="00177848" w:rsidRPr="00C6052E">
        <w:t xml:space="preserve"> </w:t>
      </w:r>
      <w:r w:rsidRPr="00C6052E">
        <w:t>of</w:t>
      </w:r>
      <w:r w:rsidR="00177848" w:rsidRPr="00C6052E">
        <w:t xml:space="preserve"> </w:t>
      </w:r>
      <w:r w:rsidRPr="00C6052E">
        <w:t>international</w:t>
      </w:r>
      <w:r w:rsidR="00177848" w:rsidRPr="00C6052E">
        <w:t xml:space="preserve"> </w:t>
      </w:r>
      <w:r w:rsidRPr="00C6052E">
        <w:t>student</w:t>
      </w:r>
      <w:r w:rsidR="00177848" w:rsidRPr="00C6052E">
        <w:t xml:space="preserve"> </w:t>
      </w:r>
      <w:r w:rsidRPr="00C6052E">
        <w:t>enrolments</w:t>
      </w:r>
      <w:r w:rsidR="00177848" w:rsidRPr="00C6052E">
        <w:t xml:space="preserve"> </w:t>
      </w:r>
      <w:r w:rsidRPr="00C6052E">
        <w:t>in</w:t>
      </w:r>
      <w:r w:rsidR="00177848" w:rsidRPr="00C6052E">
        <w:t xml:space="preserve"> </w:t>
      </w:r>
      <w:r w:rsidRPr="00C6052E">
        <w:t>Australia.</w:t>
      </w:r>
    </w:p>
    <w:p w14:paraId="22C667E5" w14:textId="350E3B16" w:rsidR="00EE5BB8" w:rsidRPr="00C6052E" w:rsidRDefault="00EE5BB8" w:rsidP="00EE5BB8">
      <w:pPr>
        <w:pStyle w:val="Heading4"/>
      </w:pPr>
      <w:r w:rsidRPr="00C6052E">
        <w:t>Progress</w:t>
      </w:r>
      <w:r w:rsidR="00177848" w:rsidRPr="00C6052E">
        <w:t xml:space="preserve"> </w:t>
      </w:r>
      <w:r w:rsidRPr="00C6052E">
        <w:t>towards</w:t>
      </w:r>
      <w:r w:rsidR="00177848" w:rsidRPr="00C6052E">
        <w:t xml:space="preserve"> </w:t>
      </w:r>
      <w:r w:rsidRPr="00C6052E">
        <w:t>achieving</w:t>
      </w:r>
      <w:r w:rsidR="00177848" w:rsidRPr="00C6052E">
        <w:t xml:space="preserve"> </w:t>
      </w:r>
      <w:r w:rsidRPr="00C6052E">
        <w:t>this</w:t>
      </w:r>
      <w:r w:rsidR="00177848" w:rsidRPr="00C6052E">
        <w:t xml:space="preserve"> </w:t>
      </w:r>
      <w:r w:rsidRPr="00C6052E">
        <w:t>objective</w:t>
      </w:r>
    </w:p>
    <w:p w14:paraId="308C6FD1" w14:textId="32B44086" w:rsidR="00EE5BB8" w:rsidRPr="00C6052E" w:rsidRDefault="00EE5BB8" w:rsidP="00EE5BB8">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reported</w:t>
      </w:r>
      <w:r w:rsidR="00177848" w:rsidRPr="00C6052E">
        <w:t xml:space="preserve"> </w:t>
      </w:r>
      <w:r w:rsidRPr="00C6052E">
        <w:t>progress</w:t>
      </w:r>
      <w:r w:rsidR="00177848" w:rsidRPr="00C6052E">
        <w:t xml:space="preserve"> </w:t>
      </w:r>
      <w:r w:rsidRPr="00C6052E">
        <w:t>against</w:t>
      </w:r>
      <w:r w:rsidR="00177848" w:rsidRPr="00C6052E">
        <w:t xml:space="preserve"> </w:t>
      </w:r>
      <w:r w:rsidRPr="00C6052E">
        <w:t>this</w:t>
      </w:r>
      <w:r w:rsidR="00177848" w:rsidRPr="00C6052E">
        <w:t xml:space="preserve"> </w:t>
      </w:r>
      <w:r w:rsidRPr="00C6052E">
        <w:t>objective</w:t>
      </w:r>
      <w:r w:rsidR="00177848" w:rsidRPr="00C6052E">
        <w:t xml:space="preserve"> </w:t>
      </w:r>
      <w:r w:rsidRPr="00C6052E">
        <w:t>using</w:t>
      </w:r>
      <w:r w:rsidR="00177848" w:rsidRPr="00C6052E">
        <w:t xml:space="preserve"> </w:t>
      </w:r>
      <w:r w:rsidRPr="00C6052E">
        <w:t>the</w:t>
      </w:r>
      <w:r w:rsidR="00177848" w:rsidRPr="00C6052E">
        <w:t xml:space="preserve"> </w:t>
      </w:r>
      <w:r w:rsidRPr="00C6052E">
        <w:t>following</w:t>
      </w:r>
      <w:r w:rsidR="00177848" w:rsidRPr="00C6052E">
        <w:t xml:space="preserve"> </w:t>
      </w:r>
      <w:r w:rsidRPr="00C6052E">
        <w:t>objective</w:t>
      </w:r>
      <w:r w:rsidR="00177848" w:rsidRPr="00C6052E">
        <w:t xml:space="preserve"> </w:t>
      </w:r>
      <w:r w:rsidRPr="00C6052E">
        <w:t>indicators</w:t>
      </w:r>
      <w:r w:rsidR="00177848" w:rsidRPr="00C6052E">
        <w:t xml:space="preserve"> </w:t>
      </w:r>
      <w:r w:rsidRPr="00C6052E">
        <w:t>and</w:t>
      </w:r>
      <w:r w:rsidR="00177848" w:rsidRPr="00C6052E">
        <w:t xml:space="preserve"> </w:t>
      </w:r>
      <w:r w:rsidRPr="00C6052E">
        <w:t>outputs:</w:t>
      </w:r>
    </w:p>
    <w:p w14:paraId="16AA848A" w14:textId="7D3CC9F5" w:rsidR="00EE5BB8" w:rsidRPr="00C6052E" w:rsidRDefault="00EE5BB8" w:rsidP="00EE5BB8">
      <w:pPr>
        <w:pStyle w:val="Heading5"/>
        <w:numPr>
          <w:ilvl w:val="0"/>
          <w:numId w:val="0"/>
        </w:numPr>
      </w:pPr>
      <w:r w:rsidRPr="00C6052E">
        <w:t>Objective</w:t>
      </w:r>
      <w:r w:rsidR="00177848" w:rsidRPr="00C6052E">
        <w:t xml:space="preserve"> </w:t>
      </w:r>
      <w:r w:rsidRPr="00C6052E">
        <w:t>Indicators</w:t>
      </w:r>
    </w:p>
    <w:p w14:paraId="26AB4CEB" w14:textId="6BDFFAF2" w:rsidR="00EE5BB8" w:rsidRPr="00C6052E" w:rsidRDefault="00EE5BB8" w:rsidP="00EE5BB8">
      <w:pPr>
        <w:pStyle w:val="Bullet1"/>
        <w:numPr>
          <w:ilvl w:val="0"/>
          <w:numId w:val="1"/>
        </w:numPr>
        <w:spacing w:line="278" w:lineRule="auto"/>
        <w:ind w:left="284" w:hanging="284"/>
        <w:rPr>
          <w:lang w:val="en-AU"/>
        </w:rPr>
      </w:pPr>
      <w:r w:rsidRPr="00C6052E">
        <w:rPr>
          <w:lang w:val="en-AU"/>
        </w:rPr>
        <w:t>Export</w:t>
      </w:r>
      <w:r w:rsidR="00177848" w:rsidRPr="00C6052E">
        <w:rPr>
          <w:lang w:val="en-AU"/>
        </w:rPr>
        <w:t xml:space="preserve"> </w:t>
      </w:r>
      <w:r w:rsidRPr="00C6052E">
        <w:rPr>
          <w:lang w:val="en-AU"/>
        </w:rPr>
        <w:t>sales</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programs</w:t>
      </w:r>
    </w:p>
    <w:p w14:paraId="14B2A259" w14:textId="198A9BE7" w:rsidR="00EE5BB8" w:rsidRPr="00C6052E" w:rsidRDefault="00EE5BB8" w:rsidP="00EE5BB8">
      <w:pPr>
        <w:pStyle w:val="Bullet1"/>
        <w:numPr>
          <w:ilvl w:val="0"/>
          <w:numId w:val="1"/>
        </w:numPr>
        <w:spacing w:line="278" w:lineRule="auto"/>
        <w:ind w:left="284" w:hanging="284"/>
        <w:rPr>
          <w:lang w:val="en-AU"/>
        </w:rPr>
      </w:pPr>
      <w:r w:rsidRPr="00C6052E">
        <w:rPr>
          <w:lang w:val="en-AU"/>
        </w:rPr>
        <w:t>Victoria’s</w:t>
      </w:r>
      <w:r w:rsidR="00177848" w:rsidRPr="00C6052E">
        <w:rPr>
          <w:lang w:val="en-AU"/>
        </w:rPr>
        <w:t xml:space="preserve"> </w:t>
      </w:r>
      <w:r w:rsidRPr="00C6052E">
        <w:rPr>
          <w:lang w:val="en-AU"/>
        </w:rPr>
        <w:t>share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student</w:t>
      </w:r>
      <w:r w:rsidR="00177848" w:rsidRPr="00C6052E">
        <w:rPr>
          <w:lang w:val="en-AU"/>
        </w:rPr>
        <w:t xml:space="preserve"> </w:t>
      </w:r>
      <w:r w:rsidRPr="00C6052E">
        <w:rPr>
          <w:lang w:val="en-AU"/>
        </w:rPr>
        <w:t>enrolments</w:t>
      </w:r>
    </w:p>
    <w:p w14:paraId="240AF50B" w14:textId="0A7FE0ED" w:rsidR="00EE5BB8" w:rsidRPr="00C6052E" w:rsidRDefault="00EE5BB8" w:rsidP="00EE5BB8">
      <w:pPr>
        <w:pStyle w:val="Bullet1last"/>
        <w:numPr>
          <w:ilvl w:val="0"/>
          <w:numId w:val="1"/>
        </w:numPr>
        <w:spacing w:line="278" w:lineRule="auto"/>
        <w:ind w:left="284" w:hanging="284"/>
        <w:rPr>
          <w:lang w:val="en-AU"/>
        </w:rPr>
      </w:pPr>
      <w:r w:rsidRPr="00C6052E">
        <w:rPr>
          <w:lang w:val="en-AU"/>
        </w:rPr>
        <w:t>Jobs,</w:t>
      </w:r>
      <w:r w:rsidR="00177848" w:rsidRPr="00C6052E">
        <w:rPr>
          <w:lang w:val="en-AU"/>
        </w:rPr>
        <w:t xml:space="preserve"> </w:t>
      </w:r>
      <w:r w:rsidRPr="00C6052E">
        <w:rPr>
          <w:lang w:val="en-AU"/>
        </w:rPr>
        <w:t>wages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research</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spending</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p>
    <w:p w14:paraId="53677020" w14:textId="77777777" w:rsidR="00EE5BB8" w:rsidRPr="00C6052E" w:rsidRDefault="00EE5BB8" w:rsidP="00EE5BB8">
      <w:pPr>
        <w:pStyle w:val="Heading5"/>
        <w:numPr>
          <w:ilvl w:val="0"/>
          <w:numId w:val="0"/>
        </w:numPr>
      </w:pPr>
      <w:r w:rsidRPr="00C6052E">
        <w:t>Outputs</w:t>
      </w:r>
    </w:p>
    <w:p w14:paraId="42456041" w14:textId="1D1BCFE8" w:rsidR="00EE5BB8" w:rsidRPr="00C6052E" w:rsidRDefault="00EE5BB8" w:rsidP="00EE5BB8">
      <w:pPr>
        <w:pStyle w:val="Bullet1last"/>
        <w:numPr>
          <w:ilvl w:val="0"/>
          <w:numId w:val="1"/>
        </w:numPr>
        <w:spacing w:line="278" w:lineRule="auto"/>
        <w:ind w:left="284" w:hanging="284"/>
        <w:rPr>
          <w:lang w:val="en-AU"/>
        </w:rPr>
      </w:pPr>
      <w:r w:rsidRPr="00C6052E">
        <w:rPr>
          <w:lang w:val="en-AU"/>
        </w:rPr>
        <w:t>Trade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Investment</w:t>
      </w:r>
    </w:p>
    <w:p w14:paraId="7A8A7547" w14:textId="41766E87" w:rsidR="00EE5BB8" w:rsidRPr="00C6052E" w:rsidRDefault="00EE5BB8" w:rsidP="00EE5BB8">
      <w:pPr>
        <w:pStyle w:val="Heading3"/>
      </w:pPr>
      <w:r w:rsidRPr="00C6052E">
        <w:t>Indicator:</w:t>
      </w:r>
      <w:r w:rsidR="00177848" w:rsidRPr="00C6052E">
        <w:t xml:space="preserve"> </w:t>
      </w:r>
      <w:r w:rsidRPr="00C6052E">
        <w:t>Export</w:t>
      </w:r>
      <w:r w:rsidR="00177848" w:rsidRPr="00C6052E">
        <w:t xml:space="preserve"> </w:t>
      </w:r>
      <w:r w:rsidRPr="00C6052E">
        <w:t>sales</w:t>
      </w:r>
      <w:r w:rsidR="00177848" w:rsidRPr="00C6052E">
        <w:t xml:space="preserve"> </w:t>
      </w:r>
      <w:r w:rsidRPr="00C6052E">
        <w:t>generated</w:t>
      </w:r>
      <w:r w:rsidR="00177848" w:rsidRPr="00C6052E">
        <w:t xml:space="preserve"> </w:t>
      </w:r>
      <w:r w:rsidRPr="00C6052E">
        <w:t>from</w:t>
      </w:r>
      <w:r w:rsidR="00177848" w:rsidRPr="00C6052E">
        <w:t xml:space="preserve"> </w:t>
      </w:r>
      <w:r w:rsidRPr="00C6052E">
        <w:t>government</w:t>
      </w:r>
      <w:r w:rsidR="00177848" w:rsidRPr="00C6052E">
        <w:t xml:space="preserve"> </w:t>
      </w:r>
      <w:r w:rsidRPr="00C6052E">
        <w:t>programs</w:t>
      </w:r>
    </w:p>
    <w:p w14:paraId="2CC21290" w14:textId="1CB93018" w:rsidR="00EE5BB8" w:rsidRPr="00C6052E" w:rsidRDefault="00EE5BB8" w:rsidP="00EE5BB8">
      <w:pPr>
        <w:pStyle w:val="TableHeading"/>
      </w:pPr>
      <w:r w:rsidRPr="00C6052E">
        <w:t>Table</w:t>
      </w:r>
      <w:r w:rsidR="00177848" w:rsidRPr="00C6052E">
        <w:t xml:space="preserve"> </w:t>
      </w:r>
      <w:r w:rsidRPr="00C6052E">
        <w:t>6:</w:t>
      </w:r>
      <w:r w:rsidR="00177848" w:rsidRPr="00C6052E">
        <w:t xml:space="preserve"> </w:t>
      </w:r>
      <w:r w:rsidRPr="00C6052E">
        <w:t>Export</w:t>
      </w:r>
      <w:r w:rsidR="00177848" w:rsidRPr="00C6052E">
        <w:t xml:space="preserve"> </w:t>
      </w:r>
      <w:r w:rsidRPr="00C6052E">
        <w:t>sales</w:t>
      </w:r>
      <w:r w:rsidR="00177848" w:rsidRPr="00C6052E">
        <w:t xml:space="preserve"> </w:t>
      </w:r>
      <w:r w:rsidRPr="00C6052E">
        <w:t>generated</w:t>
      </w:r>
      <w:r w:rsidR="00177848" w:rsidRPr="00C6052E">
        <w:t xml:space="preserve"> </w:t>
      </w:r>
      <w:r w:rsidRPr="00C6052E">
        <w:t>from</w:t>
      </w:r>
      <w:r w:rsidR="00177848" w:rsidRPr="00C6052E">
        <w:t xml:space="preserve"> </w:t>
      </w:r>
      <w:r w:rsidRPr="00C6052E">
        <w:t>government</w:t>
      </w:r>
      <w:r w:rsidR="00177848" w:rsidRPr="00C6052E">
        <w:t xml:space="preserve"> </w:t>
      </w:r>
      <w:r w:rsidRPr="00C6052E">
        <w:t>programs</w:t>
      </w:r>
    </w:p>
    <w:tbl>
      <w:tblPr>
        <w:tblStyle w:val="TableGrid"/>
        <w:tblW w:w="9634" w:type="dxa"/>
        <w:tblLayout w:type="fixed"/>
        <w:tblLook w:val="0060" w:firstRow="1" w:lastRow="1" w:firstColumn="0" w:lastColumn="0" w:noHBand="0" w:noVBand="0"/>
      </w:tblPr>
      <w:tblGrid>
        <w:gridCol w:w="4673"/>
        <w:gridCol w:w="1240"/>
        <w:gridCol w:w="1240"/>
        <w:gridCol w:w="1240"/>
        <w:gridCol w:w="1241"/>
      </w:tblGrid>
      <w:tr w:rsidR="00EE5BB8" w:rsidRPr="00C6052E" w14:paraId="260EDC1A" w14:textId="77777777" w:rsidTr="0063097D">
        <w:tc>
          <w:tcPr>
            <w:tcW w:w="4673" w:type="dxa"/>
          </w:tcPr>
          <w:p w14:paraId="2C4EFC33" w14:textId="65A35E66" w:rsidR="00EE5BB8" w:rsidRPr="00C6052E" w:rsidRDefault="00EE5BB8" w:rsidP="0063097D">
            <w:pPr>
              <w:pStyle w:val="TableColumnHeading"/>
              <w:rPr>
                <w:lang w:val="en-AU"/>
              </w:rPr>
            </w:pPr>
            <w:bookmarkStart w:id="17" w:name="TableColumnHeadings_13"/>
            <w:bookmarkEnd w:id="17"/>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40" w:type="dxa"/>
          </w:tcPr>
          <w:p w14:paraId="6D2DFADB" w14:textId="77777777" w:rsidR="00EE5BB8" w:rsidRPr="00C6052E" w:rsidRDefault="00EE5BB8" w:rsidP="0063097D">
            <w:pPr>
              <w:pStyle w:val="TableColumnHeading"/>
              <w:jc w:val="right"/>
              <w:rPr>
                <w:lang w:val="en-AU"/>
              </w:rPr>
            </w:pPr>
            <w:r w:rsidRPr="00C6052E">
              <w:rPr>
                <w:lang w:val="en-AU"/>
              </w:rPr>
              <w:t>2021–22</w:t>
            </w:r>
          </w:p>
        </w:tc>
        <w:tc>
          <w:tcPr>
            <w:tcW w:w="1240" w:type="dxa"/>
          </w:tcPr>
          <w:p w14:paraId="17FD8498" w14:textId="77777777" w:rsidR="00EE5BB8" w:rsidRPr="00C6052E" w:rsidRDefault="00EE5BB8" w:rsidP="0063097D">
            <w:pPr>
              <w:pStyle w:val="TableColumnHeading"/>
              <w:jc w:val="right"/>
              <w:rPr>
                <w:lang w:val="en-AU"/>
              </w:rPr>
            </w:pPr>
            <w:r w:rsidRPr="00C6052E">
              <w:rPr>
                <w:lang w:val="en-AU"/>
              </w:rPr>
              <w:t>2022–23</w:t>
            </w:r>
          </w:p>
        </w:tc>
        <w:tc>
          <w:tcPr>
            <w:tcW w:w="1240" w:type="dxa"/>
          </w:tcPr>
          <w:p w14:paraId="73D47762" w14:textId="77777777" w:rsidR="00EE5BB8" w:rsidRPr="00C6052E" w:rsidRDefault="00EE5BB8" w:rsidP="0063097D">
            <w:pPr>
              <w:pStyle w:val="TableColumnHeading"/>
              <w:jc w:val="right"/>
              <w:rPr>
                <w:lang w:val="en-AU"/>
              </w:rPr>
            </w:pPr>
            <w:r w:rsidRPr="00C6052E">
              <w:rPr>
                <w:lang w:val="en-AU"/>
              </w:rPr>
              <w:t>2023–24</w:t>
            </w:r>
          </w:p>
        </w:tc>
        <w:tc>
          <w:tcPr>
            <w:tcW w:w="1241" w:type="dxa"/>
          </w:tcPr>
          <w:p w14:paraId="38F4E556"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0E2E333B" w14:textId="77777777" w:rsidTr="0063097D">
        <w:tc>
          <w:tcPr>
            <w:tcW w:w="4673" w:type="dxa"/>
          </w:tcPr>
          <w:p w14:paraId="231E8C57" w14:textId="113AEE6D" w:rsidR="00EE5BB8" w:rsidRPr="00C6052E" w:rsidRDefault="00EE5BB8" w:rsidP="0063097D">
            <w:pPr>
              <w:pStyle w:val="TableCopy"/>
              <w:rPr>
                <w:lang w:val="en-AU"/>
              </w:rPr>
            </w:pPr>
            <w:r w:rsidRPr="00C6052E">
              <w:rPr>
                <w:lang w:val="en-AU"/>
              </w:rPr>
              <w:t>Actual</w:t>
            </w:r>
            <w:r w:rsidR="00177848" w:rsidRPr="00C6052E">
              <w:rPr>
                <w:lang w:val="en-AU"/>
              </w:rPr>
              <w:t xml:space="preserve"> </w:t>
            </w:r>
            <w:r w:rsidRPr="00C6052E">
              <w:rPr>
                <w:lang w:val="en-AU"/>
              </w:rPr>
              <w:t>export</w:t>
            </w:r>
            <w:r w:rsidR="00177848" w:rsidRPr="00C6052E">
              <w:rPr>
                <w:lang w:val="en-AU"/>
              </w:rPr>
              <w:t xml:space="preserve"> </w:t>
            </w:r>
            <w:r w:rsidRPr="00C6052E">
              <w:rPr>
                <w:lang w:val="en-AU"/>
              </w:rPr>
              <w:t>sales</w:t>
            </w:r>
            <w:r w:rsidR="00177848" w:rsidRPr="00C6052E">
              <w:rPr>
                <w:lang w:val="en-AU"/>
              </w:rPr>
              <w:t xml:space="preserve"> </w:t>
            </w:r>
            <w:r w:rsidRPr="00C6052E">
              <w:rPr>
                <w:lang w:val="en-AU"/>
              </w:rPr>
              <w:t>generated</w:t>
            </w:r>
            <w:r w:rsidR="00177848" w:rsidRPr="00C6052E">
              <w:rPr>
                <w:lang w:val="en-AU"/>
              </w:rPr>
              <w:t xml:space="preserve"> </w:t>
            </w:r>
            <w:proofErr w:type="gramStart"/>
            <w:r w:rsidRPr="00C6052E">
              <w:rPr>
                <w:lang w:val="en-AU"/>
              </w:rPr>
              <w:t>as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result</w:t>
            </w:r>
            <w:r w:rsidR="00177848" w:rsidRPr="00C6052E">
              <w:rPr>
                <w:lang w:val="en-AU"/>
              </w:rPr>
              <w:t xml:space="preserve"> </w:t>
            </w:r>
            <w:r w:rsidRPr="00C6052E">
              <w:rPr>
                <w:lang w:val="en-AU"/>
              </w:rPr>
              <w:t>of</w:t>
            </w:r>
            <w:proofErr w:type="gramEnd"/>
            <w:r w:rsidR="00177848" w:rsidRPr="00C6052E">
              <w:rPr>
                <w:lang w:val="en-AU"/>
              </w:rPr>
              <w:t xml:space="preserve"> </w:t>
            </w:r>
            <w:r w:rsidRPr="00C6052E">
              <w:rPr>
                <w:lang w:val="en-AU"/>
              </w:rPr>
              <w:t>participation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programs</w:t>
            </w:r>
            <w:r w:rsidR="00177848" w:rsidRPr="00C6052E">
              <w:rPr>
                <w:lang w:val="en-AU"/>
              </w:rPr>
              <w:t xml:space="preserve"> </w:t>
            </w:r>
            <w:r w:rsidRPr="00C6052E">
              <w:rPr>
                <w:lang w:val="en-AU"/>
              </w:rPr>
              <w:t>($</w:t>
            </w:r>
            <w:r w:rsidR="00177848" w:rsidRPr="00C6052E">
              <w:rPr>
                <w:rFonts w:cs="Cambria"/>
                <w:lang w:val="en-AU"/>
              </w:rPr>
              <w:t xml:space="preserve"> </w:t>
            </w:r>
            <w:r w:rsidRPr="00C6052E">
              <w:rPr>
                <w:lang w:val="en-AU"/>
              </w:rPr>
              <w:t>million)</w:t>
            </w:r>
          </w:p>
        </w:tc>
        <w:tc>
          <w:tcPr>
            <w:tcW w:w="1240" w:type="dxa"/>
          </w:tcPr>
          <w:p w14:paraId="65FAB69A" w14:textId="77777777" w:rsidR="00EE5BB8" w:rsidRPr="00C6052E" w:rsidRDefault="00EE5BB8" w:rsidP="0063097D">
            <w:pPr>
              <w:pStyle w:val="TableCopy"/>
              <w:jc w:val="right"/>
              <w:rPr>
                <w:lang w:val="en-AU"/>
              </w:rPr>
            </w:pPr>
            <w:r w:rsidRPr="00C6052E">
              <w:rPr>
                <w:lang w:val="en-AU"/>
              </w:rPr>
              <w:t>627</w:t>
            </w:r>
          </w:p>
        </w:tc>
        <w:tc>
          <w:tcPr>
            <w:tcW w:w="1240" w:type="dxa"/>
          </w:tcPr>
          <w:p w14:paraId="5E3C1958" w14:textId="77777777" w:rsidR="00EE5BB8" w:rsidRPr="00C6052E" w:rsidRDefault="00EE5BB8" w:rsidP="0063097D">
            <w:pPr>
              <w:pStyle w:val="TableCopy"/>
              <w:jc w:val="right"/>
              <w:rPr>
                <w:lang w:val="en-AU"/>
              </w:rPr>
            </w:pPr>
            <w:r w:rsidRPr="00C6052E">
              <w:rPr>
                <w:lang w:val="en-AU"/>
              </w:rPr>
              <w:t>704</w:t>
            </w:r>
          </w:p>
        </w:tc>
        <w:tc>
          <w:tcPr>
            <w:tcW w:w="1240" w:type="dxa"/>
          </w:tcPr>
          <w:p w14:paraId="42A53849" w14:textId="5F7C871B" w:rsidR="00EE5BB8" w:rsidRPr="00C6052E" w:rsidRDefault="00EE5BB8" w:rsidP="0063097D">
            <w:pPr>
              <w:pStyle w:val="TableCopy"/>
              <w:jc w:val="right"/>
              <w:rPr>
                <w:lang w:val="en-AU"/>
              </w:rPr>
            </w:pPr>
            <w:r w:rsidRPr="00C6052E">
              <w:rPr>
                <w:lang w:val="en-AU"/>
              </w:rPr>
              <w:t>1,019</w:t>
            </w:r>
            <w:r w:rsidR="00177848" w:rsidRPr="00C6052E">
              <w:rPr>
                <w:rFonts w:cs="Cambria"/>
                <w:lang w:val="en-AU"/>
              </w:rPr>
              <w:t xml:space="preserve"> </w:t>
            </w:r>
          </w:p>
        </w:tc>
        <w:tc>
          <w:tcPr>
            <w:tcW w:w="1241" w:type="dxa"/>
          </w:tcPr>
          <w:p w14:paraId="576D10E6" w14:textId="77777777" w:rsidR="00EE5BB8" w:rsidRPr="00C6052E" w:rsidRDefault="00EE5BB8" w:rsidP="0063097D">
            <w:pPr>
              <w:pStyle w:val="TableCopy"/>
              <w:jc w:val="right"/>
              <w:rPr>
                <w:lang w:val="en-AU"/>
              </w:rPr>
            </w:pPr>
            <w:r w:rsidRPr="00C6052E">
              <w:rPr>
                <w:lang w:val="en-AU"/>
              </w:rPr>
              <w:t>834</w:t>
            </w:r>
          </w:p>
        </w:tc>
      </w:tr>
    </w:tbl>
    <w:p w14:paraId="1D701296" w14:textId="77777777" w:rsidR="00EE5BB8" w:rsidRPr="00C6052E" w:rsidRDefault="00EE5BB8" w:rsidP="00EE5BB8"/>
    <w:p w14:paraId="6F85C826" w14:textId="6A708F8D" w:rsidR="00EE5BB8" w:rsidRPr="00C6052E" w:rsidRDefault="00EE5BB8" w:rsidP="00EE5BB8">
      <w:pPr>
        <w:pStyle w:val="TableHeading"/>
      </w:pPr>
      <w:r w:rsidRPr="00C6052E">
        <w:t>Figure</w:t>
      </w:r>
      <w:r w:rsidR="00177848" w:rsidRPr="00C6052E">
        <w:t xml:space="preserve"> </w:t>
      </w:r>
      <w:r w:rsidRPr="00C6052E">
        <w:t>4:</w:t>
      </w:r>
      <w:r w:rsidR="00177848" w:rsidRPr="00C6052E">
        <w:t xml:space="preserve"> </w:t>
      </w:r>
      <w:r w:rsidRPr="00C6052E">
        <w:t>Actual</w:t>
      </w:r>
      <w:r w:rsidR="00177848" w:rsidRPr="00C6052E">
        <w:t xml:space="preserve"> </w:t>
      </w:r>
      <w:r w:rsidRPr="00C6052E">
        <w:t>export</w:t>
      </w:r>
      <w:r w:rsidR="00177848" w:rsidRPr="00C6052E">
        <w:t xml:space="preserve"> </w:t>
      </w:r>
      <w:r w:rsidRPr="00C6052E">
        <w:t>sales</w:t>
      </w:r>
      <w:r w:rsidR="00177848" w:rsidRPr="00C6052E">
        <w:t xml:space="preserve"> </w:t>
      </w:r>
      <w:r w:rsidRPr="00C6052E">
        <w:t>generated</w:t>
      </w:r>
      <w:r w:rsidR="00177848" w:rsidRPr="00C6052E">
        <w:t xml:space="preserve"> </w:t>
      </w:r>
      <w:proofErr w:type="gramStart"/>
      <w:r w:rsidRPr="00C6052E">
        <w:t>as</w:t>
      </w:r>
      <w:r w:rsidR="00177848" w:rsidRPr="00C6052E">
        <w:t xml:space="preserve"> </w:t>
      </w:r>
      <w:r w:rsidRPr="00C6052E">
        <w:t>a</w:t>
      </w:r>
      <w:r w:rsidR="00177848" w:rsidRPr="00C6052E">
        <w:t xml:space="preserve"> </w:t>
      </w:r>
      <w:r w:rsidRPr="00C6052E">
        <w:t>result</w:t>
      </w:r>
      <w:r w:rsidR="00177848" w:rsidRPr="00C6052E">
        <w:t xml:space="preserve"> </w:t>
      </w:r>
      <w:r w:rsidRPr="00C6052E">
        <w:t>of</w:t>
      </w:r>
      <w:proofErr w:type="gramEnd"/>
      <w:r w:rsidR="00177848" w:rsidRPr="00C6052E">
        <w:t xml:space="preserve"> </w:t>
      </w:r>
      <w:r w:rsidRPr="00C6052E">
        <w:t>participation</w:t>
      </w:r>
      <w:r w:rsidR="00177848" w:rsidRPr="00C6052E">
        <w:t xml:space="preserve"> </w:t>
      </w:r>
      <w:r w:rsidRPr="00C6052E">
        <w:t>in</w:t>
      </w:r>
      <w:r w:rsidR="00177848" w:rsidRPr="00C6052E">
        <w:t xml:space="preserve"> </w:t>
      </w:r>
      <w:r w:rsidRPr="00C6052E">
        <w:t>government</w:t>
      </w:r>
      <w:r w:rsidR="00177848" w:rsidRPr="00C6052E">
        <w:t xml:space="preserve"> </w:t>
      </w:r>
      <w:r w:rsidRPr="00C6052E">
        <w:t>programs</w:t>
      </w:r>
    </w:p>
    <w:p w14:paraId="7A5C5AD4" w14:textId="77777777" w:rsidR="00EE5BB8" w:rsidRPr="00C6052E" w:rsidRDefault="00EE5BB8" w:rsidP="00EE5BB8">
      <w:pPr>
        <w:pStyle w:val="Graph"/>
        <w:rPr>
          <w:noProof w:val="0"/>
        </w:rPr>
      </w:pPr>
      <w:r w:rsidRPr="00C6052E">
        <w:drawing>
          <wp:inline distT="0" distB="0" distL="0" distR="0" wp14:anchorId="7B55D887" wp14:editId="240E3AA5">
            <wp:extent cx="4050000" cy="2700000"/>
            <wp:effectExtent l="0" t="0" r="0" b="0"/>
            <wp:docPr id="1327940907" name="Chart 1" descr="Line graph showing data from Table 6: Export sales generated from government programs (above).">
              <a:extLst xmlns:a="http://schemas.openxmlformats.org/drawingml/2006/main">
                <a:ext uri="{FF2B5EF4-FFF2-40B4-BE49-F238E27FC236}">
                  <a16:creationId xmlns:a16="http://schemas.microsoft.com/office/drawing/2014/main" id="{00000000-0008-0000-0600-000007000000}"/>
                </a:ext>
                <a:ext uri="{147F2762-F138-4A5C-976F-8EAC2B608ADB}">
                  <a16:predDERef xmlns:a16="http://schemas.microsoft.com/office/drawing/2014/main" pred="{00000000-0008-0000-06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156F20" w14:textId="3C2C5BC2" w:rsidR="00EE5BB8" w:rsidRPr="00C6052E" w:rsidRDefault="00EE5BB8" w:rsidP="00EE5BB8">
      <w:r w:rsidRPr="00C6052E">
        <w:lastRenderedPageBreak/>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supported</w:t>
      </w:r>
      <w:r w:rsidR="00177848" w:rsidRPr="00C6052E">
        <w:t xml:space="preserve"> </w:t>
      </w:r>
      <w:r w:rsidRPr="00C6052E">
        <w:t>$834</w:t>
      </w:r>
      <w:r w:rsidR="00177848" w:rsidRPr="00C6052E">
        <w:t xml:space="preserve"> </w:t>
      </w:r>
      <w:r w:rsidRPr="00C6052E">
        <w:t>million</w:t>
      </w:r>
      <w:r w:rsidR="00177848" w:rsidRPr="00C6052E">
        <w:t xml:space="preserve"> </w:t>
      </w:r>
      <w:r w:rsidRPr="00C6052E">
        <w:t>in</w:t>
      </w:r>
      <w:r w:rsidR="00177848" w:rsidRPr="00C6052E">
        <w:t xml:space="preserve"> </w:t>
      </w:r>
      <w:r w:rsidRPr="00C6052E">
        <w:t>actual</w:t>
      </w:r>
      <w:r w:rsidR="00177848" w:rsidRPr="00C6052E">
        <w:t xml:space="preserve"> </w:t>
      </w:r>
      <w:r w:rsidRPr="00C6052E">
        <w:t>export</w:t>
      </w:r>
      <w:r w:rsidR="00177848" w:rsidRPr="00C6052E">
        <w:t xml:space="preserve"> </w:t>
      </w:r>
      <w:r w:rsidRPr="00C6052E">
        <w:t>sales.</w:t>
      </w:r>
      <w:r w:rsidR="00177848" w:rsidRPr="00C6052E">
        <w:t xml:space="preserve"> </w:t>
      </w:r>
      <w:r w:rsidRPr="00C6052E">
        <w:t>While</w:t>
      </w:r>
      <w:r w:rsidR="00177848" w:rsidRPr="00C6052E">
        <w:t xml:space="preserve"> </w:t>
      </w:r>
      <w:r w:rsidRPr="00C6052E">
        <w:t>export</w:t>
      </w:r>
      <w:r w:rsidR="00177848" w:rsidRPr="00C6052E">
        <w:t xml:space="preserve"> </w:t>
      </w:r>
      <w:r w:rsidRPr="00C6052E">
        <w:t>sales</w:t>
      </w:r>
      <w:r w:rsidR="00177848" w:rsidRPr="00C6052E">
        <w:t xml:space="preserve"> </w:t>
      </w:r>
      <w:r w:rsidRPr="00C6052E">
        <w:t>performance</w:t>
      </w:r>
      <w:r w:rsidR="00177848" w:rsidRPr="00C6052E">
        <w:t xml:space="preserve"> </w:t>
      </w:r>
      <w:r w:rsidRPr="00C6052E">
        <w:t>decreased</w:t>
      </w:r>
      <w:r w:rsidR="00177848" w:rsidRPr="00C6052E">
        <w:t xml:space="preserve"> </w:t>
      </w:r>
      <w:r w:rsidRPr="00C6052E">
        <w:t>by</w:t>
      </w:r>
      <w:r w:rsidR="00177848" w:rsidRPr="00C6052E">
        <w:t xml:space="preserve"> </w:t>
      </w:r>
      <w:r w:rsidRPr="00C6052E">
        <w:t>18%</w:t>
      </w:r>
      <w:r w:rsidR="00177848" w:rsidRPr="00C6052E">
        <w:t xml:space="preserve"> </w:t>
      </w:r>
      <w:r w:rsidRPr="00C6052E">
        <w:t>from</w:t>
      </w:r>
      <w:r w:rsidR="00177848" w:rsidRPr="00C6052E">
        <w:t xml:space="preserve"> </w:t>
      </w:r>
      <w:r w:rsidRPr="00C6052E">
        <w:t>2023–24,</w:t>
      </w:r>
      <w:r w:rsidR="00177848" w:rsidRPr="00C6052E">
        <w:t xml:space="preserve"> </w:t>
      </w:r>
      <w:r w:rsidRPr="00C6052E">
        <w:t>the</w:t>
      </w:r>
      <w:r w:rsidR="00177848" w:rsidRPr="00C6052E">
        <w:t xml:space="preserve"> </w:t>
      </w:r>
      <w:r w:rsidRPr="00C6052E">
        <w:t>figure</w:t>
      </w:r>
      <w:r w:rsidR="00177848" w:rsidRPr="00C6052E">
        <w:t xml:space="preserve"> </w:t>
      </w:r>
      <w:r w:rsidRPr="00C6052E">
        <w:t>increased</w:t>
      </w:r>
      <w:r w:rsidR="00177848" w:rsidRPr="00C6052E">
        <w:t xml:space="preserve"> </w:t>
      </w:r>
      <w:r w:rsidRPr="00C6052E">
        <w:rPr>
          <w:spacing w:val="-2"/>
        </w:rPr>
        <w:t>from</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2</w:t>
      </w:r>
      <w:r w:rsidR="00177848" w:rsidRPr="00C6052E">
        <w:rPr>
          <w:spacing w:val="-2"/>
        </w:rPr>
        <w:t xml:space="preserve"> </w:t>
      </w:r>
      <w:r w:rsidRPr="00C6052E">
        <w:rPr>
          <w:spacing w:val="-2"/>
        </w:rPr>
        <w:t>preceding</w:t>
      </w:r>
      <w:r w:rsidR="00177848" w:rsidRPr="00C6052E">
        <w:rPr>
          <w:spacing w:val="-2"/>
        </w:rPr>
        <w:t xml:space="preserve"> </w:t>
      </w:r>
      <w:r w:rsidRPr="00C6052E">
        <w:rPr>
          <w:spacing w:val="-2"/>
        </w:rPr>
        <w:t>years</w:t>
      </w:r>
      <w:r w:rsidR="00177848" w:rsidRPr="00C6052E">
        <w:rPr>
          <w:spacing w:val="-2"/>
        </w:rPr>
        <w:t xml:space="preserve"> </w:t>
      </w:r>
      <w:r w:rsidRPr="00C6052E">
        <w:rPr>
          <w:spacing w:val="-2"/>
        </w:rPr>
        <w:t>by</w:t>
      </w:r>
      <w:r w:rsidR="00177848" w:rsidRPr="00C6052E">
        <w:rPr>
          <w:spacing w:val="-2"/>
        </w:rPr>
        <w:t xml:space="preserve"> </w:t>
      </w:r>
      <w:r w:rsidRPr="00C6052E">
        <w:rPr>
          <w:spacing w:val="-2"/>
        </w:rPr>
        <w:t>33%</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18%</w:t>
      </w:r>
      <w:r w:rsidR="00177848" w:rsidRPr="00C6052E">
        <w:rPr>
          <w:spacing w:val="-2"/>
        </w:rPr>
        <w:t xml:space="preserve"> </w:t>
      </w:r>
      <w:r w:rsidRPr="00C6052E">
        <w:rPr>
          <w:spacing w:val="-2"/>
        </w:rPr>
        <w:t>respectively.</w:t>
      </w:r>
      <w:r w:rsidR="00177848" w:rsidRPr="00C6052E">
        <w:t xml:space="preserve"> </w:t>
      </w:r>
      <w:r w:rsidRPr="00C6052E">
        <w:t>This</w:t>
      </w:r>
      <w:r w:rsidR="00177848" w:rsidRPr="00C6052E">
        <w:t xml:space="preserve"> </w:t>
      </w:r>
      <w:r w:rsidRPr="00C6052E">
        <w:t>strong</w:t>
      </w:r>
      <w:r w:rsidR="00177848" w:rsidRPr="00C6052E">
        <w:t xml:space="preserve"> </w:t>
      </w:r>
      <w:r w:rsidRPr="00C6052E">
        <w:t>performance</w:t>
      </w:r>
      <w:r w:rsidR="00177848" w:rsidRPr="00C6052E">
        <w:t xml:space="preserve"> </w:t>
      </w:r>
      <w:r w:rsidRPr="00C6052E">
        <w:t>is</w:t>
      </w:r>
      <w:r w:rsidR="00177848" w:rsidRPr="00C6052E">
        <w:t xml:space="preserve"> </w:t>
      </w:r>
      <w:r w:rsidRPr="00C6052E">
        <w:t>due</w:t>
      </w:r>
      <w:r w:rsidR="00177848" w:rsidRPr="00C6052E">
        <w:t xml:space="preserve"> </w:t>
      </w:r>
      <w:r w:rsidRPr="00C6052E">
        <w:t>to</w:t>
      </w:r>
      <w:r w:rsidR="00177848" w:rsidRPr="00C6052E">
        <w:t xml:space="preserve"> </w:t>
      </w:r>
      <w:r w:rsidRPr="00C6052E">
        <w:t>the</w:t>
      </w:r>
      <w:r w:rsidR="00177848" w:rsidRPr="00C6052E">
        <w:t xml:space="preserve"> </w:t>
      </w:r>
      <w:r w:rsidRPr="00C6052E">
        <w:t>continued</w:t>
      </w:r>
      <w:r w:rsidR="00177848" w:rsidRPr="00C6052E">
        <w:t xml:space="preserve"> </w:t>
      </w:r>
      <w:r w:rsidRPr="00C6052E">
        <w:t>focus</w:t>
      </w:r>
      <w:r w:rsidR="00177848" w:rsidRPr="00C6052E">
        <w:t xml:space="preserve"> </w:t>
      </w:r>
      <w:r w:rsidRPr="00C6052E">
        <w:t>of</w:t>
      </w:r>
      <w:r w:rsidR="00177848" w:rsidRPr="00C6052E">
        <w:t xml:space="preserve"> </w:t>
      </w:r>
      <w:r w:rsidRPr="00C6052E">
        <w:t>services</w:t>
      </w:r>
      <w:r w:rsidR="00177848" w:rsidRPr="00C6052E">
        <w:t xml:space="preserve"> </w:t>
      </w:r>
      <w:r w:rsidRPr="00C6052E">
        <w:t>and</w:t>
      </w:r>
      <w:r w:rsidR="00177848" w:rsidRPr="00C6052E">
        <w:t xml:space="preserve"> </w:t>
      </w:r>
      <w:r w:rsidRPr="00C6052E">
        <w:t>programs</w:t>
      </w:r>
      <w:r w:rsidR="00177848" w:rsidRPr="00C6052E">
        <w:t xml:space="preserve"> </w:t>
      </w:r>
      <w:r w:rsidRPr="00C6052E">
        <w:t>that</w:t>
      </w:r>
      <w:r w:rsidR="00177848" w:rsidRPr="00C6052E">
        <w:t xml:space="preserve"> </w:t>
      </w:r>
      <w:r w:rsidRPr="00C6052E">
        <w:t>provide</w:t>
      </w:r>
      <w:r w:rsidR="00177848" w:rsidRPr="00C6052E">
        <w:t xml:space="preserve"> </w:t>
      </w:r>
      <w:r w:rsidRPr="00C6052E">
        <w:t>targeted</w:t>
      </w:r>
      <w:r w:rsidR="00177848" w:rsidRPr="00C6052E">
        <w:t xml:space="preserve"> </w:t>
      </w:r>
      <w:r w:rsidRPr="00C6052E">
        <w:t>support</w:t>
      </w:r>
      <w:r w:rsidR="00177848" w:rsidRPr="00C6052E">
        <w:t xml:space="preserve"> </w:t>
      </w:r>
      <w:r w:rsidRPr="00C6052E">
        <w:t>for</w:t>
      </w:r>
      <w:r w:rsidR="00177848" w:rsidRPr="00C6052E">
        <w:t xml:space="preserve"> </w:t>
      </w:r>
      <w:r w:rsidRPr="00C6052E">
        <w:t>Victorian</w:t>
      </w:r>
      <w:r w:rsidR="00177848" w:rsidRPr="00C6052E">
        <w:t xml:space="preserve"> </w:t>
      </w:r>
      <w:r w:rsidRPr="00C6052E">
        <w:t>exporters</w:t>
      </w:r>
      <w:r w:rsidR="00177848" w:rsidRPr="00C6052E">
        <w:t xml:space="preserve"> </w:t>
      </w:r>
      <w:r w:rsidRPr="00C6052E">
        <w:t>to</w:t>
      </w:r>
      <w:r w:rsidR="00177848" w:rsidRPr="00C6052E">
        <w:t xml:space="preserve"> </w:t>
      </w:r>
      <w:r w:rsidRPr="00C6052E">
        <w:t>engage</w:t>
      </w:r>
      <w:r w:rsidR="00177848" w:rsidRPr="00C6052E">
        <w:t xml:space="preserve"> </w:t>
      </w:r>
      <w:r w:rsidRPr="00C6052E">
        <w:t>and</w:t>
      </w:r>
      <w:r w:rsidR="00177848" w:rsidRPr="00C6052E">
        <w:t xml:space="preserve"> </w:t>
      </w:r>
      <w:r w:rsidRPr="00C6052E">
        <w:t>build</w:t>
      </w:r>
      <w:r w:rsidR="00177848" w:rsidRPr="00C6052E">
        <w:t xml:space="preserve"> </w:t>
      </w:r>
      <w:r w:rsidRPr="00C6052E">
        <w:t>connections</w:t>
      </w:r>
      <w:r w:rsidR="00177848" w:rsidRPr="00C6052E">
        <w:t xml:space="preserve"> </w:t>
      </w:r>
      <w:r w:rsidRPr="00C6052E">
        <w:t>in</w:t>
      </w:r>
      <w:r w:rsidR="00177848" w:rsidRPr="00C6052E">
        <w:t xml:space="preserve"> </w:t>
      </w:r>
      <w:r w:rsidRPr="00C6052E">
        <w:t>international</w:t>
      </w:r>
      <w:r w:rsidR="00177848" w:rsidRPr="00C6052E">
        <w:t xml:space="preserve"> </w:t>
      </w:r>
      <w:r w:rsidRPr="00C6052E">
        <w:t>markets.</w:t>
      </w:r>
      <w:r w:rsidR="00177848" w:rsidRPr="00C6052E">
        <w:t xml:space="preserve"> </w:t>
      </w:r>
    </w:p>
    <w:p w14:paraId="0554FF10" w14:textId="6F1EADE9" w:rsidR="00EE5BB8" w:rsidRPr="00C6052E" w:rsidRDefault="00EE5BB8" w:rsidP="00EE5BB8">
      <w:pPr>
        <w:keepLines/>
      </w:pPr>
      <w:r w:rsidRPr="00C6052E">
        <w:t>Across</w:t>
      </w:r>
      <w:r w:rsidR="00177848" w:rsidRPr="00C6052E">
        <w:t xml:space="preserve"> </w:t>
      </w:r>
      <w:r w:rsidRPr="00C6052E">
        <w:t>the</w:t>
      </w:r>
      <w:r w:rsidR="00177848" w:rsidRPr="00C6052E">
        <w:t xml:space="preserve"> </w:t>
      </w:r>
      <w:r w:rsidRPr="00C6052E">
        <w:t>reporting</w:t>
      </w:r>
      <w:r w:rsidR="00177848" w:rsidRPr="00C6052E">
        <w:t xml:space="preserve"> </w:t>
      </w:r>
      <w:r w:rsidRPr="00C6052E">
        <w:t>period,</w:t>
      </w:r>
      <w:r w:rsidR="00177848" w:rsidRPr="00C6052E">
        <w:t xml:space="preserve"> </w:t>
      </w:r>
      <w:r w:rsidRPr="00C6052E">
        <w:t>2,752</w:t>
      </w:r>
      <w:r w:rsidR="00177848" w:rsidRPr="00C6052E">
        <w:t xml:space="preserve"> </w:t>
      </w:r>
      <w:r w:rsidRPr="00C6052E">
        <w:t>businesses</w:t>
      </w:r>
      <w:r w:rsidR="00177848" w:rsidRPr="00C6052E">
        <w:t xml:space="preserve"> </w:t>
      </w:r>
      <w:r w:rsidRPr="00C6052E">
        <w:t>were</w:t>
      </w:r>
      <w:r w:rsidR="00177848" w:rsidRPr="00C6052E">
        <w:t xml:space="preserve"> </w:t>
      </w:r>
      <w:r w:rsidRPr="00C6052E">
        <w:t>supported</w:t>
      </w:r>
      <w:r w:rsidR="00177848" w:rsidRPr="00C6052E">
        <w:t xml:space="preserve"> </w:t>
      </w:r>
      <w:r w:rsidRPr="00C6052E">
        <w:t>in</w:t>
      </w:r>
      <w:r w:rsidR="00177848" w:rsidRPr="00C6052E">
        <w:t xml:space="preserve"> </w:t>
      </w:r>
      <w:r w:rsidRPr="00C6052E">
        <w:t>export</w:t>
      </w:r>
      <w:r w:rsidR="00177848" w:rsidRPr="00C6052E">
        <w:t xml:space="preserve"> </w:t>
      </w:r>
      <w:r w:rsidRPr="00C6052E">
        <w:t>programs,</w:t>
      </w:r>
      <w:r w:rsidR="00177848" w:rsidRPr="00C6052E">
        <w:t xml:space="preserve"> </w:t>
      </w:r>
      <w:r w:rsidRPr="00C6052E">
        <w:t>including</w:t>
      </w:r>
      <w:r w:rsidR="00177848" w:rsidRPr="00C6052E">
        <w:t xml:space="preserve"> </w:t>
      </w:r>
      <w:r w:rsidRPr="00C6052E">
        <w:t>1:1</w:t>
      </w:r>
      <w:r w:rsidR="00177848" w:rsidRPr="00C6052E">
        <w:t xml:space="preserve"> </w:t>
      </w:r>
      <w:r w:rsidRPr="00C6052E">
        <w:t>trade</w:t>
      </w:r>
      <w:r w:rsidR="00177848" w:rsidRPr="00C6052E">
        <w:t xml:space="preserve"> </w:t>
      </w:r>
      <w:r w:rsidRPr="00C6052E">
        <w:t>facilitation</w:t>
      </w:r>
      <w:r w:rsidR="00177848" w:rsidRPr="00C6052E">
        <w:t xml:space="preserve"> </w:t>
      </w:r>
      <w:r w:rsidRPr="00C6052E">
        <w:t>and</w:t>
      </w:r>
      <w:r w:rsidR="00177848" w:rsidRPr="00C6052E">
        <w:t xml:space="preserve"> </w:t>
      </w:r>
      <w:r w:rsidRPr="00C6052E">
        <w:t>in-market</w:t>
      </w:r>
      <w:r w:rsidR="00177848" w:rsidRPr="00C6052E">
        <w:t xml:space="preserve"> </w:t>
      </w:r>
      <w:r w:rsidRPr="00C6052E">
        <w:t>initiatives.</w:t>
      </w:r>
      <w:r w:rsidR="00177848" w:rsidRPr="00C6052E">
        <w:t xml:space="preserve"> </w:t>
      </w:r>
      <w:r w:rsidRPr="00C6052E">
        <w:t>Over</w:t>
      </w:r>
      <w:r w:rsidR="00177848" w:rsidRPr="00C6052E">
        <w:t xml:space="preserve"> </w:t>
      </w:r>
      <w:r w:rsidRPr="00C6052E">
        <w:t>615</w:t>
      </w:r>
      <w:r w:rsidR="00177848" w:rsidRPr="00C6052E">
        <w:t xml:space="preserve"> </w:t>
      </w:r>
      <w:r w:rsidRPr="00C6052E">
        <w:t>unique</w:t>
      </w:r>
      <w:r w:rsidR="00177848" w:rsidRPr="00C6052E">
        <w:t xml:space="preserve"> </w:t>
      </w:r>
      <w:r w:rsidRPr="00C6052E">
        <w:t>businesses</w:t>
      </w:r>
      <w:r w:rsidR="00177848" w:rsidRPr="00C6052E">
        <w:t xml:space="preserve"> </w:t>
      </w:r>
      <w:r w:rsidRPr="00C6052E">
        <w:t>were</w:t>
      </w:r>
      <w:r w:rsidR="00177848" w:rsidRPr="00C6052E">
        <w:t xml:space="preserve"> </w:t>
      </w:r>
      <w:r w:rsidRPr="00C6052E">
        <w:t>supported</w:t>
      </w:r>
      <w:r w:rsidR="00177848" w:rsidRPr="00C6052E">
        <w:t xml:space="preserve"> </w:t>
      </w:r>
      <w:r w:rsidRPr="00C6052E">
        <w:t>with</w:t>
      </w:r>
      <w:r w:rsidR="00177848" w:rsidRPr="00C6052E">
        <w:t xml:space="preserve"> </w:t>
      </w:r>
      <w:r w:rsidRPr="00C6052E">
        <w:t>trade</w:t>
      </w:r>
      <w:r w:rsidR="00177848" w:rsidRPr="00C6052E">
        <w:t xml:space="preserve"> </w:t>
      </w:r>
      <w:r w:rsidRPr="00C6052E">
        <w:t>facilitation</w:t>
      </w:r>
      <w:r w:rsidR="00177848" w:rsidRPr="00C6052E">
        <w:t xml:space="preserve"> </w:t>
      </w:r>
      <w:r w:rsidRPr="00C6052E">
        <w:t>assistance,</w:t>
      </w:r>
      <w:r w:rsidR="00177848" w:rsidRPr="00C6052E">
        <w:t xml:space="preserve"> </w:t>
      </w:r>
      <w:r w:rsidRPr="00C6052E">
        <w:t>with</w:t>
      </w:r>
      <w:r w:rsidR="00177848" w:rsidRPr="00C6052E">
        <w:t xml:space="preserve"> </w:t>
      </w:r>
      <w:r w:rsidRPr="00C6052E">
        <w:t>increases</w:t>
      </w:r>
      <w:r w:rsidR="00177848" w:rsidRPr="00C6052E">
        <w:t xml:space="preserve"> </w:t>
      </w:r>
      <w:r w:rsidRPr="00C6052E">
        <w:t>in</w:t>
      </w:r>
      <w:r w:rsidR="00177848" w:rsidRPr="00C6052E">
        <w:t xml:space="preserve"> </w:t>
      </w:r>
      <w:r w:rsidRPr="00C6052E">
        <w:t>bespoke</w:t>
      </w:r>
      <w:r w:rsidR="00177848" w:rsidRPr="00C6052E">
        <w:t xml:space="preserve"> </w:t>
      </w:r>
      <w:r w:rsidRPr="00C6052E">
        <w:t>support</w:t>
      </w:r>
      <w:r w:rsidR="00177848" w:rsidRPr="00C6052E">
        <w:t xml:space="preserve"> </w:t>
      </w:r>
      <w:r w:rsidRPr="00C6052E">
        <w:t>for</w:t>
      </w:r>
      <w:r w:rsidR="00177848" w:rsidRPr="00C6052E">
        <w:t xml:space="preserve"> </w:t>
      </w:r>
      <w:r w:rsidRPr="00C6052E">
        <w:t>the</w:t>
      </w:r>
      <w:r w:rsidR="00177848" w:rsidRPr="00C6052E">
        <w:t xml:space="preserve"> </w:t>
      </w:r>
      <w:r w:rsidRPr="00C6052E">
        <w:t>food</w:t>
      </w:r>
      <w:r w:rsidR="00177848" w:rsidRPr="00C6052E">
        <w:t xml:space="preserve"> </w:t>
      </w:r>
      <w:r w:rsidRPr="00C6052E">
        <w:t>and</w:t>
      </w:r>
      <w:r w:rsidR="00177848" w:rsidRPr="00C6052E">
        <w:t xml:space="preserve"> </w:t>
      </w:r>
      <w:r w:rsidRPr="00C6052E">
        <w:t>agribusiness</w:t>
      </w:r>
      <w:r w:rsidR="00177848" w:rsidRPr="00C6052E">
        <w:t xml:space="preserve"> </w:t>
      </w:r>
      <w:r w:rsidRPr="00C6052E">
        <w:t>(up</w:t>
      </w:r>
      <w:r w:rsidR="00177848" w:rsidRPr="00C6052E">
        <w:t xml:space="preserve"> </w:t>
      </w:r>
      <w:r w:rsidRPr="00C6052E">
        <w:t>28%)</w:t>
      </w:r>
      <w:r w:rsidR="00177848" w:rsidRPr="00C6052E">
        <w:t xml:space="preserve"> </w:t>
      </w:r>
      <w:r w:rsidRPr="00C6052E">
        <w:t>and</w:t>
      </w:r>
      <w:r w:rsidR="00177848" w:rsidRPr="00C6052E">
        <w:t xml:space="preserve"> </w:t>
      </w:r>
      <w:r w:rsidRPr="00C6052E">
        <w:t>health</w:t>
      </w:r>
      <w:r w:rsidR="00177848" w:rsidRPr="00C6052E">
        <w:t xml:space="preserve"> </w:t>
      </w:r>
      <w:r w:rsidRPr="00C6052E">
        <w:t>and</w:t>
      </w:r>
      <w:r w:rsidR="00177848" w:rsidRPr="00C6052E">
        <w:t xml:space="preserve"> </w:t>
      </w:r>
      <w:r w:rsidRPr="00C6052E">
        <w:t>life</w:t>
      </w:r>
      <w:r w:rsidR="00177848" w:rsidRPr="00C6052E">
        <w:t xml:space="preserve"> </w:t>
      </w:r>
      <w:r w:rsidRPr="00C6052E">
        <w:t>sciences</w:t>
      </w:r>
      <w:r w:rsidR="00177848" w:rsidRPr="00C6052E">
        <w:t xml:space="preserve"> </w:t>
      </w:r>
      <w:r w:rsidRPr="00C6052E">
        <w:t>(up</w:t>
      </w:r>
      <w:r w:rsidR="00177848" w:rsidRPr="00C6052E">
        <w:t xml:space="preserve"> </w:t>
      </w:r>
      <w:r w:rsidRPr="00C6052E">
        <w:t>25%)</w:t>
      </w:r>
      <w:r w:rsidR="00177848" w:rsidRPr="00C6052E">
        <w:t xml:space="preserve"> </w:t>
      </w:r>
      <w:r w:rsidRPr="00C6052E">
        <w:t>sectors.</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also</w:t>
      </w:r>
      <w:r w:rsidR="00177848" w:rsidRPr="00C6052E">
        <w:t xml:space="preserve"> </w:t>
      </w:r>
      <w:r w:rsidRPr="00C6052E">
        <w:t>delivered</w:t>
      </w:r>
      <w:r w:rsidR="00177848" w:rsidRPr="00C6052E">
        <w:t xml:space="preserve"> </w:t>
      </w:r>
      <w:r w:rsidRPr="00C6052E">
        <w:t>18</w:t>
      </w:r>
      <w:r w:rsidR="00177848" w:rsidRPr="00C6052E">
        <w:t xml:space="preserve"> </w:t>
      </w:r>
      <w:r w:rsidRPr="00C6052E">
        <w:t>trade</w:t>
      </w:r>
      <w:r w:rsidR="00177848" w:rsidRPr="00C6052E">
        <w:t xml:space="preserve"> </w:t>
      </w:r>
      <w:r w:rsidRPr="00C6052E">
        <w:t>missions</w:t>
      </w:r>
      <w:r w:rsidR="00177848" w:rsidRPr="00C6052E">
        <w:t xml:space="preserve"> </w:t>
      </w:r>
      <w:r w:rsidRPr="00C6052E">
        <w:t>in</w:t>
      </w:r>
      <w:r w:rsidR="00177848" w:rsidRPr="00C6052E">
        <w:t xml:space="preserve"> </w:t>
      </w:r>
      <w:r w:rsidRPr="00C6052E">
        <w:t>priority</w:t>
      </w:r>
      <w:r w:rsidR="00177848" w:rsidRPr="00C6052E">
        <w:t xml:space="preserve"> </w:t>
      </w:r>
      <w:r w:rsidRPr="00C6052E">
        <w:t>sectors</w:t>
      </w:r>
      <w:r w:rsidR="00177848" w:rsidRPr="00C6052E">
        <w:t xml:space="preserve"> </w:t>
      </w:r>
      <w:r w:rsidRPr="00C6052E">
        <w:t>in</w:t>
      </w:r>
      <w:r w:rsidR="00177848" w:rsidRPr="00C6052E">
        <w:t xml:space="preserve"> </w:t>
      </w:r>
      <w:r w:rsidRPr="00C6052E">
        <w:t>key</w:t>
      </w:r>
      <w:r w:rsidR="00177848" w:rsidRPr="00C6052E">
        <w:t xml:space="preserve"> </w:t>
      </w:r>
      <w:r w:rsidRPr="00C6052E">
        <w:t>international</w:t>
      </w:r>
      <w:r w:rsidR="00177848" w:rsidRPr="00C6052E">
        <w:t xml:space="preserve"> </w:t>
      </w:r>
      <w:r w:rsidRPr="00C6052E">
        <w:t>markets,</w:t>
      </w:r>
      <w:r w:rsidR="00177848" w:rsidRPr="00C6052E">
        <w:t xml:space="preserve"> </w:t>
      </w:r>
      <w:r w:rsidRPr="00C6052E">
        <w:t>supporting</w:t>
      </w:r>
      <w:r w:rsidR="00177848" w:rsidRPr="00C6052E">
        <w:t xml:space="preserve"> </w:t>
      </w:r>
      <w:r w:rsidRPr="00C6052E">
        <w:t>472</w:t>
      </w:r>
      <w:r w:rsidR="00177848" w:rsidRPr="00C6052E">
        <w:t xml:space="preserve"> </w:t>
      </w:r>
      <w:r w:rsidRPr="00C6052E">
        <w:t>companies.</w:t>
      </w:r>
      <w:r w:rsidR="00177848" w:rsidRPr="00C6052E">
        <w:t xml:space="preserve"> </w:t>
      </w:r>
      <w:r w:rsidRPr="00C6052E">
        <w:t>The</w:t>
      </w:r>
      <w:r w:rsidR="00177848" w:rsidRPr="00C6052E">
        <w:t xml:space="preserve"> </w:t>
      </w:r>
      <w:r w:rsidRPr="00C6052E">
        <w:t>government’s</w:t>
      </w:r>
      <w:r w:rsidR="00177848" w:rsidRPr="00C6052E">
        <w:t xml:space="preserve"> </w:t>
      </w:r>
      <w:r w:rsidRPr="00C6052E">
        <w:t>continued</w:t>
      </w:r>
      <w:r w:rsidR="00177848" w:rsidRPr="00C6052E">
        <w:t xml:space="preserve"> </w:t>
      </w:r>
      <w:r w:rsidRPr="00C6052E">
        <w:t>investment</w:t>
      </w:r>
      <w:r w:rsidR="00177848" w:rsidRPr="00C6052E">
        <w:t xml:space="preserve"> </w:t>
      </w:r>
      <w:r w:rsidRPr="00C6052E">
        <w:t>in</w:t>
      </w:r>
      <w:r w:rsidR="00177848" w:rsidRPr="00C6052E">
        <w:t xml:space="preserve"> </w:t>
      </w:r>
      <w:r w:rsidRPr="00C6052E">
        <w:t>supporting</w:t>
      </w:r>
      <w:r w:rsidR="00177848" w:rsidRPr="00C6052E">
        <w:t xml:space="preserve"> </w:t>
      </w:r>
      <w:r w:rsidRPr="00C6052E">
        <w:t>Victorian</w:t>
      </w:r>
      <w:r w:rsidR="00177848" w:rsidRPr="00C6052E">
        <w:t xml:space="preserve"> </w:t>
      </w:r>
      <w:r w:rsidRPr="00C6052E">
        <w:t>businesses’</w:t>
      </w:r>
      <w:r w:rsidR="00177848" w:rsidRPr="00C6052E">
        <w:t xml:space="preserve"> </w:t>
      </w:r>
      <w:r w:rsidRPr="00C6052E">
        <w:t>export</w:t>
      </w:r>
      <w:r w:rsidR="00177848" w:rsidRPr="00C6052E">
        <w:t xml:space="preserve"> </w:t>
      </w:r>
      <w:r w:rsidRPr="00C6052E">
        <w:t>activities</w:t>
      </w:r>
      <w:r w:rsidR="00177848" w:rsidRPr="00C6052E">
        <w:t xml:space="preserve"> </w:t>
      </w:r>
      <w:r w:rsidRPr="00C6052E">
        <w:t>over</w:t>
      </w:r>
      <w:r w:rsidR="00177848" w:rsidRPr="00C6052E">
        <w:t xml:space="preserve"> </w:t>
      </w:r>
      <w:r w:rsidRPr="00C6052E">
        <w:t>recent</w:t>
      </w:r>
      <w:r w:rsidR="00177848" w:rsidRPr="00C6052E">
        <w:t xml:space="preserve"> </w:t>
      </w:r>
      <w:r w:rsidRPr="00C6052E">
        <w:t>years</w:t>
      </w:r>
      <w:r w:rsidR="00177848" w:rsidRPr="00C6052E">
        <w:t xml:space="preserve"> </w:t>
      </w:r>
      <w:r w:rsidRPr="00C6052E">
        <w:t>has</w:t>
      </w:r>
      <w:r w:rsidR="00177848" w:rsidRPr="00C6052E">
        <w:t xml:space="preserve"> </w:t>
      </w:r>
      <w:r w:rsidRPr="00C6052E">
        <w:t>seen</w:t>
      </w:r>
      <w:r w:rsidR="00177848" w:rsidRPr="00C6052E">
        <w:t xml:space="preserve"> </w:t>
      </w:r>
      <w:r w:rsidRPr="00C6052E">
        <w:t>strong</w:t>
      </w:r>
      <w:r w:rsidR="00177848" w:rsidRPr="00C6052E">
        <w:t xml:space="preserve"> </w:t>
      </w:r>
      <w:r w:rsidRPr="00C6052E">
        <w:t>export</w:t>
      </w:r>
      <w:r w:rsidR="00177848" w:rsidRPr="00C6052E">
        <w:t xml:space="preserve"> </w:t>
      </w:r>
      <w:r w:rsidRPr="00C6052E">
        <w:t>sales</w:t>
      </w:r>
      <w:r w:rsidR="00177848" w:rsidRPr="00C6052E">
        <w:t xml:space="preserve"> </w:t>
      </w:r>
      <w:r w:rsidRPr="00C6052E">
        <w:t>outcomes</w:t>
      </w:r>
      <w:r w:rsidR="00177848" w:rsidRPr="00C6052E">
        <w:t xml:space="preserve"> </w:t>
      </w:r>
      <w:r w:rsidRPr="00C6052E">
        <w:t>this</w:t>
      </w:r>
      <w:r w:rsidR="00177848" w:rsidRPr="00C6052E">
        <w:t xml:space="preserve"> </w:t>
      </w:r>
      <w:r w:rsidRPr="00C6052E">
        <w:t>financial</w:t>
      </w:r>
      <w:r w:rsidR="00177848" w:rsidRPr="00C6052E">
        <w:t xml:space="preserve"> </w:t>
      </w:r>
      <w:r w:rsidRPr="00C6052E">
        <w:t>year.</w:t>
      </w:r>
    </w:p>
    <w:p w14:paraId="28C9B386" w14:textId="58249789" w:rsidR="00EE5BB8" w:rsidRPr="00C6052E" w:rsidRDefault="00EE5BB8" w:rsidP="00EE5BB8">
      <w:r w:rsidRPr="00C6052E">
        <w:t>Trade</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have</w:t>
      </w:r>
      <w:r w:rsidR="00177848" w:rsidRPr="00C6052E">
        <w:t xml:space="preserve"> </w:t>
      </w:r>
      <w:r w:rsidRPr="00C6052E">
        <w:t>been</w:t>
      </w:r>
      <w:r w:rsidR="00177848" w:rsidRPr="00C6052E">
        <w:t xml:space="preserve"> </w:t>
      </w:r>
      <w:r w:rsidRPr="00C6052E">
        <w:t>in</w:t>
      </w:r>
      <w:r w:rsidR="00177848" w:rsidRPr="00C6052E">
        <w:t xml:space="preserve"> </w:t>
      </w:r>
      <w:r w:rsidRPr="00C6052E">
        <w:t>high</w:t>
      </w:r>
      <w:r w:rsidR="00177848" w:rsidRPr="00C6052E">
        <w:t xml:space="preserve"> </w:t>
      </w:r>
      <w:r w:rsidRPr="00C6052E">
        <w:t>demand</w:t>
      </w:r>
      <w:r w:rsidR="00177848" w:rsidRPr="00C6052E">
        <w:t xml:space="preserve"> </w:t>
      </w:r>
      <w:r w:rsidRPr="00C6052E">
        <w:t>domestically</w:t>
      </w:r>
      <w:r w:rsidR="00177848" w:rsidRPr="00C6052E">
        <w:t xml:space="preserve"> </w:t>
      </w:r>
      <w:r w:rsidRPr="00C6052E">
        <w:t>and</w:t>
      </w:r>
      <w:r w:rsidR="00177848" w:rsidRPr="00C6052E">
        <w:t xml:space="preserve"> </w:t>
      </w:r>
      <w:r w:rsidRPr="00C6052E">
        <w:t>internationally,</w:t>
      </w:r>
      <w:r w:rsidR="00177848" w:rsidRPr="00C6052E">
        <w:t xml:space="preserve"> </w:t>
      </w:r>
      <w:r w:rsidRPr="00C6052E">
        <w:t>supported</w:t>
      </w:r>
      <w:r w:rsidR="00177848" w:rsidRPr="00C6052E">
        <w:t xml:space="preserve"> </w:t>
      </w:r>
      <w:r w:rsidRPr="00C6052E">
        <w:t>by</w:t>
      </w:r>
      <w:r w:rsidR="00177848" w:rsidRPr="00C6052E">
        <w:t xml:space="preserve"> </w:t>
      </w:r>
      <w:r w:rsidRPr="00C6052E">
        <w:t>the</w:t>
      </w:r>
      <w:r w:rsidR="00177848" w:rsidRPr="00C6052E">
        <w:t xml:space="preserve"> </w:t>
      </w:r>
      <w:r w:rsidRPr="00C6052E">
        <w:t>department’s</w:t>
      </w:r>
      <w:r w:rsidR="00177848" w:rsidRPr="00C6052E">
        <w:t xml:space="preserve"> </w:t>
      </w:r>
      <w:r w:rsidRPr="00C6052E">
        <w:t>network</w:t>
      </w:r>
      <w:r w:rsidR="00177848" w:rsidRPr="00C6052E">
        <w:t xml:space="preserve"> </w:t>
      </w:r>
      <w:r w:rsidRPr="00C6052E">
        <w:t>of</w:t>
      </w:r>
      <w:r w:rsidR="00177848" w:rsidRPr="00C6052E">
        <w:t xml:space="preserve"> </w:t>
      </w:r>
      <w:r w:rsidRPr="00C6052E">
        <w:t>23</w:t>
      </w:r>
      <w:r w:rsidR="00177848" w:rsidRPr="00C6052E">
        <w:t xml:space="preserve"> </w:t>
      </w:r>
      <w:r w:rsidRPr="00C6052E">
        <w:t>international</w:t>
      </w:r>
      <w:r w:rsidR="00177848" w:rsidRPr="00C6052E">
        <w:t xml:space="preserve"> </w:t>
      </w:r>
      <w:r w:rsidRPr="00C6052E">
        <w:t>trade</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offices.</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continues</w:t>
      </w:r>
      <w:r w:rsidR="00177848" w:rsidRPr="00C6052E">
        <w:t xml:space="preserve"> </w:t>
      </w:r>
      <w:r w:rsidRPr="00C6052E">
        <w:t>to</w:t>
      </w:r>
      <w:r w:rsidR="00177848" w:rsidRPr="00C6052E">
        <w:t xml:space="preserve"> </w:t>
      </w:r>
      <w:r w:rsidRPr="00C6052E">
        <w:t>support</w:t>
      </w:r>
      <w:r w:rsidR="00177848" w:rsidRPr="00C6052E">
        <w:t xml:space="preserve"> </w:t>
      </w:r>
      <w:r w:rsidRPr="00C6052E">
        <w:t>businesses</w:t>
      </w:r>
      <w:r w:rsidR="00177848" w:rsidRPr="00C6052E">
        <w:t xml:space="preserve"> </w:t>
      </w:r>
      <w:r w:rsidRPr="00C6052E">
        <w:t>growing</w:t>
      </w:r>
      <w:r w:rsidR="00177848" w:rsidRPr="00C6052E">
        <w:t xml:space="preserve"> </w:t>
      </w:r>
      <w:r w:rsidRPr="00C6052E">
        <w:t>their</w:t>
      </w:r>
      <w:r w:rsidR="00177848" w:rsidRPr="00C6052E">
        <w:t xml:space="preserve"> </w:t>
      </w:r>
      <w:r w:rsidRPr="00C6052E">
        <w:t>exports</w:t>
      </w:r>
      <w:r w:rsidR="00177848" w:rsidRPr="00C6052E">
        <w:t xml:space="preserve"> </w:t>
      </w:r>
      <w:r w:rsidRPr="00C6052E">
        <w:t>while</w:t>
      </w:r>
      <w:r w:rsidR="00177848" w:rsidRPr="00C6052E">
        <w:t xml:space="preserve"> </w:t>
      </w:r>
      <w:r w:rsidRPr="00C6052E">
        <w:t>navigating</w:t>
      </w:r>
      <w:r w:rsidR="00177848" w:rsidRPr="00C6052E">
        <w:t xml:space="preserve"> </w:t>
      </w:r>
      <w:r w:rsidRPr="00C6052E">
        <w:t>global</w:t>
      </w:r>
      <w:r w:rsidR="00177848" w:rsidRPr="00C6052E">
        <w:t xml:space="preserve"> </w:t>
      </w:r>
      <w:r w:rsidRPr="00C6052E">
        <w:t>trade</w:t>
      </w:r>
      <w:r w:rsidR="00177848" w:rsidRPr="00C6052E">
        <w:t xml:space="preserve"> </w:t>
      </w:r>
      <w:r w:rsidRPr="00C6052E">
        <w:t>uncertainty.</w:t>
      </w:r>
    </w:p>
    <w:p w14:paraId="5CF8E3AF" w14:textId="4323D353" w:rsidR="00EE5BB8" w:rsidRPr="00C6052E" w:rsidRDefault="00EE5BB8" w:rsidP="00EE5BB8">
      <w:pPr>
        <w:pStyle w:val="Heading3"/>
      </w:pPr>
      <w:r w:rsidRPr="00C6052E">
        <w:t>Indicator:</w:t>
      </w:r>
      <w:r w:rsidR="00177848" w:rsidRPr="00C6052E">
        <w:t xml:space="preserve"> </w:t>
      </w:r>
      <w:r w:rsidRPr="00C6052E">
        <w:t>Victoria’s</w:t>
      </w:r>
      <w:r w:rsidR="00177848" w:rsidRPr="00C6052E">
        <w:t xml:space="preserve"> </w:t>
      </w:r>
      <w:r w:rsidRPr="00C6052E">
        <w:t>share</w:t>
      </w:r>
      <w:r w:rsidR="00177848" w:rsidRPr="00C6052E">
        <w:t xml:space="preserve"> </w:t>
      </w:r>
      <w:r w:rsidRPr="00C6052E">
        <w:t>of</w:t>
      </w:r>
      <w:r w:rsidR="00177848" w:rsidRPr="00C6052E">
        <w:t xml:space="preserve"> </w:t>
      </w:r>
      <w:r w:rsidRPr="00C6052E">
        <w:t>international</w:t>
      </w:r>
      <w:r w:rsidR="00177848" w:rsidRPr="00C6052E">
        <w:t xml:space="preserve"> </w:t>
      </w:r>
      <w:r w:rsidRPr="00C6052E">
        <w:t>student</w:t>
      </w:r>
      <w:r w:rsidR="00177848" w:rsidRPr="00C6052E">
        <w:t xml:space="preserve"> </w:t>
      </w:r>
      <w:r w:rsidRPr="00C6052E">
        <w:t>enrolments</w:t>
      </w:r>
    </w:p>
    <w:p w14:paraId="53439FC4" w14:textId="6A0345A1" w:rsidR="00EE5BB8" w:rsidRPr="00C6052E" w:rsidRDefault="00EE5BB8" w:rsidP="00EE5BB8">
      <w:pPr>
        <w:pStyle w:val="TableHeading"/>
      </w:pPr>
      <w:r w:rsidRPr="00C6052E">
        <w:t>Table</w:t>
      </w:r>
      <w:r w:rsidR="00177848" w:rsidRPr="00C6052E">
        <w:t xml:space="preserve"> </w:t>
      </w:r>
      <w:r w:rsidRPr="00C6052E">
        <w:t>7:</w:t>
      </w:r>
      <w:r w:rsidR="00177848" w:rsidRPr="00C6052E">
        <w:t xml:space="preserve"> </w:t>
      </w:r>
      <w:r w:rsidRPr="00C6052E">
        <w:t>Victoria’s</w:t>
      </w:r>
      <w:r w:rsidR="00177848" w:rsidRPr="00C6052E">
        <w:t xml:space="preserve"> </w:t>
      </w:r>
      <w:r w:rsidRPr="00C6052E">
        <w:t>share</w:t>
      </w:r>
      <w:r w:rsidR="00177848" w:rsidRPr="00C6052E">
        <w:t xml:space="preserve"> </w:t>
      </w:r>
      <w:r w:rsidRPr="00C6052E">
        <w:t>of</w:t>
      </w:r>
      <w:r w:rsidR="00177848" w:rsidRPr="00C6052E">
        <w:t xml:space="preserve"> </w:t>
      </w:r>
      <w:r w:rsidRPr="00C6052E">
        <w:t>international</w:t>
      </w:r>
      <w:r w:rsidR="00177848" w:rsidRPr="00C6052E">
        <w:t xml:space="preserve"> </w:t>
      </w:r>
      <w:r w:rsidRPr="00C6052E">
        <w:t>student</w:t>
      </w:r>
      <w:r w:rsidR="00177848" w:rsidRPr="00C6052E">
        <w:t xml:space="preserve"> </w:t>
      </w:r>
      <w:r w:rsidRPr="00C6052E">
        <w:t>enrolments</w:t>
      </w:r>
    </w:p>
    <w:tbl>
      <w:tblPr>
        <w:tblStyle w:val="TableGrid"/>
        <w:tblW w:w="9634" w:type="dxa"/>
        <w:tblLayout w:type="fixed"/>
        <w:tblLook w:val="0060" w:firstRow="1" w:lastRow="1" w:firstColumn="0" w:lastColumn="0" w:noHBand="0" w:noVBand="0"/>
      </w:tblPr>
      <w:tblGrid>
        <w:gridCol w:w="4815"/>
        <w:gridCol w:w="1204"/>
        <w:gridCol w:w="1205"/>
        <w:gridCol w:w="1205"/>
        <w:gridCol w:w="1205"/>
      </w:tblGrid>
      <w:tr w:rsidR="00EE5BB8" w:rsidRPr="00C6052E" w14:paraId="150D989F" w14:textId="77777777" w:rsidTr="0063097D">
        <w:tc>
          <w:tcPr>
            <w:tcW w:w="4815" w:type="dxa"/>
          </w:tcPr>
          <w:p w14:paraId="64551152" w14:textId="62A1CF10" w:rsidR="00EE5BB8" w:rsidRPr="00C6052E" w:rsidRDefault="00EE5BB8" w:rsidP="0063097D">
            <w:pPr>
              <w:pStyle w:val="TableColumnHeading"/>
              <w:rPr>
                <w:lang w:val="en-AU"/>
              </w:rPr>
            </w:pPr>
            <w:bookmarkStart w:id="18" w:name="TableColumnHeadings_14"/>
            <w:bookmarkEnd w:id="18"/>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04" w:type="dxa"/>
          </w:tcPr>
          <w:p w14:paraId="2E865EF1" w14:textId="77777777" w:rsidR="00EE5BB8" w:rsidRPr="00C6052E" w:rsidRDefault="00EE5BB8" w:rsidP="0063097D">
            <w:pPr>
              <w:pStyle w:val="TableColumnHeading"/>
              <w:jc w:val="right"/>
              <w:rPr>
                <w:lang w:val="en-AU"/>
              </w:rPr>
            </w:pPr>
            <w:r w:rsidRPr="00C6052E">
              <w:rPr>
                <w:lang w:val="en-AU"/>
              </w:rPr>
              <w:t>2021–22</w:t>
            </w:r>
          </w:p>
        </w:tc>
        <w:tc>
          <w:tcPr>
            <w:tcW w:w="1205" w:type="dxa"/>
          </w:tcPr>
          <w:p w14:paraId="73F50975" w14:textId="77777777" w:rsidR="00EE5BB8" w:rsidRPr="00C6052E" w:rsidRDefault="00EE5BB8" w:rsidP="0063097D">
            <w:pPr>
              <w:pStyle w:val="TableColumnHeading"/>
              <w:jc w:val="right"/>
              <w:rPr>
                <w:lang w:val="en-AU"/>
              </w:rPr>
            </w:pPr>
            <w:r w:rsidRPr="00C6052E">
              <w:rPr>
                <w:lang w:val="en-AU"/>
              </w:rPr>
              <w:t>2022–23</w:t>
            </w:r>
          </w:p>
        </w:tc>
        <w:tc>
          <w:tcPr>
            <w:tcW w:w="1205" w:type="dxa"/>
          </w:tcPr>
          <w:p w14:paraId="1A78B967" w14:textId="77777777" w:rsidR="00EE5BB8" w:rsidRPr="00C6052E" w:rsidRDefault="00EE5BB8" w:rsidP="0063097D">
            <w:pPr>
              <w:pStyle w:val="TableColumnHeading"/>
              <w:jc w:val="right"/>
              <w:rPr>
                <w:lang w:val="en-AU"/>
              </w:rPr>
            </w:pPr>
            <w:r w:rsidRPr="00C6052E">
              <w:rPr>
                <w:lang w:val="en-AU"/>
              </w:rPr>
              <w:t>2023–24</w:t>
            </w:r>
          </w:p>
        </w:tc>
        <w:tc>
          <w:tcPr>
            <w:tcW w:w="1205" w:type="dxa"/>
          </w:tcPr>
          <w:p w14:paraId="246D6D7A"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262A980C" w14:textId="77777777" w:rsidTr="0063097D">
        <w:tc>
          <w:tcPr>
            <w:tcW w:w="4815" w:type="dxa"/>
          </w:tcPr>
          <w:p w14:paraId="45A4C130" w14:textId="7F4D8C98" w:rsidR="00EE5BB8" w:rsidRPr="00C6052E" w:rsidRDefault="00EE5BB8" w:rsidP="0063097D">
            <w:pPr>
              <w:pStyle w:val="TableCopy"/>
              <w:rPr>
                <w:lang w:val="en-AU"/>
              </w:rPr>
            </w:pPr>
            <w:r w:rsidRPr="00C6052E">
              <w:rPr>
                <w:lang w:val="en-AU"/>
              </w:rPr>
              <w:t>Victoria’s</w:t>
            </w:r>
            <w:r w:rsidR="00177848" w:rsidRPr="00C6052E">
              <w:rPr>
                <w:lang w:val="en-AU"/>
              </w:rPr>
              <w:t xml:space="preserve"> </w:t>
            </w: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all</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student</w:t>
            </w:r>
            <w:r w:rsidR="00177848" w:rsidRPr="00C6052E">
              <w:rPr>
                <w:lang w:val="en-AU"/>
              </w:rPr>
              <w:t xml:space="preserve"> </w:t>
            </w:r>
            <w:r w:rsidRPr="00C6052E">
              <w:rPr>
                <w:lang w:val="en-AU"/>
              </w:rPr>
              <w:t>enrolments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Australia*</w:t>
            </w:r>
            <w:r w:rsidR="00177848" w:rsidRPr="00C6052E">
              <w:rPr>
                <w:lang w:val="en-AU"/>
              </w:rPr>
              <w:t xml:space="preserve"> </w:t>
            </w:r>
            <w:r w:rsidRPr="00C6052E">
              <w:rPr>
                <w:lang w:val="en-AU"/>
              </w:rPr>
              <w:t>(per</w:t>
            </w:r>
            <w:r w:rsidR="00177848" w:rsidRPr="00C6052E">
              <w:rPr>
                <w:lang w:val="en-AU"/>
              </w:rPr>
              <w:t xml:space="preserve"> </w:t>
            </w:r>
            <w:r w:rsidRPr="00C6052E">
              <w:rPr>
                <w:lang w:val="en-AU"/>
              </w:rPr>
              <w:t>cent)</w:t>
            </w:r>
          </w:p>
        </w:tc>
        <w:tc>
          <w:tcPr>
            <w:tcW w:w="1204" w:type="dxa"/>
          </w:tcPr>
          <w:p w14:paraId="5C941578" w14:textId="77777777" w:rsidR="00EE5BB8" w:rsidRPr="00C6052E" w:rsidRDefault="00EE5BB8" w:rsidP="0063097D">
            <w:pPr>
              <w:pStyle w:val="TableCopy"/>
              <w:jc w:val="right"/>
              <w:rPr>
                <w:lang w:val="en-AU"/>
              </w:rPr>
            </w:pPr>
            <w:r w:rsidRPr="00C6052E">
              <w:rPr>
                <w:lang w:val="en-AU"/>
              </w:rPr>
              <w:t>31.7</w:t>
            </w:r>
          </w:p>
        </w:tc>
        <w:tc>
          <w:tcPr>
            <w:tcW w:w="1205" w:type="dxa"/>
          </w:tcPr>
          <w:p w14:paraId="38087DED" w14:textId="77777777" w:rsidR="00EE5BB8" w:rsidRPr="00C6052E" w:rsidRDefault="00EE5BB8" w:rsidP="0063097D">
            <w:pPr>
              <w:pStyle w:val="TableCopy"/>
              <w:jc w:val="right"/>
              <w:rPr>
                <w:lang w:val="en-AU"/>
              </w:rPr>
            </w:pPr>
            <w:r w:rsidRPr="00C6052E">
              <w:rPr>
                <w:lang w:val="en-AU"/>
              </w:rPr>
              <w:t>29.9</w:t>
            </w:r>
          </w:p>
        </w:tc>
        <w:tc>
          <w:tcPr>
            <w:tcW w:w="1205" w:type="dxa"/>
          </w:tcPr>
          <w:p w14:paraId="38D3C510" w14:textId="77777777" w:rsidR="00EE5BB8" w:rsidRPr="00C6052E" w:rsidRDefault="00EE5BB8" w:rsidP="0063097D">
            <w:pPr>
              <w:pStyle w:val="TableCopy"/>
              <w:jc w:val="right"/>
              <w:rPr>
                <w:lang w:val="en-AU"/>
              </w:rPr>
            </w:pPr>
            <w:r w:rsidRPr="00C6052E">
              <w:rPr>
                <w:lang w:val="en-AU"/>
              </w:rPr>
              <w:t>29.4</w:t>
            </w:r>
          </w:p>
        </w:tc>
        <w:tc>
          <w:tcPr>
            <w:tcW w:w="1205" w:type="dxa"/>
          </w:tcPr>
          <w:p w14:paraId="2F3BDA18" w14:textId="77777777" w:rsidR="00EE5BB8" w:rsidRPr="00C6052E" w:rsidRDefault="00EE5BB8" w:rsidP="0063097D">
            <w:pPr>
              <w:pStyle w:val="TableCopy"/>
              <w:jc w:val="right"/>
              <w:rPr>
                <w:lang w:val="en-AU"/>
              </w:rPr>
            </w:pPr>
            <w:r w:rsidRPr="00C6052E">
              <w:rPr>
                <w:lang w:val="en-AU"/>
              </w:rPr>
              <w:t>30.1</w:t>
            </w:r>
          </w:p>
        </w:tc>
      </w:tr>
    </w:tbl>
    <w:p w14:paraId="4B17C938" w14:textId="45B43090" w:rsidR="00EE5BB8" w:rsidRPr="00C6052E" w:rsidRDefault="00EE5BB8" w:rsidP="00EE5BB8">
      <w:pPr>
        <w:pStyle w:val="Tablenotes"/>
        <w:spacing w:after="240"/>
        <w:ind w:left="113" w:hanging="113"/>
      </w:pPr>
      <w:r w:rsidRPr="00C6052E">
        <w:t>*</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data</w:t>
      </w:r>
      <w:r w:rsidR="00177848" w:rsidRPr="00C6052E">
        <w:t xml:space="preserve"> </w:t>
      </w:r>
      <w:r w:rsidRPr="00C6052E">
        <w:t>on</w:t>
      </w:r>
      <w:r w:rsidR="00177848" w:rsidRPr="00C6052E">
        <w:t xml:space="preserve"> </w:t>
      </w:r>
      <w:r w:rsidRPr="00C6052E">
        <w:t>international</w:t>
      </w:r>
      <w:r w:rsidR="00177848" w:rsidRPr="00C6052E">
        <w:t xml:space="preserve"> </w:t>
      </w:r>
      <w:r w:rsidRPr="00C6052E">
        <w:t>student</w:t>
      </w:r>
      <w:r w:rsidR="00177848" w:rsidRPr="00C6052E">
        <w:t xml:space="preserve"> </w:t>
      </w:r>
      <w:r w:rsidRPr="00C6052E">
        <w:t>enrolments</w:t>
      </w:r>
      <w:r w:rsidR="00177848" w:rsidRPr="00C6052E">
        <w:t xml:space="preserve"> </w:t>
      </w:r>
      <w:r w:rsidRPr="00C6052E">
        <w:t>is</w:t>
      </w:r>
      <w:r w:rsidR="00177848" w:rsidRPr="00C6052E">
        <w:t xml:space="preserve"> </w:t>
      </w:r>
      <w:r w:rsidRPr="00C6052E">
        <w:t>not</w:t>
      </w:r>
      <w:r w:rsidR="00177848" w:rsidRPr="00C6052E">
        <w:t xml:space="preserve"> </w:t>
      </w:r>
      <w:r w:rsidRPr="00C6052E">
        <w:t>available.</w:t>
      </w:r>
      <w:r w:rsidR="00177848" w:rsidRPr="00C6052E">
        <w:t xml:space="preserve"> </w:t>
      </w:r>
      <w:r w:rsidRPr="00C6052E">
        <w:t>Figures</w:t>
      </w:r>
      <w:r w:rsidR="00177848" w:rsidRPr="00C6052E">
        <w:t xml:space="preserve"> </w:t>
      </w:r>
      <w:r w:rsidRPr="00C6052E">
        <w:t>in</w:t>
      </w:r>
      <w:r w:rsidR="00177848" w:rsidRPr="00C6052E">
        <w:t xml:space="preserve"> </w:t>
      </w:r>
      <w:r w:rsidRPr="00C6052E">
        <w:t>the</w:t>
      </w:r>
      <w:r w:rsidR="00177848" w:rsidRPr="00C6052E">
        <w:t xml:space="preserve"> </w:t>
      </w:r>
      <w:r w:rsidRPr="00C6052E">
        <w:t>table</w:t>
      </w:r>
      <w:r w:rsidR="00177848" w:rsidRPr="00C6052E">
        <w:t xml:space="preserve"> </w:t>
      </w:r>
      <w:r w:rsidRPr="00C6052E">
        <w:t>are</w:t>
      </w:r>
      <w:r w:rsidR="00177848" w:rsidRPr="00C6052E">
        <w:t xml:space="preserve"> </w:t>
      </w:r>
      <w:r w:rsidRPr="00C6052E">
        <w:t>calendar</w:t>
      </w:r>
      <w:r w:rsidR="00177848" w:rsidRPr="00C6052E">
        <w:t xml:space="preserve"> </w:t>
      </w:r>
      <w:r w:rsidRPr="00C6052E">
        <w:t>year</w:t>
      </w:r>
      <w:r w:rsidR="00177848" w:rsidRPr="00C6052E">
        <w:t xml:space="preserve"> </w:t>
      </w:r>
      <w:r w:rsidRPr="00C6052E">
        <w:t>data</w:t>
      </w:r>
      <w:r w:rsidR="00177848" w:rsidRPr="00C6052E">
        <w:t xml:space="preserve"> </w:t>
      </w:r>
      <w:r w:rsidRPr="00C6052E">
        <w:t>reflecting</w:t>
      </w:r>
      <w:r w:rsidR="00177848" w:rsidRPr="00C6052E">
        <w:t xml:space="preserve"> </w:t>
      </w:r>
      <w:r w:rsidRPr="00C6052E">
        <w:t>the</w:t>
      </w:r>
      <w:r w:rsidR="00177848" w:rsidRPr="00C6052E">
        <w:t xml:space="preserve"> </w:t>
      </w:r>
      <w:r w:rsidRPr="00C6052E">
        <w:t>academic</w:t>
      </w:r>
      <w:r w:rsidR="00177848" w:rsidRPr="00C6052E">
        <w:t xml:space="preserve"> </w:t>
      </w:r>
      <w:r w:rsidRPr="00C6052E">
        <w:t>year</w:t>
      </w:r>
      <w:r w:rsidR="00177848" w:rsidRPr="00C6052E">
        <w:t xml:space="preserve"> </w:t>
      </w:r>
      <w:r w:rsidRPr="00C6052E">
        <w:t>and</w:t>
      </w:r>
      <w:r w:rsidR="00177848" w:rsidRPr="00C6052E">
        <w:t xml:space="preserve"> </w:t>
      </w:r>
      <w:r w:rsidRPr="00C6052E">
        <w:t>capturing</w:t>
      </w:r>
      <w:r w:rsidR="00177848" w:rsidRPr="00C6052E">
        <w:t xml:space="preserve"> </w:t>
      </w:r>
      <w:r w:rsidRPr="00C6052E">
        <w:t>peaks</w:t>
      </w:r>
      <w:r w:rsidR="00177848" w:rsidRPr="00C6052E">
        <w:t xml:space="preserve"> </w:t>
      </w:r>
      <w:r w:rsidRPr="00C6052E">
        <w:t>and</w:t>
      </w:r>
      <w:r w:rsidR="00177848" w:rsidRPr="00C6052E">
        <w:t xml:space="preserve"> </w:t>
      </w:r>
      <w:r w:rsidRPr="00C6052E">
        <w:t>troughs</w:t>
      </w:r>
      <w:r w:rsidR="00177848" w:rsidRPr="00C6052E">
        <w:t xml:space="preserve"> </w:t>
      </w:r>
      <w:r w:rsidRPr="00C6052E">
        <w:t>of</w:t>
      </w:r>
      <w:r w:rsidR="00177848" w:rsidRPr="00C6052E">
        <w:t xml:space="preserve"> </w:t>
      </w:r>
      <w:r w:rsidRPr="00C6052E">
        <w:t>enrolment</w:t>
      </w:r>
      <w:r w:rsidR="00177848" w:rsidRPr="00C6052E">
        <w:t xml:space="preserve"> </w:t>
      </w:r>
      <w:r w:rsidRPr="00C6052E">
        <w:t>periods.</w:t>
      </w:r>
      <w:r w:rsidR="00177848" w:rsidRPr="00C6052E">
        <w:t xml:space="preserve"> </w:t>
      </w:r>
      <w:r w:rsidRPr="00C6052E">
        <w:t>Data</w:t>
      </w:r>
      <w:r w:rsidR="00177848" w:rsidRPr="00C6052E">
        <w:t xml:space="preserve"> </w:t>
      </w:r>
      <w:r w:rsidRPr="00C6052E">
        <w:t>includes</w:t>
      </w:r>
      <w:r w:rsidR="00177848" w:rsidRPr="00C6052E">
        <w:t xml:space="preserve"> </w:t>
      </w:r>
      <w:r w:rsidRPr="00C6052E">
        <w:t>student</w:t>
      </w:r>
      <w:r w:rsidR="00177848" w:rsidRPr="00C6052E">
        <w:t xml:space="preserve"> </w:t>
      </w:r>
      <w:r w:rsidRPr="00C6052E">
        <w:t>visa</w:t>
      </w:r>
      <w:r w:rsidR="00177848" w:rsidRPr="00C6052E">
        <w:t xml:space="preserve"> </w:t>
      </w:r>
      <w:r w:rsidRPr="00C6052E">
        <w:t>holders</w:t>
      </w:r>
      <w:r w:rsidR="00177848" w:rsidRPr="00C6052E">
        <w:t xml:space="preserve"> </w:t>
      </w:r>
      <w:r w:rsidRPr="00C6052E">
        <w:t>enrolled</w:t>
      </w:r>
      <w:r w:rsidR="00177848" w:rsidRPr="00C6052E">
        <w:t xml:space="preserve"> </w:t>
      </w:r>
      <w:r w:rsidRPr="00C6052E">
        <w:t>onshore</w:t>
      </w:r>
      <w:r w:rsidR="00177848" w:rsidRPr="00C6052E">
        <w:t xml:space="preserve"> </w:t>
      </w:r>
      <w:r w:rsidRPr="00C6052E">
        <w:t>and</w:t>
      </w:r>
      <w:r w:rsidR="00177848" w:rsidRPr="00C6052E">
        <w:t xml:space="preserve"> </w:t>
      </w:r>
      <w:r w:rsidRPr="00C6052E">
        <w:t>offshore.</w:t>
      </w:r>
    </w:p>
    <w:p w14:paraId="6A8F4068" w14:textId="6D72C7BC" w:rsidR="00EE5BB8" w:rsidRPr="00C6052E" w:rsidRDefault="00EE5BB8" w:rsidP="00EE5BB8">
      <w:pPr>
        <w:pStyle w:val="TableHeading"/>
      </w:pPr>
      <w:r w:rsidRPr="00C6052E">
        <w:t>Figure</w:t>
      </w:r>
      <w:r w:rsidR="00177848" w:rsidRPr="00C6052E">
        <w:t xml:space="preserve"> </w:t>
      </w:r>
      <w:r w:rsidRPr="00C6052E">
        <w:t>5:</w:t>
      </w:r>
      <w:r w:rsidR="00177848" w:rsidRPr="00C6052E">
        <w:t xml:space="preserve"> </w:t>
      </w:r>
      <w:r w:rsidRPr="00C6052E">
        <w:t>Victoria’s</w:t>
      </w:r>
      <w:r w:rsidR="00177848" w:rsidRPr="00C6052E">
        <w:t xml:space="preserve"> </w:t>
      </w:r>
      <w:r w:rsidRPr="00C6052E">
        <w:t>proportion</w:t>
      </w:r>
      <w:r w:rsidR="00177848" w:rsidRPr="00C6052E">
        <w:t xml:space="preserve"> </w:t>
      </w:r>
      <w:r w:rsidRPr="00C6052E">
        <w:t>of</w:t>
      </w:r>
      <w:r w:rsidR="00177848" w:rsidRPr="00C6052E">
        <w:t xml:space="preserve"> </w:t>
      </w:r>
      <w:r w:rsidRPr="00C6052E">
        <w:t>all</w:t>
      </w:r>
      <w:r w:rsidR="00177848" w:rsidRPr="00C6052E">
        <w:t xml:space="preserve"> </w:t>
      </w:r>
      <w:r w:rsidRPr="00C6052E">
        <w:t>international</w:t>
      </w:r>
      <w:r w:rsidR="00177848" w:rsidRPr="00C6052E">
        <w:t xml:space="preserve"> </w:t>
      </w:r>
      <w:r w:rsidRPr="00C6052E">
        <w:t>student</w:t>
      </w:r>
      <w:r w:rsidR="00177848" w:rsidRPr="00C6052E">
        <w:t xml:space="preserve"> </w:t>
      </w:r>
      <w:r w:rsidRPr="00C6052E">
        <w:t>enrolments</w:t>
      </w:r>
      <w:r w:rsidR="00177848" w:rsidRPr="00C6052E">
        <w:t xml:space="preserve"> </w:t>
      </w:r>
      <w:r w:rsidRPr="00C6052E">
        <w:t>in</w:t>
      </w:r>
      <w:r w:rsidR="00177848" w:rsidRPr="00C6052E">
        <w:t xml:space="preserve"> </w:t>
      </w:r>
      <w:r w:rsidRPr="00C6052E">
        <w:t>Australia</w:t>
      </w:r>
    </w:p>
    <w:p w14:paraId="14A6D889" w14:textId="77777777" w:rsidR="00EE5BB8" w:rsidRPr="00C6052E" w:rsidRDefault="00EE5BB8" w:rsidP="00EE5BB8">
      <w:pPr>
        <w:pStyle w:val="Graph"/>
        <w:rPr>
          <w:noProof w:val="0"/>
        </w:rPr>
      </w:pPr>
      <w:r w:rsidRPr="00C6052E">
        <w:drawing>
          <wp:inline distT="0" distB="0" distL="0" distR="0" wp14:anchorId="4218AD22" wp14:editId="4AD950A7">
            <wp:extent cx="4050000" cy="2700000"/>
            <wp:effectExtent l="0" t="0" r="0" b="0"/>
            <wp:docPr id="821903752" name="Chart 1" descr="Line graph showing data from Table 7: Victoria’s share of international student enrolments (above).">
              <a:extLst xmlns:a="http://schemas.openxmlformats.org/drawingml/2006/main">
                <a:ext uri="{FF2B5EF4-FFF2-40B4-BE49-F238E27FC236}">
                  <a16:creationId xmlns:a16="http://schemas.microsoft.com/office/drawing/2014/main" id="{00000000-0008-0000-0600-000008000000}"/>
                </a:ext>
                <a:ext uri="{147F2762-F138-4A5C-976F-8EAC2B608ADB}">
                  <a16:predDERef xmlns:a16="http://schemas.microsoft.com/office/drawing/2014/main" pred="{00000000-0008-0000-06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CDB1D2" w14:textId="43C58086" w:rsidR="00EE5BB8" w:rsidRPr="00C6052E" w:rsidRDefault="00EE5BB8" w:rsidP="00EE5BB8">
      <w:r w:rsidRPr="00C6052E">
        <w:lastRenderedPageBreak/>
        <w:t>Victorian</w:t>
      </w:r>
      <w:r w:rsidR="00177848" w:rsidRPr="00C6052E">
        <w:t xml:space="preserve"> </w:t>
      </w:r>
      <w:r w:rsidRPr="00C6052E">
        <w:t>international</w:t>
      </w:r>
      <w:r w:rsidR="00177848" w:rsidRPr="00C6052E">
        <w:t xml:space="preserve"> </w:t>
      </w:r>
      <w:r w:rsidRPr="00C6052E">
        <w:t>enrolments</w:t>
      </w:r>
      <w:r w:rsidR="00177848" w:rsidRPr="00C6052E">
        <w:t xml:space="preserve"> </w:t>
      </w:r>
      <w:r w:rsidRPr="00C6052E">
        <w:t>continued</w:t>
      </w:r>
      <w:r w:rsidR="00177848" w:rsidRPr="00C6052E">
        <w:t xml:space="preserve"> </w:t>
      </w:r>
      <w:r w:rsidRPr="00C6052E">
        <w:t>to</w:t>
      </w:r>
      <w:r w:rsidR="00177848" w:rsidRPr="00C6052E">
        <w:t xml:space="preserve"> </w:t>
      </w:r>
      <w:r w:rsidRPr="00C6052E">
        <w:t>experience</w:t>
      </w:r>
      <w:r w:rsidR="00177848" w:rsidRPr="00C6052E">
        <w:t xml:space="preserve"> </w:t>
      </w:r>
      <w:r w:rsidRPr="00C6052E">
        <w:t>strong</w:t>
      </w:r>
      <w:r w:rsidR="00177848" w:rsidRPr="00C6052E">
        <w:t xml:space="preserve"> </w:t>
      </w:r>
      <w:r w:rsidRPr="00C6052E">
        <w:t>growth</w:t>
      </w:r>
      <w:r w:rsidR="00177848" w:rsidRPr="00C6052E">
        <w:t xml:space="preserve"> </w:t>
      </w:r>
      <w:r w:rsidRPr="00C6052E">
        <w:t>in</w:t>
      </w:r>
      <w:r w:rsidR="00177848" w:rsidRPr="00C6052E">
        <w:t xml:space="preserve"> </w:t>
      </w:r>
      <w:r w:rsidRPr="00C6052E">
        <w:t>2024,</w:t>
      </w:r>
      <w:r w:rsidR="00177848" w:rsidRPr="00C6052E">
        <w:t xml:space="preserve"> </w:t>
      </w:r>
      <w:r w:rsidRPr="00C6052E">
        <w:t>demonstrating</w:t>
      </w:r>
      <w:r w:rsidR="00177848" w:rsidRPr="00C6052E">
        <w:t xml:space="preserve"> </w:t>
      </w:r>
      <w:r w:rsidRPr="00C6052E">
        <w:t>the</w:t>
      </w:r>
      <w:r w:rsidR="00177848" w:rsidRPr="00C6052E">
        <w:t xml:space="preserve"> </w:t>
      </w:r>
      <w:r w:rsidRPr="00C6052E">
        <w:t>sustained</w:t>
      </w:r>
      <w:r w:rsidR="00177848" w:rsidRPr="00C6052E">
        <w:t xml:space="preserve"> </w:t>
      </w:r>
      <w:r w:rsidRPr="00C6052E">
        <w:t>demand</w:t>
      </w:r>
      <w:r w:rsidR="00177848" w:rsidRPr="00C6052E">
        <w:t xml:space="preserve"> </w:t>
      </w:r>
      <w:r w:rsidRPr="00C6052E">
        <w:t>for</w:t>
      </w:r>
      <w:r w:rsidR="00177848" w:rsidRPr="00C6052E">
        <w:t xml:space="preserve"> </w:t>
      </w:r>
      <w:r w:rsidRPr="00C6052E">
        <w:t>Victoria’s</w:t>
      </w:r>
      <w:r w:rsidR="00177848" w:rsidRPr="00C6052E">
        <w:t xml:space="preserve"> </w:t>
      </w:r>
      <w:r w:rsidRPr="00C6052E">
        <w:t>world-class</w:t>
      </w:r>
      <w:r w:rsidR="00177848" w:rsidRPr="00C6052E">
        <w:t xml:space="preserve"> </w:t>
      </w:r>
      <w:r w:rsidRPr="00C6052E">
        <w:t>education</w:t>
      </w:r>
      <w:r w:rsidR="00177848" w:rsidRPr="00C6052E">
        <w:t xml:space="preserve"> </w:t>
      </w:r>
      <w:r w:rsidRPr="00C6052E">
        <w:t>offering</w:t>
      </w:r>
      <w:r w:rsidR="00177848" w:rsidRPr="00C6052E">
        <w:t xml:space="preserve"> </w:t>
      </w:r>
      <w:r w:rsidRPr="00C6052E">
        <w:t>and</w:t>
      </w:r>
      <w:r w:rsidR="00177848" w:rsidRPr="00C6052E">
        <w:t xml:space="preserve"> </w:t>
      </w:r>
      <w:r w:rsidRPr="00C6052E">
        <w:t>reputation</w:t>
      </w:r>
      <w:r w:rsidR="00177848" w:rsidRPr="00C6052E">
        <w:t xml:space="preserve"> </w:t>
      </w:r>
      <w:r w:rsidRPr="00C6052E">
        <w:t>as</w:t>
      </w:r>
      <w:r w:rsidR="00177848" w:rsidRPr="00C6052E">
        <w:t xml:space="preserve"> </w:t>
      </w:r>
      <w:r w:rsidRPr="00C6052E">
        <w:t>Australia’s</w:t>
      </w:r>
      <w:r w:rsidR="00177848" w:rsidRPr="00C6052E">
        <w:t xml:space="preserve"> </w:t>
      </w:r>
      <w:r w:rsidRPr="00C6052E">
        <w:t>best</w:t>
      </w:r>
      <w:r w:rsidR="00177848" w:rsidRPr="00C6052E">
        <w:t xml:space="preserve"> </w:t>
      </w:r>
      <w:r w:rsidRPr="00C6052E">
        <w:t>student</w:t>
      </w:r>
      <w:r w:rsidR="00177848" w:rsidRPr="00C6052E">
        <w:t xml:space="preserve"> </w:t>
      </w:r>
      <w:r w:rsidRPr="00C6052E">
        <w:t>city.</w:t>
      </w:r>
      <w:r w:rsidR="00177848" w:rsidRPr="00C6052E">
        <w:t xml:space="preserve"> </w:t>
      </w:r>
      <w:r w:rsidRPr="00C6052E">
        <w:t>In</w:t>
      </w:r>
      <w:r w:rsidR="00177848" w:rsidRPr="00C6052E">
        <w:t xml:space="preserve"> </w:t>
      </w:r>
      <w:r w:rsidRPr="00C6052E">
        <w:t>2024,</w:t>
      </w:r>
      <w:r w:rsidR="00177848" w:rsidRPr="00C6052E">
        <w:t xml:space="preserve"> </w:t>
      </w:r>
      <w:r w:rsidRPr="00C6052E">
        <w:t>Victoria</w:t>
      </w:r>
      <w:r w:rsidR="00177848" w:rsidRPr="00C6052E">
        <w:t xml:space="preserve"> </w:t>
      </w:r>
      <w:r w:rsidRPr="00C6052E">
        <w:t>also</w:t>
      </w:r>
      <w:r w:rsidR="00177848" w:rsidRPr="00C6052E">
        <w:t xml:space="preserve"> </w:t>
      </w:r>
      <w:r w:rsidRPr="00C6052E">
        <w:t>increased</w:t>
      </w:r>
      <w:r w:rsidR="00177848" w:rsidRPr="00C6052E">
        <w:t xml:space="preserve"> </w:t>
      </w:r>
      <w:r w:rsidRPr="00C6052E">
        <w:t>its</w:t>
      </w:r>
      <w:r w:rsidR="00177848" w:rsidRPr="00C6052E">
        <w:t xml:space="preserve"> </w:t>
      </w:r>
      <w:r w:rsidRPr="00C6052E">
        <w:t>market</w:t>
      </w:r>
      <w:r w:rsidR="00177848" w:rsidRPr="00C6052E">
        <w:t xml:space="preserve"> </w:t>
      </w:r>
      <w:r w:rsidRPr="00C6052E">
        <w:t>share</w:t>
      </w:r>
      <w:r w:rsidR="00177848" w:rsidRPr="00C6052E">
        <w:t xml:space="preserve"> </w:t>
      </w:r>
      <w:r w:rsidRPr="00C6052E">
        <w:t>by</w:t>
      </w:r>
      <w:r w:rsidR="00177848" w:rsidRPr="00C6052E">
        <w:t xml:space="preserve"> </w:t>
      </w:r>
      <w:r w:rsidRPr="00C6052E">
        <w:t>gaining</w:t>
      </w:r>
      <w:r w:rsidR="00177848" w:rsidRPr="00C6052E">
        <w:t xml:space="preserve"> </w:t>
      </w:r>
      <w:r w:rsidRPr="00C6052E">
        <w:t>0.7%</w:t>
      </w:r>
      <w:r w:rsidR="00177848" w:rsidRPr="00C6052E">
        <w:t xml:space="preserve"> </w:t>
      </w:r>
      <w:r w:rsidRPr="00C6052E">
        <w:t>of</w:t>
      </w:r>
      <w:r w:rsidR="00177848" w:rsidRPr="00C6052E">
        <w:t xml:space="preserve"> </w:t>
      </w:r>
      <w:r w:rsidRPr="00C6052E">
        <w:t>Australian</w:t>
      </w:r>
      <w:r w:rsidR="00177848" w:rsidRPr="00C6052E">
        <w:t xml:space="preserve"> </w:t>
      </w:r>
      <w:r w:rsidRPr="00C6052E">
        <w:t>international</w:t>
      </w:r>
      <w:r w:rsidR="00177848" w:rsidRPr="00C6052E">
        <w:t xml:space="preserve"> </w:t>
      </w:r>
      <w:r w:rsidRPr="00C6052E">
        <w:t>enrolments,</w:t>
      </w:r>
      <w:r w:rsidR="00177848" w:rsidRPr="00C6052E">
        <w:t xml:space="preserve"> </w:t>
      </w:r>
      <w:r w:rsidRPr="00C6052E">
        <w:t>accounting</w:t>
      </w:r>
      <w:r w:rsidR="00177848" w:rsidRPr="00C6052E">
        <w:t xml:space="preserve"> </w:t>
      </w:r>
      <w:r w:rsidRPr="00C6052E">
        <w:t>for</w:t>
      </w:r>
      <w:r w:rsidR="00177848" w:rsidRPr="00C6052E">
        <w:t xml:space="preserve"> </w:t>
      </w:r>
      <w:r w:rsidRPr="00C6052E">
        <w:t>30.1%</w:t>
      </w:r>
      <w:r w:rsidR="00177848" w:rsidRPr="00C6052E">
        <w:t xml:space="preserve"> </w:t>
      </w:r>
      <w:r w:rsidRPr="00C6052E">
        <w:t>of</w:t>
      </w:r>
      <w:r w:rsidR="00177848" w:rsidRPr="00C6052E">
        <w:t xml:space="preserve"> </w:t>
      </w:r>
      <w:r w:rsidRPr="00C6052E">
        <w:t>all</w:t>
      </w:r>
      <w:r w:rsidR="00177848" w:rsidRPr="00C6052E">
        <w:t xml:space="preserve"> </w:t>
      </w:r>
      <w:r w:rsidRPr="00C6052E">
        <w:t>international</w:t>
      </w:r>
      <w:r w:rsidR="00177848" w:rsidRPr="00C6052E">
        <w:t xml:space="preserve"> </w:t>
      </w:r>
      <w:r w:rsidRPr="00C6052E">
        <w:t>enrolments</w:t>
      </w:r>
      <w:r w:rsidR="00177848" w:rsidRPr="00C6052E">
        <w:t xml:space="preserve"> </w:t>
      </w:r>
      <w:r w:rsidRPr="00C6052E">
        <w:t>nationally.</w:t>
      </w:r>
      <w:r w:rsidR="00177848" w:rsidRPr="00C6052E">
        <w:t xml:space="preserve"> </w:t>
      </w:r>
      <w:r w:rsidRPr="00C6052E">
        <w:t>This</w:t>
      </w:r>
      <w:r w:rsidR="00177848" w:rsidRPr="00C6052E">
        <w:t xml:space="preserve"> </w:t>
      </w:r>
      <w:r w:rsidRPr="00C6052E">
        <w:t>was</w:t>
      </w:r>
      <w:r w:rsidR="00177848" w:rsidRPr="00C6052E">
        <w:t xml:space="preserve"> </w:t>
      </w:r>
      <w:r w:rsidRPr="00C6052E">
        <w:t>an</w:t>
      </w:r>
      <w:r w:rsidR="00177848" w:rsidRPr="00C6052E">
        <w:t xml:space="preserve"> </w:t>
      </w:r>
      <w:r w:rsidRPr="00C6052E">
        <w:t>improvement</w:t>
      </w:r>
      <w:r w:rsidR="00177848" w:rsidRPr="00C6052E">
        <w:t xml:space="preserve"> </w:t>
      </w:r>
      <w:r w:rsidRPr="00C6052E">
        <w:t>on</w:t>
      </w:r>
      <w:r w:rsidR="00177848" w:rsidRPr="00C6052E">
        <w:t xml:space="preserve"> </w:t>
      </w:r>
      <w:r w:rsidRPr="00C6052E">
        <w:t>29.4%</w:t>
      </w:r>
      <w:r w:rsidR="00177848" w:rsidRPr="00C6052E">
        <w:t xml:space="preserve"> </w:t>
      </w:r>
      <w:r w:rsidRPr="00C6052E">
        <w:t>market</w:t>
      </w:r>
      <w:r w:rsidR="00177848" w:rsidRPr="00C6052E">
        <w:t xml:space="preserve"> </w:t>
      </w:r>
      <w:r w:rsidRPr="00C6052E">
        <w:t>share</w:t>
      </w:r>
      <w:r w:rsidR="00177848" w:rsidRPr="00C6052E">
        <w:t xml:space="preserve"> </w:t>
      </w:r>
      <w:r w:rsidRPr="00C6052E">
        <w:t>in</w:t>
      </w:r>
      <w:r w:rsidR="00177848" w:rsidRPr="00C6052E">
        <w:t xml:space="preserve"> </w:t>
      </w:r>
      <w:r w:rsidRPr="00C6052E">
        <w:t>2023.</w:t>
      </w:r>
    </w:p>
    <w:p w14:paraId="712BAC03" w14:textId="374A0651" w:rsidR="00EE5BB8" w:rsidRPr="00C6052E" w:rsidRDefault="00EE5BB8" w:rsidP="00EE5BB8">
      <w:r w:rsidRPr="00C6052E">
        <w:t>International</w:t>
      </w:r>
      <w:r w:rsidR="00177848" w:rsidRPr="00C6052E">
        <w:t xml:space="preserve"> </w:t>
      </w:r>
      <w:r w:rsidRPr="00C6052E">
        <w:t>education</w:t>
      </w:r>
      <w:r w:rsidR="00177848" w:rsidRPr="00C6052E">
        <w:t xml:space="preserve"> </w:t>
      </w:r>
      <w:r w:rsidRPr="00C6052E">
        <w:t>remained</w:t>
      </w:r>
      <w:r w:rsidR="00177848" w:rsidRPr="00C6052E">
        <w:t xml:space="preserve"> </w:t>
      </w:r>
      <w:r w:rsidRPr="00C6052E">
        <w:t>Victoria’s</w:t>
      </w:r>
      <w:r w:rsidR="00177848" w:rsidRPr="00C6052E">
        <w:t xml:space="preserve"> </w:t>
      </w:r>
      <w:r w:rsidRPr="00C6052E">
        <w:t>largest</w:t>
      </w:r>
      <w:r w:rsidR="00177848" w:rsidRPr="00C6052E">
        <w:t xml:space="preserve"> </w:t>
      </w:r>
      <w:r w:rsidRPr="00C6052E">
        <w:t>single</w:t>
      </w:r>
      <w:r w:rsidR="00177848" w:rsidRPr="00C6052E">
        <w:t xml:space="preserve"> </w:t>
      </w:r>
      <w:r w:rsidRPr="00C6052E">
        <w:t>export</w:t>
      </w:r>
      <w:r w:rsidR="00177848" w:rsidRPr="00C6052E">
        <w:t xml:space="preserve"> </w:t>
      </w:r>
      <w:r w:rsidRPr="00C6052E">
        <w:t>and</w:t>
      </w:r>
      <w:r w:rsidR="00177848" w:rsidRPr="00C6052E">
        <w:t xml:space="preserve"> </w:t>
      </w:r>
      <w:r w:rsidRPr="00C6052E">
        <w:t>largest</w:t>
      </w:r>
      <w:r w:rsidR="00177848" w:rsidRPr="00C6052E">
        <w:t xml:space="preserve"> </w:t>
      </w:r>
      <w:r w:rsidRPr="00C6052E">
        <w:t>services</w:t>
      </w:r>
      <w:r w:rsidR="00177848" w:rsidRPr="00C6052E">
        <w:t xml:space="preserve"> </w:t>
      </w:r>
      <w:r w:rsidRPr="00C6052E">
        <w:t>export</w:t>
      </w:r>
      <w:r w:rsidR="00177848" w:rsidRPr="00C6052E">
        <w:t xml:space="preserve"> </w:t>
      </w:r>
      <w:r w:rsidRPr="00C6052E">
        <w:t>in</w:t>
      </w:r>
      <w:r w:rsidR="00177848" w:rsidRPr="00C6052E">
        <w:t xml:space="preserve"> </w:t>
      </w:r>
      <w:r w:rsidRPr="00C6052E">
        <w:t>2024,</w:t>
      </w:r>
      <w:r w:rsidR="00177848" w:rsidRPr="00C6052E">
        <w:t xml:space="preserve"> </w:t>
      </w:r>
      <w:r w:rsidRPr="00C6052E">
        <w:t>growing</w:t>
      </w:r>
      <w:r w:rsidR="00177848" w:rsidRPr="00C6052E">
        <w:t xml:space="preserve"> </w:t>
      </w:r>
      <w:r w:rsidRPr="00C6052E">
        <w:t>by</w:t>
      </w:r>
      <w:r w:rsidR="00177848" w:rsidRPr="00C6052E">
        <w:t xml:space="preserve"> </w:t>
      </w:r>
      <w:r w:rsidRPr="00C6052E">
        <w:t>7.5%</w:t>
      </w:r>
      <w:r w:rsidR="00177848" w:rsidRPr="00C6052E">
        <w:t xml:space="preserve"> </w:t>
      </w:r>
      <w:r w:rsidRPr="00C6052E">
        <w:t>on</w:t>
      </w:r>
      <w:r w:rsidR="00177848" w:rsidRPr="00C6052E">
        <w:t xml:space="preserve"> </w:t>
      </w:r>
      <w:r w:rsidRPr="00C6052E">
        <w:t>2023</w:t>
      </w:r>
      <w:r w:rsidR="00177848" w:rsidRPr="00C6052E">
        <w:t xml:space="preserve"> </w:t>
      </w:r>
      <w:r w:rsidRPr="00C6052E">
        <w:t>to</w:t>
      </w:r>
      <w:r w:rsidR="00177848" w:rsidRPr="00C6052E">
        <w:t xml:space="preserve"> </w:t>
      </w:r>
      <w:r w:rsidRPr="00C6052E">
        <w:t>a</w:t>
      </w:r>
      <w:r w:rsidR="00177848" w:rsidRPr="00C6052E">
        <w:t xml:space="preserve"> </w:t>
      </w:r>
      <w:r w:rsidRPr="00C6052E">
        <w:t>value</w:t>
      </w:r>
      <w:r w:rsidR="00177848" w:rsidRPr="00C6052E">
        <w:t xml:space="preserve"> </w:t>
      </w:r>
      <w:r w:rsidRPr="00C6052E">
        <w:t>of</w:t>
      </w:r>
      <w:r w:rsidR="00177848" w:rsidRPr="00C6052E">
        <w:t xml:space="preserve"> </w:t>
      </w:r>
      <w:r w:rsidRPr="00C6052E">
        <w:t>$15.9</w:t>
      </w:r>
      <w:r w:rsidR="00177848" w:rsidRPr="00C6052E">
        <w:t xml:space="preserve"> </w:t>
      </w:r>
      <w:r w:rsidRPr="00C6052E">
        <w:t>billion.</w:t>
      </w:r>
      <w:r w:rsidR="00177848" w:rsidRPr="00C6052E">
        <w:t xml:space="preserve"> </w:t>
      </w:r>
      <w:r w:rsidRPr="00C6052E">
        <w:t>The</w:t>
      </w:r>
      <w:r w:rsidR="00177848" w:rsidRPr="00C6052E">
        <w:t xml:space="preserve"> </w:t>
      </w:r>
      <w:r w:rsidRPr="00C6052E">
        <w:t>sector</w:t>
      </w:r>
      <w:r w:rsidR="00177848" w:rsidRPr="00C6052E">
        <w:t xml:space="preserve"> </w:t>
      </w:r>
      <w:r w:rsidRPr="00C6052E">
        <w:t>supported</w:t>
      </w:r>
      <w:r w:rsidR="00177848" w:rsidRPr="00C6052E">
        <w:t xml:space="preserve"> </w:t>
      </w:r>
      <w:r w:rsidRPr="00C6052E">
        <w:t>around</w:t>
      </w:r>
      <w:r w:rsidR="00177848" w:rsidRPr="00C6052E">
        <w:t xml:space="preserve"> </w:t>
      </w:r>
      <w:r w:rsidRPr="00C6052E">
        <w:t>64,000</w:t>
      </w:r>
      <w:r w:rsidR="00177848" w:rsidRPr="00C6052E">
        <w:t xml:space="preserve"> </w:t>
      </w:r>
      <w:r w:rsidRPr="00C6052E">
        <w:t>Victorian</w:t>
      </w:r>
      <w:r w:rsidR="00177848" w:rsidRPr="00C6052E">
        <w:t xml:space="preserve"> </w:t>
      </w:r>
      <w:r w:rsidRPr="00C6052E">
        <w:t>jobs</w:t>
      </w:r>
      <w:r w:rsidR="00177848" w:rsidRPr="00C6052E">
        <w:t xml:space="preserve"> </w:t>
      </w:r>
      <w:r w:rsidRPr="00C6052E">
        <w:t>in</w:t>
      </w:r>
      <w:r w:rsidR="00177848" w:rsidRPr="00C6052E">
        <w:t xml:space="preserve"> </w:t>
      </w:r>
      <w:r w:rsidRPr="00C6052E">
        <w:t>2024,</w:t>
      </w:r>
      <w:r w:rsidR="00177848" w:rsidRPr="00C6052E">
        <w:t xml:space="preserve"> </w:t>
      </w:r>
      <w:r w:rsidRPr="00C6052E">
        <w:t>an</w:t>
      </w:r>
      <w:r w:rsidR="00177848" w:rsidRPr="00C6052E">
        <w:t xml:space="preserve"> </w:t>
      </w:r>
      <w:r w:rsidRPr="00C6052E">
        <w:t>increase</w:t>
      </w:r>
      <w:r w:rsidR="00177848" w:rsidRPr="00C6052E">
        <w:t xml:space="preserve"> </w:t>
      </w:r>
      <w:r w:rsidRPr="00C6052E">
        <w:t>of</w:t>
      </w:r>
      <w:r w:rsidR="00177848" w:rsidRPr="00C6052E">
        <w:t xml:space="preserve"> </w:t>
      </w:r>
      <w:r w:rsidRPr="00C6052E">
        <w:t>5%</w:t>
      </w:r>
      <w:r w:rsidR="00177848" w:rsidRPr="00C6052E">
        <w:t xml:space="preserve"> </w:t>
      </w:r>
      <w:r w:rsidRPr="00C6052E">
        <w:t>on</w:t>
      </w:r>
      <w:r w:rsidR="00177848" w:rsidRPr="00C6052E">
        <w:t xml:space="preserve"> </w:t>
      </w:r>
      <w:r w:rsidRPr="00C6052E">
        <w:t>2023.</w:t>
      </w:r>
    </w:p>
    <w:p w14:paraId="3372F06B" w14:textId="5420A268" w:rsidR="00EE5BB8" w:rsidRPr="00C6052E" w:rsidRDefault="00EE5BB8" w:rsidP="00EE5BB8">
      <w:r w:rsidRPr="00C6052E">
        <w:t>Reflecting</w:t>
      </w:r>
      <w:r w:rsidR="00177848" w:rsidRPr="00C6052E">
        <w:t xml:space="preserve"> </w:t>
      </w:r>
      <w:r w:rsidRPr="00C6052E">
        <w:t>the</w:t>
      </w:r>
      <w:r w:rsidR="00177848" w:rsidRPr="00C6052E">
        <w:t xml:space="preserve"> </w:t>
      </w:r>
      <w:r w:rsidRPr="00C6052E">
        <w:t>successful</w:t>
      </w:r>
      <w:r w:rsidR="00177848" w:rsidRPr="00C6052E">
        <w:t xml:space="preserve"> </w:t>
      </w:r>
      <w:r w:rsidRPr="00C6052E">
        <w:t>implementation</w:t>
      </w:r>
      <w:r w:rsidR="00177848" w:rsidRPr="00C6052E">
        <w:t xml:space="preserve"> </w:t>
      </w:r>
      <w:r w:rsidRPr="00C6052E">
        <w:t>and</w:t>
      </w:r>
      <w:r w:rsidR="00177848" w:rsidRPr="00C6052E">
        <w:t xml:space="preserve"> </w:t>
      </w:r>
      <w:r w:rsidRPr="00C6052E">
        <w:t>delivery</w:t>
      </w:r>
      <w:r w:rsidR="00177848" w:rsidRPr="00C6052E">
        <w:t xml:space="preserve"> </w:t>
      </w:r>
      <w:r w:rsidRPr="00C6052E">
        <w:t>of</w:t>
      </w:r>
      <w:r w:rsidR="00177848" w:rsidRPr="00C6052E">
        <w:t xml:space="preserve"> </w:t>
      </w:r>
      <w:r w:rsidRPr="00C6052E">
        <w:t>initiatives</w:t>
      </w:r>
      <w:r w:rsidR="00177848" w:rsidRPr="00C6052E">
        <w:t xml:space="preserve"> </w:t>
      </w:r>
      <w:r w:rsidRPr="00C6052E">
        <w:t>under</w:t>
      </w:r>
      <w:r w:rsidR="00177848" w:rsidRPr="00C6052E">
        <w:t xml:space="preserve"> </w:t>
      </w:r>
      <w:r w:rsidRPr="00C6052E">
        <w:t>Victoria’s</w:t>
      </w:r>
      <w:r w:rsidR="00177848" w:rsidRPr="00C6052E">
        <w:t xml:space="preserve"> </w:t>
      </w:r>
      <w:r w:rsidRPr="00C6052E">
        <w:t>International</w:t>
      </w:r>
      <w:r w:rsidR="00177848" w:rsidRPr="00C6052E">
        <w:t xml:space="preserve"> </w:t>
      </w:r>
      <w:r w:rsidRPr="00C6052E">
        <w:t>Education</w:t>
      </w:r>
      <w:r w:rsidR="00177848" w:rsidRPr="00C6052E">
        <w:t xml:space="preserve"> </w:t>
      </w:r>
      <w:r w:rsidRPr="00C6052E">
        <w:t>Recovery</w:t>
      </w:r>
      <w:r w:rsidR="00177848" w:rsidRPr="00C6052E">
        <w:t xml:space="preserve"> </w:t>
      </w:r>
      <w:r w:rsidRPr="00C6052E">
        <w:t>Plan,</w:t>
      </w:r>
      <w:r w:rsidR="00177848" w:rsidRPr="00C6052E">
        <w:t xml:space="preserve"> </w:t>
      </w:r>
      <w:r w:rsidRPr="00C6052E">
        <w:t>Melbourne</w:t>
      </w:r>
      <w:r w:rsidR="00177848" w:rsidRPr="00C6052E">
        <w:t xml:space="preserve"> </w:t>
      </w:r>
      <w:r w:rsidRPr="00C6052E">
        <w:t>has</w:t>
      </w:r>
      <w:r w:rsidR="00177848" w:rsidRPr="00C6052E">
        <w:t xml:space="preserve"> </w:t>
      </w:r>
      <w:r w:rsidRPr="00C6052E">
        <w:t>maintained</w:t>
      </w:r>
      <w:r w:rsidR="00177848" w:rsidRPr="00C6052E">
        <w:t xml:space="preserve"> </w:t>
      </w:r>
      <w:r w:rsidRPr="00C6052E">
        <w:t>its</w:t>
      </w:r>
      <w:r w:rsidR="00177848" w:rsidRPr="00C6052E">
        <w:t xml:space="preserve"> </w:t>
      </w:r>
      <w:r w:rsidRPr="00C6052E">
        <w:t>position</w:t>
      </w:r>
      <w:r w:rsidR="00177848" w:rsidRPr="00C6052E">
        <w:t xml:space="preserve"> </w:t>
      </w:r>
      <w:r w:rsidRPr="00C6052E">
        <w:t>as</w:t>
      </w:r>
      <w:r w:rsidR="00177848" w:rsidRPr="00C6052E">
        <w:t xml:space="preserve"> </w:t>
      </w:r>
      <w:r w:rsidRPr="00C6052E">
        <w:t>Australia’s</w:t>
      </w:r>
      <w:r w:rsidR="00177848" w:rsidRPr="00C6052E">
        <w:t xml:space="preserve"> </w:t>
      </w:r>
      <w:r w:rsidRPr="00C6052E">
        <w:t>best</w:t>
      </w:r>
      <w:r w:rsidR="00177848" w:rsidRPr="00C6052E">
        <w:t xml:space="preserve"> </w:t>
      </w:r>
      <w:r w:rsidRPr="00C6052E">
        <w:t>student</w:t>
      </w:r>
      <w:r w:rsidR="00177848" w:rsidRPr="00C6052E">
        <w:t xml:space="preserve"> </w:t>
      </w:r>
      <w:r w:rsidRPr="00C6052E">
        <w:t>city</w:t>
      </w:r>
      <w:r w:rsidR="00177848" w:rsidRPr="00C6052E">
        <w:t xml:space="preserve"> </w:t>
      </w:r>
      <w:r w:rsidRPr="00C6052E">
        <w:t>and</w:t>
      </w:r>
      <w:r w:rsidR="00177848" w:rsidRPr="00C6052E">
        <w:t xml:space="preserve"> </w:t>
      </w:r>
      <w:r w:rsidRPr="00C6052E">
        <w:t>5th</w:t>
      </w:r>
      <w:r w:rsidR="00177848" w:rsidRPr="00C6052E">
        <w:t xml:space="preserve"> </w:t>
      </w:r>
      <w:r w:rsidRPr="00C6052E">
        <w:t>best</w:t>
      </w:r>
      <w:r w:rsidR="00177848" w:rsidRPr="00C6052E">
        <w:t xml:space="preserve"> </w:t>
      </w:r>
      <w:r w:rsidRPr="00C6052E">
        <w:t>in</w:t>
      </w:r>
      <w:r w:rsidR="00177848" w:rsidRPr="00C6052E">
        <w:t xml:space="preserve"> </w:t>
      </w:r>
      <w:r w:rsidRPr="00C6052E">
        <w:t>the</w:t>
      </w:r>
      <w:r w:rsidR="00177848" w:rsidRPr="00C6052E">
        <w:t xml:space="preserve"> </w:t>
      </w:r>
      <w:r w:rsidRPr="00C6052E">
        <w:t>world</w:t>
      </w:r>
      <w:r w:rsidR="00177848" w:rsidRPr="00C6052E">
        <w:t xml:space="preserve"> </w:t>
      </w:r>
      <w:r w:rsidRPr="00C6052E">
        <w:t>in</w:t>
      </w:r>
      <w:r w:rsidR="00177848" w:rsidRPr="00C6052E">
        <w:t xml:space="preserve"> </w:t>
      </w:r>
      <w:r w:rsidRPr="00C6052E">
        <w:t>the</w:t>
      </w:r>
      <w:r w:rsidR="00177848" w:rsidRPr="00C6052E">
        <w:t xml:space="preserve"> </w:t>
      </w:r>
      <w:r w:rsidRPr="00C6052E">
        <w:t>QS</w:t>
      </w:r>
      <w:r w:rsidR="00177848" w:rsidRPr="00C6052E">
        <w:t xml:space="preserve"> </w:t>
      </w:r>
      <w:r w:rsidRPr="00C6052E">
        <w:t>Best</w:t>
      </w:r>
      <w:r w:rsidR="00177848" w:rsidRPr="00C6052E">
        <w:t xml:space="preserve"> </w:t>
      </w:r>
      <w:r w:rsidRPr="00C6052E">
        <w:t>Student</w:t>
      </w:r>
      <w:r w:rsidR="00177848" w:rsidRPr="00C6052E">
        <w:t xml:space="preserve"> </w:t>
      </w:r>
      <w:r w:rsidRPr="00C6052E">
        <w:t>Cities</w:t>
      </w:r>
      <w:r w:rsidR="00177848" w:rsidRPr="00C6052E">
        <w:t xml:space="preserve"> </w:t>
      </w:r>
      <w:r w:rsidRPr="00C6052E">
        <w:t>2026</w:t>
      </w:r>
      <w:r w:rsidR="00177848" w:rsidRPr="00C6052E">
        <w:t xml:space="preserve"> </w:t>
      </w:r>
      <w:r w:rsidRPr="00C6052E">
        <w:t>rankings.</w:t>
      </w:r>
    </w:p>
    <w:p w14:paraId="5B7E0020" w14:textId="48024E6F" w:rsidR="00EE5BB8" w:rsidRPr="00C6052E" w:rsidRDefault="00EE5BB8" w:rsidP="00EE5BB8">
      <w:pPr>
        <w:keepNext/>
        <w:keepLines/>
      </w:pPr>
      <w:r w:rsidRPr="00C6052E">
        <w:t>Despite</w:t>
      </w:r>
      <w:r w:rsidR="00177848" w:rsidRPr="00C6052E">
        <w:t xml:space="preserve"> </w:t>
      </w:r>
      <w:r w:rsidRPr="00C6052E">
        <w:t>growth</w:t>
      </w:r>
      <w:r w:rsidR="00177848" w:rsidRPr="00C6052E">
        <w:t xml:space="preserve"> </w:t>
      </w:r>
      <w:r w:rsidRPr="00C6052E">
        <w:t>to</w:t>
      </w:r>
      <w:r w:rsidR="00177848" w:rsidRPr="00C6052E">
        <w:t xml:space="preserve"> </w:t>
      </w:r>
      <w:r w:rsidRPr="00C6052E">
        <w:t>Victorian</w:t>
      </w:r>
      <w:r w:rsidR="00177848" w:rsidRPr="00C6052E">
        <w:t xml:space="preserve"> </w:t>
      </w:r>
      <w:r w:rsidRPr="00C6052E">
        <w:t>international</w:t>
      </w:r>
      <w:r w:rsidR="00177848" w:rsidRPr="00C6052E">
        <w:t xml:space="preserve"> </w:t>
      </w:r>
      <w:r w:rsidRPr="00C6052E">
        <w:t>enrolments</w:t>
      </w:r>
      <w:r w:rsidR="00177848" w:rsidRPr="00C6052E">
        <w:t xml:space="preserve"> </w:t>
      </w:r>
      <w:r w:rsidRPr="00C6052E">
        <w:t>and</w:t>
      </w:r>
      <w:r w:rsidR="00177848" w:rsidRPr="00C6052E">
        <w:t xml:space="preserve"> </w:t>
      </w:r>
      <w:r w:rsidRPr="00C6052E">
        <w:t>export</w:t>
      </w:r>
      <w:r w:rsidR="00177848" w:rsidRPr="00C6052E">
        <w:t xml:space="preserve"> </w:t>
      </w:r>
      <w:r w:rsidRPr="00C6052E">
        <w:t>revenue</w:t>
      </w:r>
      <w:r w:rsidR="00177848" w:rsidRPr="00C6052E">
        <w:t xml:space="preserve"> </w:t>
      </w:r>
      <w:r w:rsidRPr="00C6052E">
        <w:t>in</w:t>
      </w:r>
      <w:r w:rsidR="00177848" w:rsidRPr="00C6052E">
        <w:t xml:space="preserve"> </w:t>
      </w:r>
      <w:r w:rsidRPr="00C6052E">
        <w:t>2024,</w:t>
      </w:r>
      <w:r w:rsidR="00177848" w:rsidRPr="00C6052E">
        <w:t xml:space="preserve"> </w:t>
      </w:r>
      <w:r w:rsidRPr="00C6052E">
        <w:t>recovery</w:t>
      </w:r>
      <w:r w:rsidR="00177848" w:rsidRPr="00C6052E">
        <w:t xml:space="preserve"> </w:t>
      </w:r>
      <w:r w:rsidRPr="00C6052E">
        <w:t>to</w:t>
      </w:r>
      <w:r w:rsidR="00177848" w:rsidRPr="00C6052E">
        <w:t xml:space="preserve"> </w:t>
      </w:r>
      <w:r w:rsidRPr="00C6052E">
        <w:t>pre-pandemic</w:t>
      </w:r>
      <w:r w:rsidR="00177848" w:rsidRPr="00C6052E">
        <w:t xml:space="preserve"> </w:t>
      </w:r>
      <w:r w:rsidRPr="00C6052E">
        <w:t>settings</w:t>
      </w:r>
      <w:r w:rsidR="00177848" w:rsidRPr="00C6052E">
        <w:t xml:space="preserve"> </w:t>
      </w:r>
      <w:r w:rsidRPr="00C6052E">
        <w:t>among</w:t>
      </w:r>
      <w:r w:rsidR="00177848" w:rsidRPr="00C6052E">
        <w:t xml:space="preserve"> </w:t>
      </w:r>
      <w:r w:rsidRPr="00C6052E">
        <w:t>Victoria’s</w:t>
      </w:r>
      <w:r w:rsidR="00177848" w:rsidRPr="00C6052E">
        <w:t xml:space="preserve"> </w:t>
      </w:r>
      <w:r w:rsidRPr="00C6052E">
        <w:t>education</w:t>
      </w:r>
      <w:r w:rsidR="00177848" w:rsidRPr="00C6052E">
        <w:t xml:space="preserve"> </w:t>
      </w:r>
      <w:r w:rsidRPr="00C6052E">
        <w:t>sub-sectors</w:t>
      </w:r>
      <w:r w:rsidR="00177848" w:rsidRPr="00C6052E">
        <w:t xml:space="preserve"> </w:t>
      </w:r>
      <w:r w:rsidRPr="00C6052E">
        <w:t>varied.</w:t>
      </w:r>
      <w:r w:rsidR="00177848" w:rsidRPr="00C6052E">
        <w:t xml:space="preserve"> </w:t>
      </w:r>
      <w:r w:rsidRPr="00C6052E">
        <w:t>While</w:t>
      </w:r>
      <w:r w:rsidR="00177848" w:rsidRPr="00C6052E">
        <w:t xml:space="preserve"> </w:t>
      </w:r>
      <w:r w:rsidRPr="00C6052E">
        <w:t>international</w:t>
      </w:r>
      <w:r w:rsidR="00177848" w:rsidRPr="00C6052E">
        <w:t xml:space="preserve"> </w:t>
      </w:r>
      <w:r w:rsidRPr="00C6052E">
        <w:t>enrolments</w:t>
      </w:r>
      <w:r w:rsidR="00177848" w:rsidRPr="00C6052E">
        <w:t xml:space="preserve"> </w:t>
      </w:r>
      <w:r w:rsidRPr="00C6052E">
        <w:t>in</w:t>
      </w:r>
      <w:r w:rsidR="00177848" w:rsidRPr="00C6052E">
        <w:t xml:space="preserve"> </w:t>
      </w:r>
      <w:r w:rsidRPr="00C6052E">
        <w:t>the</w:t>
      </w:r>
      <w:r w:rsidR="00177848" w:rsidRPr="00C6052E">
        <w:t xml:space="preserve"> </w:t>
      </w:r>
      <w:r w:rsidRPr="00C6052E">
        <w:t>Victorian</w:t>
      </w:r>
      <w:r w:rsidR="00177848" w:rsidRPr="00C6052E">
        <w:t xml:space="preserve"> </w:t>
      </w:r>
      <w:r w:rsidRPr="00C6052E">
        <w:t>Vocational</w:t>
      </w:r>
      <w:r w:rsidR="00177848" w:rsidRPr="00C6052E">
        <w:t xml:space="preserve"> </w:t>
      </w:r>
      <w:r w:rsidRPr="00C6052E">
        <w:t>Education</w:t>
      </w:r>
      <w:r w:rsidR="00177848" w:rsidRPr="00C6052E">
        <w:t xml:space="preserve"> </w:t>
      </w:r>
      <w:r w:rsidRPr="00C6052E">
        <w:t>and</w:t>
      </w:r>
      <w:r w:rsidR="00177848" w:rsidRPr="00C6052E">
        <w:t xml:space="preserve"> </w:t>
      </w:r>
      <w:r w:rsidRPr="00C6052E">
        <w:t>Training</w:t>
      </w:r>
      <w:r w:rsidR="00177848" w:rsidRPr="00C6052E">
        <w:t xml:space="preserve"> </w:t>
      </w:r>
      <w:r w:rsidRPr="00C6052E">
        <w:t>(VET)</w:t>
      </w:r>
      <w:r w:rsidR="00177848" w:rsidRPr="00C6052E">
        <w:t xml:space="preserve"> </w:t>
      </w:r>
      <w:r w:rsidRPr="00C6052E">
        <w:t>sector</w:t>
      </w:r>
      <w:r w:rsidR="00177848" w:rsidRPr="00C6052E">
        <w:t xml:space="preserve"> </w:t>
      </w:r>
      <w:r w:rsidRPr="00C6052E">
        <w:t>experienced</w:t>
      </w:r>
      <w:r w:rsidR="00177848" w:rsidRPr="00C6052E">
        <w:t xml:space="preserve"> </w:t>
      </w:r>
      <w:r w:rsidRPr="00C6052E">
        <w:t>strong</w:t>
      </w:r>
      <w:r w:rsidR="00177848" w:rsidRPr="00C6052E">
        <w:t xml:space="preserve"> </w:t>
      </w:r>
      <w:r w:rsidRPr="00C6052E">
        <w:t>growth,</w:t>
      </w:r>
      <w:r w:rsidR="00177848" w:rsidRPr="00C6052E">
        <w:t xml:space="preserve"> </w:t>
      </w:r>
      <w:r w:rsidRPr="00C6052E">
        <w:t>and</w:t>
      </w:r>
      <w:r w:rsidR="00177848" w:rsidRPr="00C6052E">
        <w:t xml:space="preserve"> </w:t>
      </w:r>
      <w:r w:rsidRPr="00C6052E">
        <w:t>enrolments</w:t>
      </w:r>
      <w:r w:rsidR="00177848" w:rsidRPr="00C6052E">
        <w:t xml:space="preserve"> </w:t>
      </w:r>
      <w:r w:rsidRPr="00C6052E">
        <w:t>in</w:t>
      </w:r>
      <w:r w:rsidR="00177848" w:rsidRPr="00C6052E">
        <w:t xml:space="preserve"> </w:t>
      </w:r>
      <w:r w:rsidRPr="00C6052E">
        <w:t>higher</w:t>
      </w:r>
      <w:r w:rsidR="00177848" w:rsidRPr="00C6052E">
        <w:t xml:space="preserve"> </w:t>
      </w:r>
      <w:r w:rsidRPr="00C6052E">
        <w:t>education</w:t>
      </w:r>
      <w:r w:rsidR="00177848" w:rsidRPr="00C6052E">
        <w:t xml:space="preserve"> </w:t>
      </w:r>
      <w:r w:rsidRPr="00C6052E">
        <w:t>were</w:t>
      </w:r>
      <w:r w:rsidR="00177848" w:rsidRPr="00C6052E">
        <w:t xml:space="preserve"> </w:t>
      </w:r>
      <w:r w:rsidRPr="00C6052E">
        <w:t>on</w:t>
      </w:r>
      <w:r w:rsidR="00177848" w:rsidRPr="00C6052E">
        <w:t xml:space="preserve"> </w:t>
      </w:r>
      <w:r w:rsidRPr="00C6052E">
        <w:t>par</w:t>
      </w:r>
      <w:r w:rsidR="00177848" w:rsidRPr="00C6052E">
        <w:t xml:space="preserve"> </w:t>
      </w:r>
      <w:r w:rsidRPr="00C6052E">
        <w:t>with</w:t>
      </w:r>
      <w:r w:rsidR="00177848" w:rsidRPr="00C6052E">
        <w:t xml:space="preserve"> </w:t>
      </w:r>
      <w:r w:rsidRPr="00C6052E">
        <w:t>2019,</w:t>
      </w:r>
      <w:r w:rsidR="00177848" w:rsidRPr="00C6052E">
        <w:t xml:space="preserve"> </w:t>
      </w:r>
      <w:r w:rsidRPr="00C6052E">
        <w:t>other</w:t>
      </w:r>
      <w:r w:rsidR="00177848" w:rsidRPr="00C6052E">
        <w:t xml:space="preserve"> </w:t>
      </w:r>
      <w:r w:rsidRPr="00C6052E">
        <w:t>sub-sectors</w:t>
      </w:r>
      <w:r w:rsidR="00177848" w:rsidRPr="00C6052E">
        <w:t xml:space="preserve"> </w:t>
      </w:r>
      <w:r w:rsidRPr="00C6052E">
        <w:t>did</w:t>
      </w:r>
      <w:r w:rsidR="00177848" w:rsidRPr="00C6052E">
        <w:t xml:space="preserve"> </w:t>
      </w:r>
      <w:r w:rsidRPr="00C6052E">
        <w:t>not</w:t>
      </w:r>
      <w:r w:rsidR="00177848" w:rsidRPr="00C6052E">
        <w:t xml:space="preserve"> </w:t>
      </w:r>
      <w:r w:rsidRPr="00C6052E">
        <w:t>return</w:t>
      </w:r>
      <w:r w:rsidR="00177848" w:rsidRPr="00C6052E">
        <w:t xml:space="preserve"> </w:t>
      </w:r>
      <w:r w:rsidRPr="00C6052E">
        <w:t>to</w:t>
      </w:r>
      <w:r w:rsidR="00177848" w:rsidRPr="00C6052E">
        <w:t xml:space="preserve"> </w:t>
      </w:r>
      <w:r w:rsidRPr="00C6052E">
        <w:t>pre-pandemic</w:t>
      </w:r>
      <w:r w:rsidR="00177848" w:rsidRPr="00C6052E">
        <w:t xml:space="preserve"> </w:t>
      </w:r>
      <w:r w:rsidRPr="00C6052E">
        <w:t>levels.</w:t>
      </w:r>
      <w:r w:rsidR="00177848" w:rsidRPr="00C6052E">
        <w:t xml:space="preserve"> </w:t>
      </w:r>
      <w:r w:rsidRPr="00C6052E">
        <w:t>Victoria’s</w:t>
      </w:r>
      <w:r w:rsidR="00177848" w:rsidRPr="00C6052E">
        <w:t xml:space="preserve"> </w:t>
      </w:r>
      <w:r w:rsidRPr="00C6052E">
        <w:t>English</w:t>
      </w:r>
      <w:r w:rsidR="00177848" w:rsidRPr="00C6052E">
        <w:t xml:space="preserve"> </w:t>
      </w:r>
      <w:r w:rsidRPr="00C6052E">
        <w:t>language</w:t>
      </w:r>
      <w:r w:rsidR="00177848" w:rsidRPr="00C6052E">
        <w:t xml:space="preserve"> </w:t>
      </w:r>
      <w:r w:rsidRPr="00C6052E">
        <w:t>(ELICOS),</w:t>
      </w:r>
      <w:r w:rsidR="00177848" w:rsidRPr="00C6052E">
        <w:t xml:space="preserve"> </w:t>
      </w:r>
      <w:r w:rsidRPr="00C6052E">
        <w:t>non-award</w:t>
      </w:r>
      <w:r w:rsidR="00177848" w:rsidRPr="00C6052E">
        <w:t xml:space="preserve"> </w:t>
      </w:r>
      <w:r w:rsidRPr="00C6052E">
        <w:t>and</w:t>
      </w:r>
      <w:r w:rsidR="00177848" w:rsidRPr="00C6052E">
        <w:t xml:space="preserve"> </w:t>
      </w:r>
      <w:proofErr w:type="gramStart"/>
      <w:r w:rsidRPr="00C6052E">
        <w:t>schools</w:t>
      </w:r>
      <w:proofErr w:type="gramEnd"/>
      <w:r w:rsidR="00177848" w:rsidRPr="00C6052E">
        <w:t xml:space="preserve"> </w:t>
      </w:r>
      <w:r w:rsidRPr="00C6052E">
        <w:t>sectors</w:t>
      </w:r>
      <w:r w:rsidR="00177848" w:rsidRPr="00C6052E">
        <w:t xml:space="preserve"> </w:t>
      </w:r>
      <w:r w:rsidRPr="00C6052E">
        <w:t>each</w:t>
      </w:r>
      <w:r w:rsidR="00177848" w:rsidRPr="00C6052E">
        <w:t xml:space="preserve"> </w:t>
      </w:r>
      <w:r w:rsidRPr="00C6052E">
        <w:t>experienced</w:t>
      </w:r>
      <w:r w:rsidR="00177848" w:rsidRPr="00C6052E">
        <w:t xml:space="preserve"> </w:t>
      </w:r>
      <w:r w:rsidRPr="00C6052E">
        <w:t>declines</w:t>
      </w:r>
      <w:r w:rsidR="00177848" w:rsidRPr="00C6052E">
        <w:t xml:space="preserve"> </w:t>
      </w:r>
      <w:r w:rsidRPr="00C6052E">
        <w:t>to</w:t>
      </w:r>
      <w:r w:rsidR="00177848" w:rsidRPr="00C6052E">
        <w:t xml:space="preserve"> </w:t>
      </w:r>
      <w:r w:rsidRPr="00C6052E">
        <w:t>enrolments</w:t>
      </w:r>
      <w:r w:rsidR="00177848" w:rsidRPr="00C6052E">
        <w:t xml:space="preserve"> </w:t>
      </w:r>
      <w:r w:rsidRPr="00C6052E">
        <w:t>compared</w:t>
      </w:r>
      <w:r w:rsidR="00177848" w:rsidRPr="00C6052E">
        <w:t xml:space="preserve"> </w:t>
      </w:r>
      <w:r w:rsidRPr="00C6052E">
        <w:t>to</w:t>
      </w:r>
      <w:r w:rsidR="00177848" w:rsidRPr="00C6052E">
        <w:t xml:space="preserve"> </w:t>
      </w:r>
      <w:r w:rsidRPr="00C6052E">
        <w:t>pre-pandemic</w:t>
      </w:r>
      <w:r w:rsidR="00177848" w:rsidRPr="00C6052E">
        <w:t xml:space="preserve"> </w:t>
      </w:r>
      <w:r w:rsidRPr="00C6052E">
        <w:t>levels.</w:t>
      </w:r>
    </w:p>
    <w:p w14:paraId="0BD7C1DE" w14:textId="1D1EF671" w:rsidR="00EE5BB8" w:rsidRPr="00C6052E" w:rsidRDefault="00EE5BB8" w:rsidP="00EE5BB8">
      <w:r w:rsidRPr="00C6052E">
        <w:t>In</w:t>
      </w:r>
      <w:r w:rsidR="00177848" w:rsidRPr="00C6052E">
        <w:t xml:space="preserve"> </w:t>
      </w:r>
      <w:r w:rsidRPr="00C6052E">
        <w:t>part,</w:t>
      </w:r>
      <w:r w:rsidR="00177848" w:rsidRPr="00C6052E">
        <w:t xml:space="preserve"> </w:t>
      </w:r>
      <w:r w:rsidRPr="00C6052E">
        <w:t>the</w:t>
      </w:r>
      <w:r w:rsidR="00177848" w:rsidRPr="00C6052E">
        <w:t xml:space="preserve"> </w:t>
      </w:r>
      <w:r w:rsidRPr="00C6052E">
        <w:t>varied</w:t>
      </w:r>
      <w:r w:rsidR="00177848" w:rsidRPr="00C6052E">
        <w:t xml:space="preserve"> </w:t>
      </w:r>
      <w:r w:rsidRPr="00C6052E">
        <w:t>post-pandemic</w:t>
      </w:r>
      <w:r w:rsidR="00177848" w:rsidRPr="00C6052E">
        <w:t xml:space="preserve"> </w:t>
      </w:r>
      <w:r w:rsidRPr="00C6052E">
        <w:t>recovery</w:t>
      </w:r>
      <w:r w:rsidR="00177848" w:rsidRPr="00C6052E">
        <w:t xml:space="preserve"> </w:t>
      </w:r>
      <w:r w:rsidRPr="00C6052E">
        <w:t>of</w:t>
      </w:r>
      <w:r w:rsidR="00177848" w:rsidRPr="00C6052E">
        <w:t xml:space="preserve"> </w:t>
      </w:r>
      <w:r w:rsidRPr="00C6052E">
        <w:t>international</w:t>
      </w:r>
      <w:r w:rsidR="00177848" w:rsidRPr="00C6052E">
        <w:t xml:space="preserve"> </w:t>
      </w:r>
      <w:r w:rsidRPr="00C6052E">
        <w:t>enrolments</w:t>
      </w:r>
      <w:r w:rsidR="00177848" w:rsidRPr="00C6052E">
        <w:t xml:space="preserve"> </w:t>
      </w:r>
      <w:r w:rsidRPr="00C6052E">
        <w:t>across</w:t>
      </w:r>
      <w:r w:rsidR="00177848" w:rsidRPr="00C6052E">
        <w:t xml:space="preserve"> </w:t>
      </w:r>
      <w:r w:rsidRPr="00C6052E">
        <w:t>Victoria’s</w:t>
      </w:r>
      <w:r w:rsidR="00177848" w:rsidRPr="00C6052E">
        <w:t xml:space="preserve"> </w:t>
      </w:r>
      <w:r w:rsidRPr="00C6052E">
        <w:t>education</w:t>
      </w:r>
      <w:r w:rsidR="00177848" w:rsidRPr="00C6052E">
        <w:t xml:space="preserve"> </w:t>
      </w:r>
      <w:r w:rsidRPr="00C6052E">
        <w:t>sub-sectors</w:t>
      </w:r>
      <w:r w:rsidR="00177848" w:rsidRPr="00C6052E">
        <w:t xml:space="preserve"> </w:t>
      </w:r>
      <w:r w:rsidRPr="00C6052E">
        <w:t>reflects</w:t>
      </w:r>
      <w:r w:rsidR="00177848" w:rsidRPr="00C6052E">
        <w:t xml:space="preserve"> </w:t>
      </w:r>
      <w:r w:rsidRPr="00C6052E">
        <w:t>the</w:t>
      </w:r>
      <w:r w:rsidR="00177848" w:rsidRPr="00C6052E">
        <w:t xml:space="preserve"> </w:t>
      </w:r>
      <w:r w:rsidRPr="00C6052E">
        <w:t>impacts</w:t>
      </w:r>
      <w:r w:rsidR="00177848" w:rsidRPr="00C6052E">
        <w:t xml:space="preserve"> </w:t>
      </w:r>
      <w:r w:rsidRPr="00C6052E">
        <w:t>of</w:t>
      </w:r>
      <w:r w:rsidR="00177848" w:rsidRPr="00C6052E">
        <w:t xml:space="preserve"> </w:t>
      </w:r>
      <w:r w:rsidRPr="00C6052E">
        <w:t>Australian</w:t>
      </w:r>
      <w:r w:rsidR="00177848" w:rsidRPr="00C6052E">
        <w:t xml:space="preserve"> </w:t>
      </w:r>
      <w:r w:rsidRPr="00C6052E">
        <w:t>Government</w:t>
      </w:r>
      <w:r w:rsidR="00177848" w:rsidRPr="00C6052E">
        <w:t xml:space="preserve"> </w:t>
      </w:r>
      <w:r w:rsidRPr="00C6052E">
        <w:t>actions</w:t>
      </w:r>
      <w:r w:rsidR="00177848" w:rsidRPr="00C6052E">
        <w:t xml:space="preserve"> </w:t>
      </w:r>
      <w:r w:rsidRPr="00C6052E">
        <w:t>to</w:t>
      </w:r>
      <w:r w:rsidR="00177848" w:rsidRPr="00C6052E">
        <w:t xml:space="preserve"> </w:t>
      </w:r>
      <w:r w:rsidRPr="00C6052E">
        <w:t>moderate</w:t>
      </w:r>
      <w:r w:rsidR="00177848" w:rsidRPr="00C6052E">
        <w:t xml:space="preserve"> </w:t>
      </w:r>
      <w:r w:rsidRPr="00C6052E">
        <w:t>growth</w:t>
      </w:r>
      <w:r w:rsidR="00177848" w:rsidRPr="00C6052E">
        <w:t xml:space="preserve"> </w:t>
      </w:r>
      <w:r w:rsidRPr="00C6052E">
        <w:t>in</w:t>
      </w:r>
      <w:r w:rsidR="00177848" w:rsidRPr="00C6052E">
        <w:t xml:space="preserve"> </w:t>
      </w:r>
      <w:r w:rsidRPr="00C6052E">
        <w:t>international</w:t>
      </w:r>
      <w:r w:rsidR="00177848" w:rsidRPr="00C6052E">
        <w:t xml:space="preserve"> </w:t>
      </w:r>
      <w:r w:rsidRPr="00C6052E">
        <w:t>enrolments.</w:t>
      </w:r>
      <w:r w:rsidR="00177848" w:rsidRPr="00C6052E">
        <w:t xml:space="preserve"> </w:t>
      </w:r>
      <w:r w:rsidRPr="00C6052E">
        <w:t>Since</w:t>
      </w:r>
      <w:r w:rsidR="00177848" w:rsidRPr="00C6052E">
        <w:t xml:space="preserve"> </w:t>
      </w:r>
      <w:r w:rsidRPr="00C6052E">
        <w:t>late</w:t>
      </w:r>
      <w:r w:rsidR="00177848" w:rsidRPr="00C6052E">
        <w:t xml:space="preserve"> </w:t>
      </w:r>
      <w:r w:rsidRPr="00C6052E">
        <w:t>2023,</w:t>
      </w:r>
      <w:r w:rsidR="00177848" w:rsidRPr="00C6052E">
        <w:t xml:space="preserve"> </w:t>
      </w:r>
      <w:r w:rsidRPr="00C6052E">
        <w:t>the</w:t>
      </w:r>
      <w:r w:rsidR="00177848" w:rsidRPr="00C6052E">
        <w:t xml:space="preserve"> </w:t>
      </w:r>
      <w:r w:rsidRPr="00C6052E">
        <w:t>Australian</w:t>
      </w:r>
      <w:r w:rsidR="00177848" w:rsidRPr="00C6052E">
        <w:t xml:space="preserve"> </w:t>
      </w:r>
      <w:r w:rsidRPr="00C6052E">
        <w:t>Government</w:t>
      </w:r>
      <w:r w:rsidR="00177848" w:rsidRPr="00C6052E">
        <w:t xml:space="preserve"> </w:t>
      </w:r>
      <w:r w:rsidRPr="00C6052E">
        <w:t>has</w:t>
      </w:r>
      <w:r w:rsidR="00177848" w:rsidRPr="00C6052E">
        <w:t xml:space="preserve"> </w:t>
      </w:r>
      <w:r w:rsidRPr="00C6052E">
        <w:t>implemented</w:t>
      </w:r>
      <w:r w:rsidR="00177848" w:rsidRPr="00C6052E">
        <w:t xml:space="preserve"> </w:t>
      </w:r>
      <w:r w:rsidRPr="00C6052E">
        <w:t>significant</w:t>
      </w:r>
      <w:r w:rsidR="00177848" w:rsidRPr="00C6052E">
        <w:t xml:space="preserve"> </w:t>
      </w:r>
      <w:r w:rsidRPr="00C6052E">
        <w:t>visa</w:t>
      </w:r>
      <w:r w:rsidR="00177848" w:rsidRPr="00C6052E">
        <w:t xml:space="preserve"> </w:t>
      </w:r>
      <w:r w:rsidRPr="00C6052E">
        <w:t>and</w:t>
      </w:r>
      <w:r w:rsidR="00177848" w:rsidRPr="00C6052E">
        <w:t xml:space="preserve"> </w:t>
      </w:r>
      <w:r w:rsidRPr="00C6052E">
        <w:t>policy</w:t>
      </w:r>
      <w:r w:rsidR="00177848" w:rsidRPr="00C6052E">
        <w:t xml:space="preserve"> </w:t>
      </w:r>
      <w:r w:rsidRPr="00C6052E">
        <w:t>changes</w:t>
      </w:r>
      <w:r w:rsidR="00177848" w:rsidRPr="00C6052E">
        <w:t xml:space="preserve"> </w:t>
      </w:r>
      <w:r w:rsidRPr="00C6052E">
        <w:t>to</w:t>
      </w:r>
      <w:r w:rsidR="00177848" w:rsidRPr="00C6052E">
        <w:t xml:space="preserve"> </w:t>
      </w:r>
      <w:r w:rsidRPr="00C6052E">
        <w:t>enhance</w:t>
      </w:r>
      <w:r w:rsidR="00177848" w:rsidRPr="00C6052E">
        <w:t xml:space="preserve"> </w:t>
      </w:r>
      <w:r w:rsidRPr="00C6052E">
        <w:t>sector</w:t>
      </w:r>
      <w:r w:rsidR="00177848" w:rsidRPr="00C6052E">
        <w:t xml:space="preserve"> </w:t>
      </w:r>
      <w:r w:rsidRPr="00C6052E">
        <w:t>integrity</w:t>
      </w:r>
      <w:r w:rsidR="00177848" w:rsidRPr="00C6052E">
        <w:t xml:space="preserve"> </w:t>
      </w:r>
      <w:r w:rsidRPr="00C6052E">
        <w:t>and</w:t>
      </w:r>
      <w:r w:rsidR="00177848" w:rsidRPr="00C6052E">
        <w:t xml:space="preserve"> </w:t>
      </w:r>
      <w:r w:rsidRPr="00C6052E">
        <w:t>reduce</w:t>
      </w:r>
      <w:r w:rsidR="00177848" w:rsidRPr="00C6052E">
        <w:t xml:space="preserve"> </w:t>
      </w:r>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international</w:t>
      </w:r>
      <w:r w:rsidR="00177848" w:rsidRPr="00C6052E">
        <w:t xml:space="preserve"> </w:t>
      </w:r>
      <w:r w:rsidRPr="00C6052E">
        <w:t>students</w:t>
      </w:r>
      <w:r w:rsidR="00177848" w:rsidRPr="00C6052E">
        <w:t xml:space="preserve"> </w:t>
      </w:r>
      <w:r w:rsidRPr="00C6052E">
        <w:t>coming</w:t>
      </w:r>
      <w:r w:rsidR="00177848" w:rsidRPr="00C6052E">
        <w:t xml:space="preserve"> </w:t>
      </w:r>
      <w:r w:rsidRPr="00C6052E">
        <w:t>to</w:t>
      </w:r>
      <w:r w:rsidR="00177848" w:rsidRPr="00C6052E">
        <w:t xml:space="preserve"> </w:t>
      </w:r>
      <w:r w:rsidRPr="00C6052E">
        <w:t>Australia.</w:t>
      </w:r>
      <w:r w:rsidR="00177848" w:rsidRPr="00C6052E">
        <w:t xml:space="preserve"> </w:t>
      </w:r>
      <w:r w:rsidRPr="00C6052E">
        <w:t>Some</w:t>
      </w:r>
      <w:r w:rsidR="00177848" w:rsidRPr="00C6052E">
        <w:t xml:space="preserve"> </w:t>
      </w:r>
      <w:r w:rsidRPr="00C6052E">
        <w:t>of</w:t>
      </w:r>
      <w:r w:rsidR="00177848" w:rsidRPr="00C6052E">
        <w:t xml:space="preserve"> </w:t>
      </w:r>
      <w:r w:rsidRPr="00C6052E">
        <w:t>these</w:t>
      </w:r>
      <w:r w:rsidR="00177848" w:rsidRPr="00C6052E">
        <w:t xml:space="preserve"> </w:t>
      </w:r>
      <w:r w:rsidRPr="00C6052E">
        <w:t>changes</w:t>
      </w:r>
      <w:r w:rsidR="00177848" w:rsidRPr="00C6052E">
        <w:t xml:space="preserve"> </w:t>
      </w:r>
      <w:r w:rsidRPr="00C6052E">
        <w:t>have</w:t>
      </w:r>
      <w:r w:rsidR="00177848" w:rsidRPr="00C6052E">
        <w:t xml:space="preserve"> </w:t>
      </w:r>
      <w:r w:rsidRPr="00C6052E">
        <w:t>included</w:t>
      </w:r>
      <w:r w:rsidR="00177848" w:rsidRPr="00C6052E">
        <w:t xml:space="preserve"> </w:t>
      </w:r>
      <w:r w:rsidRPr="00C6052E">
        <w:t>increased</w:t>
      </w:r>
      <w:r w:rsidR="00177848" w:rsidRPr="00C6052E">
        <w:t xml:space="preserve"> </w:t>
      </w:r>
      <w:r w:rsidRPr="00C6052E">
        <w:t>student</w:t>
      </w:r>
      <w:r w:rsidR="00177848" w:rsidRPr="00C6052E">
        <w:t xml:space="preserve"> </w:t>
      </w:r>
      <w:r w:rsidRPr="00C6052E">
        <w:t>visa</w:t>
      </w:r>
      <w:r w:rsidR="00177848" w:rsidRPr="00C6052E">
        <w:t xml:space="preserve"> </w:t>
      </w:r>
      <w:r w:rsidRPr="00C6052E">
        <w:t>fees,</w:t>
      </w:r>
      <w:r w:rsidR="00177848" w:rsidRPr="00C6052E">
        <w:t xml:space="preserve"> </w:t>
      </w:r>
      <w:r w:rsidRPr="00C6052E">
        <w:t>shorter</w:t>
      </w:r>
      <w:r w:rsidR="00177848" w:rsidRPr="00C6052E">
        <w:t xml:space="preserve"> </w:t>
      </w:r>
      <w:r w:rsidRPr="00C6052E">
        <w:t>post-study</w:t>
      </w:r>
      <w:r w:rsidR="00177848" w:rsidRPr="00C6052E">
        <w:t xml:space="preserve"> </w:t>
      </w:r>
      <w:r w:rsidRPr="00C6052E">
        <w:t>work</w:t>
      </w:r>
      <w:r w:rsidR="00177848" w:rsidRPr="00C6052E">
        <w:t xml:space="preserve"> </w:t>
      </w:r>
      <w:r w:rsidRPr="00C6052E">
        <w:t>rights</w:t>
      </w:r>
      <w:r w:rsidR="00177848" w:rsidRPr="00C6052E">
        <w:t xml:space="preserve"> </w:t>
      </w:r>
      <w:r w:rsidRPr="00C6052E">
        <w:t>and</w:t>
      </w:r>
      <w:r w:rsidR="00177848" w:rsidRPr="00C6052E">
        <w:t xml:space="preserve"> </w:t>
      </w:r>
      <w:r w:rsidRPr="00C6052E">
        <w:t>generally</w:t>
      </w:r>
      <w:r w:rsidR="00177848" w:rsidRPr="00C6052E">
        <w:t xml:space="preserve"> </w:t>
      </w:r>
      <w:r w:rsidRPr="00C6052E">
        <w:t>tighter</w:t>
      </w:r>
      <w:r w:rsidR="00177848" w:rsidRPr="00C6052E">
        <w:t xml:space="preserve"> </w:t>
      </w:r>
      <w:r w:rsidRPr="00C6052E">
        <w:t>migration</w:t>
      </w:r>
      <w:r w:rsidR="00177848" w:rsidRPr="00C6052E">
        <w:t xml:space="preserve"> </w:t>
      </w:r>
      <w:r w:rsidRPr="00C6052E">
        <w:t>settings.</w:t>
      </w:r>
      <w:r w:rsidR="00177848" w:rsidRPr="00C6052E">
        <w:t xml:space="preserve"> </w:t>
      </w:r>
    </w:p>
    <w:p w14:paraId="6F3506E3" w14:textId="67FA26FA" w:rsidR="00EE5BB8" w:rsidRPr="00C6052E" w:rsidRDefault="00EE5BB8" w:rsidP="00EE5BB8">
      <w:r w:rsidRPr="00C6052E">
        <w:t>Despite</w:t>
      </w:r>
      <w:r w:rsidR="00177848" w:rsidRPr="00C6052E">
        <w:t xml:space="preserve"> </w:t>
      </w:r>
      <w:r w:rsidRPr="00C6052E">
        <w:t>the</w:t>
      </w:r>
      <w:r w:rsidR="00177848" w:rsidRPr="00C6052E">
        <w:t xml:space="preserve"> </w:t>
      </w:r>
      <w:r w:rsidRPr="00C6052E">
        <w:t>uncertain</w:t>
      </w:r>
      <w:r w:rsidR="00177848" w:rsidRPr="00C6052E">
        <w:t xml:space="preserve"> </w:t>
      </w:r>
      <w:r w:rsidRPr="00C6052E">
        <w:t>policy</w:t>
      </w:r>
      <w:r w:rsidR="00177848" w:rsidRPr="00C6052E">
        <w:t xml:space="preserve"> </w:t>
      </w:r>
      <w:r w:rsidRPr="00C6052E">
        <w:t>environment,</w:t>
      </w:r>
      <w:r w:rsidR="00177848" w:rsidRPr="00C6052E">
        <w:t xml:space="preserve"> </w:t>
      </w:r>
      <w:r w:rsidRPr="00C6052E">
        <w:t>international</w:t>
      </w:r>
      <w:r w:rsidR="00177848" w:rsidRPr="00C6052E">
        <w:t xml:space="preserve"> </w:t>
      </w:r>
      <w:r w:rsidRPr="00C6052E">
        <w:t>student</w:t>
      </w:r>
      <w:r w:rsidR="00177848" w:rsidRPr="00C6052E">
        <w:t xml:space="preserve"> </w:t>
      </w:r>
      <w:r w:rsidRPr="00C6052E">
        <w:t>satisfaction</w:t>
      </w:r>
      <w:r w:rsidR="00177848" w:rsidRPr="00C6052E">
        <w:t xml:space="preserve"> </w:t>
      </w:r>
      <w:r w:rsidRPr="00C6052E">
        <w:t>with</w:t>
      </w:r>
      <w:r w:rsidR="00177848" w:rsidRPr="00C6052E">
        <w:t xml:space="preserve"> </w:t>
      </w:r>
      <w:r w:rsidRPr="00C6052E">
        <w:t>Study</w:t>
      </w:r>
      <w:r w:rsidR="00177848" w:rsidRPr="00C6052E">
        <w:t xml:space="preserve"> </w:t>
      </w:r>
      <w:r w:rsidRPr="00C6052E">
        <w:t>Melbourne</w:t>
      </w:r>
      <w:r w:rsidR="00177848" w:rsidRPr="00C6052E">
        <w:t xml:space="preserve"> </w:t>
      </w:r>
      <w:r w:rsidRPr="00C6052E">
        <w:t>student</w:t>
      </w:r>
      <w:r w:rsidR="00177848" w:rsidRPr="00C6052E">
        <w:t xml:space="preserve"> </w:t>
      </w:r>
      <w:r w:rsidRPr="00C6052E">
        <w:rPr>
          <w:spacing w:val="-2"/>
        </w:rPr>
        <w:t>programs</w:t>
      </w:r>
      <w:r w:rsidR="00177848" w:rsidRPr="00C6052E">
        <w:rPr>
          <w:spacing w:val="-2"/>
        </w:rPr>
        <w:t xml:space="preserve"> </w:t>
      </w:r>
      <w:r w:rsidRPr="00C6052E">
        <w:rPr>
          <w:spacing w:val="-2"/>
        </w:rPr>
        <w:t>remains</w:t>
      </w:r>
      <w:r w:rsidR="00177848" w:rsidRPr="00C6052E">
        <w:rPr>
          <w:spacing w:val="-2"/>
        </w:rPr>
        <w:t xml:space="preserve"> </w:t>
      </w:r>
      <w:r w:rsidRPr="00C6052E">
        <w:rPr>
          <w:spacing w:val="-2"/>
        </w:rPr>
        <w:t>high,</w:t>
      </w:r>
      <w:r w:rsidR="00177848" w:rsidRPr="00C6052E">
        <w:rPr>
          <w:spacing w:val="-2"/>
        </w:rPr>
        <w:t xml:space="preserve"> </w:t>
      </w:r>
      <w:r w:rsidRPr="00C6052E">
        <w:rPr>
          <w:spacing w:val="-2"/>
        </w:rPr>
        <w:t>with</w:t>
      </w:r>
      <w:r w:rsidR="00177848" w:rsidRPr="00C6052E">
        <w:rPr>
          <w:spacing w:val="-2"/>
        </w:rPr>
        <w:t xml:space="preserve"> </w:t>
      </w:r>
      <w:r w:rsidRPr="00C6052E">
        <w:rPr>
          <w:spacing w:val="-2"/>
        </w:rPr>
        <w:t>a</w:t>
      </w:r>
      <w:r w:rsidR="00177848" w:rsidRPr="00C6052E">
        <w:rPr>
          <w:spacing w:val="-2"/>
        </w:rPr>
        <w:t xml:space="preserve"> </w:t>
      </w:r>
      <w:r w:rsidRPr="00C6052E">
        <w:rPr>
          <w:spacing w:val="-2"/>
        </w:rPr>
        <w:t>93%</w:t>
      </w:r>
      <w:r w:rsidR="00177848" w:rsidRPr="00C6052E">
        <w:rPr>
          <w:spacing w:val="-2"/>
        </w:rPr>
        <w:t xml:space="preserve"> </w:t>
      </w:r>
      <w:r w:rsidRPr="00C6052E">
        <w:rPr>
          <w:spacing w:val="-2"/>
        </w:rPr>
        <w:t>average</w:t>
      </w:r>
      <w:r w:rsidR="00177848" w:rsidRPr="00C6052E">
        <w:rPr>
          <w:spacing w:val="-2"/>
        </w:rPr>
        <w:t xml:space="preserve"> </w:t>
      </w:r>
      <w:r w:rsidRPr="00C6052E">
        <w:rPr>
          <w:spacing w:val="-2"/>
        </w:rPr>
        <w:t>satisfaction</w:t>
      </w:r>
      <w:r w:rsidR="00177848" w:rsidRPr="00C6052E">
        <w:t xml:space="preserve"> </w:t>
      </w:r>
      <w:r w:rsidRPr="00C6052E">
        <w:t>rate</w:t>
      </w:r>
      <w:r w:rsidR="00177848" w:rsidRPr="00C6052E">
        <w:t xml:space="preserve"> </w:t>
      </w:r>
      <w:r w:rsidRPr="00C6052E">
        <w:t>in</w:t>
      </w:r>
      <w:r w:rsidR="00177848" w:rsidRPr="00C6052E">
        <w:t xml:space="preserve"> </w:t>
      </w:r>
      <w:r w:rsidRPr="00C6052E">
        <w:t>2024–25.</w:t>
      </w:r>
      <w:r w:rsidR="00177848" w:rsidRPr="00C6052E">
        <w:t xml:space="preserve"> </w:t>
      </w:r>
      <w:r w:rsidRPr="00C6052E">
        <w:t>This</w:t>
      </w:r>
      <w:r w:rsidR="00177848" w:rsidRPr="00C6052E">
        <w:t xml:space="preserve"> </w:t>
      </w:r>
      <w:r w:rsidRPr="00C6052E">
        <w:t>reflects</w:t>
      </w:r>
      <w:r w:rsidR="00177848" w:rsidRPr="00C6052E">
        <w:t xml:space="preserve"> </w:t>
      </w:r>
      <w:r w:rsidRPr="00C6052E">
        <w:t>satisfaction</w:t>
      </w:r>
      <w:r w:rsidR="00177848" w:rsidRPr="00C6052E">
        <w:t xml:space="preserve"> </w:t>
      </w:r>
      <w:r w:rsidRPr="00C6052E">
        <w:t>across</w:t>
      </w:r>
      <w:r w:rsidR="00177848" w:rsidRPr="00C6052E">
        <w:t xml:space="preserve"> </w:t>
      </w:r>
      <w:r w:rsidRPr="00C6052E">
        <w:t>a</w:t>
      </w:r>
      <w:r w:rsidR="00177848" w:rsidRPr="00C6052E">
        <w:t xml:space="preserve"> </w:t>
      </w:r>
      <w:r w:rsidRPr="00C6052E">
        <w:t>range</w:t>
      </w:r>
      <w:r w:rsidR="00177848" w:rsidRPr="00C6052E">
        <w:t xml:space="preserve"> </w:t>
      </w:r>
      <w:r w:rsidRPr="00C6052E">
        <w:t>of</w:t>
      </w:r>
      <w:r w:rsidR="00177848" w:rsidRPr="00C6052E">
        <w:t xml:space="preserve"> </w:t>
      </w:r>
      <w:r w:rsidRPr="00C6052E">
        <w:t>wellbeing</w:t>
      </w:r>
      <w:r w:rsidR="00177848" w:rsidRPr="00C6052E">
        <w:t xml:space="preserve"> </w:t>
      </w:r>
      <w:r w:rsidRPr="00C6052E">
        <w:t>and</w:t>
      </w:r>
      <w:r w:rsidR="00177848" w:rsidRPr="00C6052E">
        <w:t xml:space="preserve"> </w:t>
      </w:r>
      <w:r w:rsidRPr="00C6052E">
        <w:t>support</w:t>
      </w:r>
      <w:r w:rsidR="00177848" w:rsidRPr="00C6052E">
        <w:t xml:space="preserve"> </w:t>
      </w:r>
      <w:r w:rsidRPr="00C6052E">
        <w:t>services,</w:t>
      </w:r>
      <w:r w:rsidR="00177848" w:rsidRPr="00C6052E">
        <w:t xml:space="preserve"> </w:t>
      </w:r>
      <w:r w:rsidRPr="00C6052E">
        <w:t>and</w:t>
      </w:r>
      <w:r w:rsidR="00177848" w:rsidRPr="00C6052E">
        <w:t xml:space="preserve"> </w:t>
      </w:r>
      <w:r w:rsidRPr="00C6052E">
        <w:t>programs</w:t>
      </w:r>
      <w:r w:rsidR="00177848" w:rsidRPr="00C6052E">
        <w:t xml:space="preserve"> </w:t>
      </w:r>
      <w:r w:rsidRPr="00C6052E">
        <w:t>focusing</w:t>
      </w:r>
      <w:r w:rsidR="00177848" w:rsidRPr="00C6052E">
        <w:t xml:space="preserve"> </w:t>
      </w:r>
      <w:r w:rsidRPr="00C6052E">
        <w:t>on</w:t>
      </w:r>
      <w:r w:rsidR="00177848" w:rsidRPr="00C6052E">
        <w:t xml:space="preserve"> </w:t>
      </w:r>
      <w:r w:rsidRPr="00C6052E">
        <w:t>inclusion,</w:t>
      </w:r>
      <w:r w:rsidR="00177848" w:rsidRPr="00C6052E">
        <w:t xml:space="preserve"> </w:t>
      </w:r>
      <w:r w:rsidRPr="00C6052E">
        <w:t>employability</w:t>
      </w:r>
      <w:r w:rsidR="00177848" w:rsidRPr="00C6052E">
        <w:t xml:space="preserve"> </w:t>
      </w:r>
      <w:r w:rsidRPr="00C6052E">
        <w:t>and</w:t>
      </w:r>
      <w:r w:rsidR="00177848" w:rsidRPr="00C6052E">
        <w:t xml:space="preserve"> </w:t>
      </w:r>
      <w:r w:rsidRPr="00C6052E">
        <w:t>career</w:t>
      </w:r>
      <w:r w:rsidR="00177848" w:rsidRPr="00C6052E">
        <w:t xml:space="preserve"> </w:t>
      </w:r>
      <w:r w:rsidRPr="00C6052E">
        <w:t>development</w:t>
      </w:r>
      <w:r w:rsidR="00177848" w:rsidRPr="00C6052E">
        <w:t xml:space="preserve"> </w:t>
      </w:r>
      <w:r w:rsidRPr="00C6052E">
        <w:t>delivered</w:t>
      </w:r>
      <w:r w:rsidR="00177848" w:rsidRPr="00C6052E">
        <w:t xml:space="preserve"> </w:t>
      </w:r>
      <w:r w:rsidRPr="00C6052E">
        <w:t>through</w:t>
      </w:r>
      <w:r w:rsidR="00177848" w:rsidRPr="00C6052E">
        <w:t xml:space="preserve"> </w:t>
      </w:r>
      <w:r w:rsidRPr="00C6052E">
        <w:t>the</w:t>
      </w:r>
      <w:r w:rsidR="00177848" w:rsidRPr="00C6052E">
        <w:t xml:space="preserve"> </w:t>
      </w:r>
      <w:r w:rsidRPr="00C6052E">
        <w:t>Study</w:t>
      </w:r>
      <w:r w:rsidR="00177848" w:rsidRPr="00C6052E">
        <w:t xml:space="preserve"> </w:t>
      </w:r>
      <w:r w:rsidRPr="00C6052E">
        <w:t>Melbourne</w:t>
      </w:r>
      <w:r w:rsidR="00177848" w:rsidRPr="00C6052E">
        <w:t xml:space="preserve"> </w:t>
      </w:r>
      <w:r w:rsidRPr="00C6052E">
        <w:t>hubs</w:t>
      </w:r>
      <w:r w:rsidR="00177848" w:rsidRPr="00C6052E">
        <w:t xml:space="preserve"> </w:t>
      </w:r>
      <w:r w:rsidRPr="00C6052E">
        <w:t>in</w:t>
      </w:r>
      <w:r w:rsidR="00177848" w:rsidRPr="00C6052E">
        <w:t xml:space="preserve"> </w:t>
      </w:r>
      <w:r w:rsidRPr="00C6052E">
        <w:t>Victoria</w:t>
      </w:r>
      <w:r w:rsidR="00177848" w:rsidRPr="00C6052E">
        <w:t xml:space="preserve"> </w:t>
      </w:r>
      <w:r w:rsidRPr="00C6052E">
        <w:t>and</w:t>
      </w:r>
      <w:r w:rsidR="00177848" w:rsidRPr="00C6052E">
        <w:t xml:space="preserve"> </w:t>
      </w:r>
      <w:r w:rsidRPr="00C6052E">
        <w:t>offshore.</w:t>
      </w:r>
      <w:r w:rsidR="00177848" w:rsidRPr="00C6052E">
        <w:t xml:space="preserve"> </w:t>
      </w:r>
      <w:r w:rsidRPr="00C6052E">
        <w:t>International</w:t>
      </w:r>
      <w:r w:rsidR="00177848" w:rsidRPr="00C6052E">
        <w:t xml:space="preserve"> </w:t>
      </w:r>
      <w:r w:rsidRPr="00C6052E">
        <w:t>student</w:t>
      </w:r>
      <w:r w:rsidR="00177848" w:rsidRPr="00C6052E">
        <w:t xml:space="preserve"> </w:t>
      </w:r>
      <w:r w:rsidRPr="00C6052E">
        <w:t>satisfaction</w:t>
      </w:r>
      <w:r w:rsidR="00177848" w:rsidRPr="00C6052E">
        <w:t xml:space="preserve"> </w:t>
      </w:r>
      <w:r w:rsidRPr="00C6052E">
        <w:t>with</w:t>
      </w:r>
      <w:r w:rsidR="00177848" w:rsidRPr="00C6052E">
        <w:t xml:space="preserve"> </w:t>
      </w:r>
      <w:r w:rsidRPr="00C6052E">
        <w:t>extracurricular</w:t>
      </w:r>
      <w:r w:rsidR="00177848" w:rsidRPr="00C6052E">
        <w:t xml:space="preserve"> </w:t>
      </w:r>
      <w:r w:rsidRPr="00C6052E">
        <w:t>programs</w:t>
      </w:r>
      <w:r w:rsidR="00177848" w:rsidRPr="00C6052E">
        <w:t xml:space="preserve"> </w:t>
      </w:r>
      <w:r w:rsidRPr="00C6052E">
        <w:t>and</w:t>
      </w:r>
      <w:r w:rsidR="00177848" w:rsidRPr="00C6052E">
        <w:t xml:space="preserve"> </w:t>
      </w:r>
      <w:r w:rsidRPr="00C6052E">
        <w:t>support</w:t>
      </w:r>
      <w:r w:rsidR="00177848" w:rsidRPr="00C6052E">
        <w:t xml:space="preserve"> </w:t>
      </w:r>
      <w:r w:rsidRPr="00C6052E">
        <w:rPr>
          <w:spacing w:val="-2"/>
        </w:rPr>
        <w:t>services</w:t>
      </w:r>
      <w:r w:rsidR="00177848" w:rsidRPr="00C6052E">
        <w:rPr>
          <w:spacing w:val="-2"/>
        </w:rPr>
        <w:t xml:space="preserve"> </w:t>
      </w:r>
      <w:r w:rsidRPr="00C6052E">
        <w:rPr>
          <w:spacing w:val="-2"/>
        </w:rPr>
        <w:t>enriches</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overall</w:t>
      </w:r>
      <w:r w:rsidR="00177848" w:rsidRPr="00C6052E">
        <w:rPr>
          <w:spacing w:val="-2"/>
        </w:rPr>
        <w:t xml:space="preserve"> </w:t>
      </w:r>
      <w:r w:rsidRPr="00C6052E">
        <w:rPr>
          <w:spacing w:val="-2"/>
        </w:rPr>
        <w:t>study</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living</w:t>
      </w:r>
      <w:r w:rsidR="00177848" w:rsidRPr="00C6052E">
        <w:rPr>
          <w:spacing w:val="-2"/>
        </w:rPr>
        <w:t xml:space="preserve"> </w:t>
      </w:r>
      <w:r w:rsidRPr="00C6052E">
        <w:rPr>
          <w:spacing w:val="-2"/>
        </w:rPr>
        <w:t>experience</w:t>
      </w:r>
      <w:r w:rsidRPr="00C6052E">
        <w:t>,</w:t>
      </w:r>
      <w:r w:rsidR="00177848" w:rsidRPr="00C6052E">
        <w:t xml:space="preserve"> </w:t>
      </w:r>
      <w:r w:rsidRPr="00C6052E">
        <w:t>increasing</w:t>
      </w:r>
      <w:r w:rsidR="00177848" w:rsidRPr="00C6052E">
        <w:t xml:space="preserve"> </w:t>
      </w:r>
      <w:r w:rsidRPr="00C6052E">
        <w:t>the</w:t>
      </w:r>
      <w:r w:rsidR="00177848" w:rsidRPr="00C6052E">
        <w:t xml:space="preserve"> </w:t>
      </w:r>
      <w:r w:rsidRPr="00C6052E">
        <w:t>likelihood</w:t>
      </w:r>
      <w:r w:rsidR="00177848" w:rsidRPr="00C6052E">
        <w:t xml:space="preserve"> </w:t>
      </w:r>
      <w:r w:rsidRPr="00C6052E">
        <w:t>students</w:t>
      </w:r>
      <w:r w:rsidR="00177848" w:rsidRPr="00C6052E">
        <w:t xml:space="preserve"> </w:t>
      </w:r>
      <w:r w:rsidRPr="00C6052E">
        <w:t>will</w:t>
      </w:r>
      <w:r w:rsidR="00177848" w:rsidRPr="00C6052E">
        <w:t xml:space="preserve"> </w:t>
      </w:r>
      <w:r w:rsidRPr="00C6052E">
        <w:t>recommend</w:t>
      </w:r>
      <w:r w:rsidR="00177848" w:rsidRPr="00C6052E">
        <w:t xml:space="preserve"> </w:t>
      </w:r>
      <w:r w:rsidRPr="00C6052E">
        <w:t>Victoria</w:t>
      </w:r>
      <w:r w:rsidR="00177848" w:rsidRPr="00C6052E">
        <w:t xml:space="preserve"> </w:t>
      </w:r>
      <w:r w:rsidRPr="00C6052E">
        <w:t>as</w:t>
      </w:r>
      <w:r w:rsidR="00177848" w:rsidRPr="00C6052E">
        <w:t xml:space="preserve"> </w:t>
      </w:r>
      <w:r w:rsidRPr="00C6052E">
        <w:t>a</w:t>
      </w:r>
      <w:r w:rsidR="00177848" w:rsidRPr="00C6052E">
        <w:t xml:space="preserve"> </w:t>
      </w:r>
      <w:r w:rsidRPr="00C6052E">
        <w:t>study</w:t>
      </w:r>
      <w:r w:rsidR="00177848" w:rsidRPr="00C6052E">
        <w:t xml:space="preserve"> </w:t>
      </w:r>
      <w:r w:rsidRPr="00C6052E">
        <w:t>destination</w:t>
      </w:r>
      <w:r w:rsidR="00177848" w:rsidRPr="00C6052E">
        <w:t xml:space="preserve"> </w:t>
      </w:r>
      <w:r w:rsidRPr="00C6052E">
        <w:t>to</w:t>
      </w:r>
      <w:r w:rsidR="00177848" w:rsidRPr="00C6052E">
        <w:t xml:space="preserve"> </w:t>
      </w:r>
      <w:r w:rsidRPr="00C6052E">
        <w:t>future</w:t>
      </w:r>
      <w:r w:rsidR="00177848" w:rsidRPr="00C6052E">
        <w:t xml:space="preserve"> </w:t>
      </w:r>
      <w:r w:rsidRPr="00C6052E">
        <w:t>students.</w:t>
      </w:r>
    </w:p>
    <w:p w14:paraId="605616DE" w14:textId="254A1187" w:rsidR="00EE5BB8" w:rsidRPr="00C6052E" w:rsidRDefault="00EE5BB8" w:rsidP="00EE5BB8">
      <w:pPr>
        <w:pStyle w:val="Heading3"/>
      </w:pPr>
      <w:r w:rsidRPr="00C6052E">
        <w:lastRenderedPageBreak/>
        <w:t>Indicator:</w:t>
      </w:r>
      <w:r w:rsidR="00177848" w:rsidRPr="00C6052E">
        <w:t xml:space="preserve"> </w:t>
      </w:r>
      <w:r w:rsidRPr="00C6052E">
        <w:t>Jobs,</w:t>
      </w:r>
      <w:r w:rsidR="00177848" w:rsidRPr="00C6052E">
        <w:t xml:space="preserve"> </w:t>
      </w:r>
      <w:r w:rsidRPr="00C6052E">
        <w:t>wages</w:t>
      </w:r>
      <w:r w:rsidR="00177848" w:rsidRPr="00C6052E">
        <w:t xml:space="preserve"> </w:t>
      </w:r>
      <w:r w:rsidRPr="00C6052E">
        <w:t>and</w:t>
      </w:r>
      <w:r w:rsidR="00177848" w:rsidRPr="00C6052E">
        <w:t xml:space="preserve"> </w:t>
      </w:r>
      <w:r w:rsidRPr="00C6052E">
        <w:t>research</w:t>
      </w:r>
      <w:r w:rsidR="00177848" w:rsidRPr="00C6052E">
        <w:t xml:space="preserve"> </w:t>
      </w:r>
      <w:r w:rsidRPr="00C6052E">
        <w:t>and</w:t>
      </w:r>
      <w:r w:rsidR="00177848" w:rsidRPr="00C6052E">
        <w:t xml:space="preserve"> </w:t>
      </w:r>
      <w:r w:rsidRPr="00C6052E">
        <w:t>development</w:t>
      </w:r>
      <w:r w:rsidR="00177848" w:rsidRPr="00C6052E">
        <w:t xml:space="preserve"> </w:t>
      </w:r>
      <w:r w:rsidRPr="00C6052E">
        <w:t>spending</w:t>
      </w:r>
      <w:r w:rsidR="00177848" w:rsidRPr="00C6052E">
        <w:t xml:space="preserve"> </w:t>
      </w:r>
      <w:r w:rsidRPr="00C6052E">
        <w:t>generated</w:t>
      </w:r>
      <w:r w:rsidR="00177848" w:rsidRPr="00C6052E">
        <w:t xml:space="preserve"> </w:t>
      </w:r>
      <w:r w:rsidRPr="00C6052E">
        <w:t>from</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secured</w:t>
      </w:r>
      <w:r w:rsidR="00177848" w:rsidRPr="00C6052E">
        <w:t xml:space="preserve"> </w:t>
      </w:r>
      <w:r w:rsidRPr="00C6052E">
        <w:t>through</w:t>
      </w:r>
      <w:r w:rsidR="00177848" w:rsidRPr="00C6052E">
        <w:t xml:space="preserve"> </w:t>
      </w:r>
      <w:r w:rsidRPr="00C6052E">
        <w:t>Government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r w:rsidR="00177848" w:rsidRPr="00C6052E">
        <w:t xml:space="preserve"> </w:t>
      </w:r>
    </w:p>
    <w:p w14:paraId="61B82BC5" w14:textId="1BEEAE79" w:rsidR="00EE5BB8" w:rsidRPr="00C6052E" w:rsidRDefault="00EE5BB8" w:rsidP="00EE5BB8">
      <w:pPr>
        <w:pStyle w:val="TableHeading"/>
      </w:pPr>
      <w:r w:rsidRPr="00C6052E">
        <w:t>Table</w:t>
      </w:r>
      <w:r w:rsidR="00177848" w:rsidRPr="00C6052E">
        <w:t xml:space="preserve"> </w:t>
      </w:r>
      <w:r w:rsidRPr="00C6052E">
        <w:t>8:</w:t>
      </w:r>
      <w:r w:rsidR="00177848" w:rsidRPr="00C6052E">
        <w:t xml:space="preserve"> </w:t>
      </w:r>
      <w:r w:rsidRPr="00C6052E">
        <w:t>Jobs,</w:t>
      </w:r>
      <w:r w:rsidR="00177848" w:rsidRPr="00C6052E">
        <w:t xml:space="preserve"> </w:t>
      </w:r>
      <w:r w:rsidRPr="00C6052E">
        <w:t>wages</w:t>
      </w:r>
      <w:r w:rsidR="00177848" w:rsidRPr="00C6052E">
        <w:t xml:space="preserve"> </w:t>
      </w:r>
      <w:r w:rsidRPr="00C6052E">
        <w:t>and</w:t>
      </w:r>
      <w:r w:rsidR="00177848" w:rsidRPr="00C6052E">
        <w:t xml:space="preserve"> </w:t>
      </w:r>
      <w:r w:rsidRPr="00C6052E">
        <w:t>research</w:t>
      </w:r>
      <w:r w:rsidR="00177848" w:rsidRPr="00C6052E">
        <w:t xml:space="preserve"> </w:t>
      </w:r>
      <w:r w:rsidRPr="00C6052E">
        <w:t>and</w:t>
      </w:r>
      <w:r w:rsidR="00177848" w:rsidRPr="00C6052E">
        <w:t xml:space="preserve"> </w:t>
      </w:r>
      <w:r w:rsidRPr="00C6052E">
        <w:t>development</w:t>
      </w:r>
      <w:r w:rsidR="00177848" w:rsidRPr="00C6052E">
        <w:t xml:space="preserve"> </w:t>
      </w:r>
      <w:r w:rsidRPr="00C6052E">
        <w:t>spending</w:t>
      </w:r>
      <w:r w:rsidR="00177848" w:rsidRPr="00C6052E">
        <w:t xml:space="preserve"> </w:t>
      </w:r>
      <w:r w:rsidRPr="00C6052E">
        <w:t>generated</w:t>
      </w:r>
      <w:r w:rsidR="00177848" w:rsidRPr="00C6052E">
        <w:t xml:space="preserve"> </w:t>
      </w:r>
      <w:r w:rsidRPr="00C6052E">
        <w:t>from</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secured</w:t>
      </w:r>
      <w:r w:rsidR="00177848" w:rsidRPr="00C6052E">
        <w:t xml:space="preserve"> </w:t>
      </w:r>
      <w:r w:rsidRPr="00C6052E">
        <w:t>through</w:t>
      </w:r>
      <w:r w:rsidR="00177848" w:rsidRPr="00C6052E">
        <w:t xml:space="preserve"> </w:t>
      </w:r>
      <w:r w:rsidRPr="00C6052E">
        <w:t>Government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r w:rsidR="00177848" w:rsidRPr="00C6052E">
        <w:t xml:space="preserve"> </w:t>
      </w:r>
    </w:p>
    <w:tbl>
      <w:tblPr>
        <w:tblStyle w:val="TableGrid"/>
        <w:tblW w:w="9776" w:type="dxa"/>
        <w:tblLayout w:type="fixed"/>
        <w:tblLook w:val="04A0" w:firstRow="1" w:lastRow="0" w:firstColumn="1" w:lastColumn="0" w:noHBand="0" w:noVBand="1"/>
      </w:tblPr>
      <w:tblGrid>
        <w:gridCol w:w="5098"/>
        <w:gridCol w:w="1169"/>
        <w:gridCol w:w="1170"/>
        <w:gridCol w:w="1169"/>
        <w:gridCol w:w="1170"/>
      </w:tblGrid>
      <w:tr w:rsidR="00EE5BB8" w:rsidRPr="00C6052E" w14:paraId="4EB9D02A" w14:textId="77777777" w:rsidTr="0063097D">
        <w:tc>
          <w:tcPr>
            <w:tcW w:w="5098" w:type="dxa"/>
          </w:tcPr>
          <w:p w14:paraId="71741EB2" w14:textId="1569AF3C" w:rsidR="00EE5BB8" w:rsidRPr="00C6052E" w:rsidRDefault="00EE5BB8" w:rsidP="0063097D">
            <w:pPr>
              <w:pStyle w:val="TableColumnHeading"/>
              <w:rPr>
                <w:lang w:val="en-AU"/>
              </w:rPr>
            </w:pPr>
            <w:bookmarkStart w:id="19" w:name="TableColumnHeadings_15"/>
            <w:bookmarkEnd w:id="19"/>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r w:rsidR="00177848" w:rsidRPr="00C6052E">
              <w:rPr>
                <w:lang w:val="en-AU"/>
              </w:rPr>
              <w:t xml:space="preserve"> </w:t>
            </w:r>
          </w:p>
        </w:tc>
        <w:tc>
          <w:tcPr>
            <w:tcW w:w="1169" w:type="dxa"/>
          </w:tcPr>
          <w:p w14:paraId="0ECA95B8" w14:textId="1004B345" w:rsidR="00EE5BB8" w:rsidRPr="00C6052E" w:rsidRDefault="00EE5BB8" w:rsidP="0063097D">
            <w:pPr>
              <w:pStyle w:val="TableColumnHeading"/>
              <w:jc w:val="right"/>
              <w:rPr>
                <w:lang w:val="en-AU"/>
              </w:rPr>
            </w:pPr>
            <w:r w:rsidRPr="00C6052E">
              <w:rPr>
                <w:lang w:val="en-AU"/>
              </w:rPr>
              <w:t>2021–22</w:t>
            </w:r>
            <w:r w:rsidR="00177848" w:rsidRPr="00C6052E">
              <w:rPr>
                <w:lang w:val="en-AU"/>
              </w:rPr>
              <w:t xml:space="preserve"> </w:t>
            </w:r>
          </w:p>
        </w:tc>
        <w:tc>
          <w:tcPr>
            <w:tcW w:w="1170" w:type="dxa"/>
          </w:tcPr>
          <w:p w14:paraId="0CDE5B7C" w14:textId="7938179E" w:rsidR="00EE5BB8" w:rsidRPr="00C6052E" w:rsidRDefault="00EE5BB8" w:rsidP="0063097D">
            <w:pPr>
              <w:pStyle w:val="TableColumnHeading"/>
              <w:jc w:val="right"/>
              <w:rPr>
                <w:lang w:val="en-AU"/>
              </w:rPr>
            </w:pPr>
            <w:r w:rsidRPr="00C6052E">
              <w:rPr>
                <w:lang w:val="en-AU"/>
              </w:rPr>
              <w:t>2022–23</w:t>
            </w:r>
            <w:r w:rsidR="00177848" w:rsidRPr="00C6052E">
              <w:rPr>
                <w:lang w:val="en-AU"/>
              </w:rPr>
              <w:t xml:space="preserve"> </w:t>
            </w:r>
          </w:p>
        </w:tc>
        <w:tc>
          <w:tcPr>
            <w:tcW w:w="1169" w:type="dxa"/>
          </w:tcPr>
          <w:p w14:paraId="49685AE5" w14:textId="28C7E6A8" w:rsidR="00EE5BB8" w:rsidRPr="00C6052E" w:rsidRDefault="00EE5BB8" w:rsidP="0063097D">
            <w:pPr>
              <w:pStyle w:val="TableColumnHeading"/>
              <w:jc w:val="right"/>
              <w:rPr>
                <w:lang w:val="en-AU"/>
              </w:rPr>
            </w:pPr>
            <w:r w:rsidRPr="00C6052E">
              <w:rPr>
                <w:lang w:val="en-AU"/>
              </w:rPr>
              <w:t>2023–24</w:t>
            </w:r>
            <w:r w:rsidR="00177848" w:rsidRPr="00C6052E">
              <w:rPr>
                <w:lang w:val="en-AU"/>
              </w:rPr>
              <w:t xml:space="preserve"> </w:t>
            </w:r>
          </w:p>
        </w:tc>
        <w:tc>
          <w:tcPr>
            <w:tcW w:w="1170" w:type="dxa"/>
          </w:tcPr>
          <w:p w14:paraId="4373DB88"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00B3AE7F" w14:textId="77777777" w:rsidTr="0063097D">
        <w:tc>
          <w:tcPr>
            <w:tcW w:w="5098" w:type="dxa"/>
          </w:tcPr>
          <w:p w14:paraId="4973BA57" w14:textId="4F8B9036" w:rsidR="00EE5BB8" w:rsidRPr="00C6052E" w:rsidRDefault="00EE5BB8" w:rsidP="0063097D">
            <w:pPr>
              <w:pStyle w:val="TableCopy"/>
              <w:rPr>
                <w:lang w:val="en-AU"/>
              </w:rPr>
            </w:pPr>
            <w:r w:rsidRPr="00C6052E">
              <w:rPr>
                <w:lang w:val="en-AU"/>
              </w:rPr>
              <w:t>Jobs</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r w:rsidR="00177848" w:rsidRPr="00C6052E">
              <w:rPr>
                <w:lang w:val="en-AU"/>
              </w:rPr>
              <w:t xml:space="preserve"> </w:t>
            </w:r>
            <w:r w:rsidRPr="00C6052E">
              <w:rPr>
                <w:lang w:val="en-AU"/>
              </w:rPr>
              <w:t>(number)</w:t>
            </w:r>
            <w:r w:rsidR="00177848" w:rsidRPr="00C6052E">
              <w:rPr>
                <w:lang w:val="en-AU"/>
              </w:rPr>
              <w:t xml:space="preserve"> </w:t>
            </w:r>
          </w:p>
        </w:tc>
        <w:tc>
          <w:tcPr>
            <w:tcW w:w="1169" w:type="dxa"/>
          </w:tcPr>
          <w:p w14:paraId="77C088B3" w14:textId="7BE83CB0" w:rsidR="00EE5BB8" w:rsidRPr="00C6052E" w:rsidRDefault="00EE5BB8" w:rsidP="0063097D">
            <w:pPr>
              <w:pStyle w:val="TableCopy"/>
              <w:jc w:val="right"/>
              <w:rPr>
                <w:lang w:val="en-AU"/>
              </w:rPr>
            </w:pPr>
            <w:r w:rsidRPr="00C6052E">
              <w:rPr>
                <w:lang w:val="en-AU"/>
              </w:rPr>
              <w:t>3,721</w:t>
            </w:r>
            <w:r w:rsidR="00177848" w:rsidRPr="00C6052E">
              <w:rPr>
                <w:lang w:val="en-AU"/>
              </w:rPr>
              <w:t xml:space="preserve"> </w:t>
            </w:r>
          </w:p>
        </w:tc>
        <w:tc>
          <w:tcPr>
            <w:tcW w:w="1170" w:type="dxa"/>
          </w:tcPr>
          <w:p w14:paraId="304926DA" w14:textId="51549D7C" w:rsidR="00EE5BB8" w:rsidRPr="00C6052E" w:rsidRDefault="00EE5BB8" w:rsidP="0063097D">
            <w:pPr>
              <w:pStyle w:val="TableCopy"/>
              <w:jc w:val="right"/>
              <w:rPr>
                <w:lang w:val="en-AU"/>
              </w:rPr>
            </w:pPr>
            <w:r w:rsidRPr="00C6052E">
              <w:rPr>
                <w:lang w:val="en-AU"/>
              </w:rPr>
              <w:t>2,549</w:t>
            </w:r>
            <w:r w:rsidR="00177848" w:rsidRPr="00C6052E">
              <w:rPr>
                <w:lang w:val="en-AU"/>
              </w:rPr>
              <w:t xml:space="preserve"> </w:t>
            </w:r>
          </w:p>
        </w:tc>
        <w:tc>
          <w:tcPr>
            <w:tcW w:w="1169" w:type="dxa"/>
          </w:tcPr>
          <w:p w14:paraId="01643B5C" w14:textId="77777777" w:rsidR="00EE5BB8" w:rsidRPr="00C6052E" w:rsidRDefault="00EE5BB8" w:rsidP="0063097D">
            <w:pPr>
              <w:pStyle w:val="TableCopy"/>
              <w:jc w:val="right"/>
              <w:rPr>
                <w:lang w:val="en-AU"/>
              </w:rPr>
            </w:pPr>
            <w:r w:rsidRPr="00C6052E">
              <w:rPr>
                <w:lang w:val="en-AU"/>
              </w:rPr>
              <w:t>4,550</w:t>
            </w:r>
          </w:p>
        </w:tc>
        <w:tc>
          <w:tcPr>
            <w:tcW w:w="1170" w:type="dxa"/>
          </w:tcPr>
          <w:p w14:paraId="7D45FACE" w14:textId="77777777" w:rsidR="00EE5BB8" w:rsidRPr="00C6052E" w:rsidRDefault="00EE5BB8" w:rsidP="0063097D">
            <w:pPr>
              <w:pStyle w:val="TableCopy"/>
              <w:jc w:val="right"/>
              <w:rPr>
                <w:lang w:val="en-AU"/>
              </w:rPr>
            </w:pPr>
            <w:r w:rsidRPr="00C6052E">
              <w:rPr>
                <w:lang w:val="en-AU"/>
              </w:rPr>
              <w:t>1,847</w:t>
            </w:r>
          </w:p>
        </w:tc>
      </w:tr>
      <w:tr w:rsidR="00EE5BB8" w:rsidRPr="00C6052E" w14:paraId="66D5F687" w14:textId="77777777" w:rsidTr="0063097D">
        <w:tc>
          <w:tcPr>
            <w:tcW w:w="5098" w:type="dxa"/>
          </w:tcPr>
          <w:p w14:paraId="0839EE52" w14:textId="60AC4EC5" w:rsidR="00EE5BB8" w:rsidRPr="00C6052E" w:rsidRDefault="00EE5BB8" w:rsidP="0063097D">
            <w:pPr>
              <w:pStyle w:val="TableCopy"/>
              <w:rPr>
                <w:lang w:val="en-AU"/>
              </w:rPr>
            </w:pPr>
            <w:r w:rsidRPr="00C6052E">
              <w:rPr>
                <w:lang w:val="en-AU"/>
              </w:rPr>
              <w:t>Wages</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r w:rsidR="00177848" w:rsidRPr="00C6052E">
              <w:rPr>
                <w:lang w:val="en-AU"/>
              </w:rPr>
              <w:t xml:space="preserve"> </w:t>
            </w:r>
            <w:r w:rsidRPr="00C6052E">
              <w:rPr>
                <w:lang w:val="en-AU"/>
              </w:rPr>
              <w:t>($</w:t>
            </w:r>
            <w:r w:rsidR="00177848" w:rsidRPr="00C6052E">
              <w:rPr>
                <w:lang w:val="en-AU"/>
              </w:rPr>
              <w:t xml:space="preserve"> </w:t>
            </w:r>
            <w:r w:rsidRPr="00C6052E">
              <w:rPr>
                <w:lang w:val="en-AU"/>
              </w:rPr>
              <w:t>million)</w:t>
            </w:r>
            <w:r w:rsidR="00177848" w:rsidRPr="00C6052E">
              <w:rPr>
                <w:lang w:val="en-AU"/>
              </w:rPr>
              <w:t xml:space="preserve"> </w:t>
            </w:r>
          </w:p>
        </w:tc>
        <w:tc>
          <w:tcPr>
            <w:tcW w:w="1169" w:type="dxa"/>
          </w:tcPr>
          <w:p w14:paraId="31786B66" w14:textId="15AA83BA" w:rsidR="00EE5BB8" w:rsidRPr="00C6052E" w:rsidRDefault="00EE5BB8" w:rsidP="0063097D">
            <w:pPr>
              <w:pStyle w:val="TableCopy"/>
              <w:jc w:val="right"/>
              <w:rPr>
                <w:lang w:val="en-AU"/>
              </w:rPr>
            </w:pPr>
            <w:r w:rsidRPr="00C6052E">
              <w:rPr>
                <w:lang w:val="en-AU"/>
              </w:rPr>
              <w:t>431</w:t>
            </w:r>
            <w:r w:rsidR="00177848" w:rsidRPr="00C6052E">
              <w:rPr>
                <w:lang w:val="en-AU"/>
              </w:rPr>
              <w:t xml:space="preserve"> </w:t>
            </w:r>
          </w:p>
        </w:tc>
        <w:tc>
          <w:tcPr>
            <w:tcW w:w="1170" w:type="dxa"/>
          </w:tcPr>
          <w:p w14:paraId="73BD0274" w14:textId="23F90038" w:rsidR="00EE5BB8" w:rsidRPr="00C6052E" w:rsidRDefault="00EE5BB8" w:rsidP="0063097D">
            <w:pPr>
              <w:pStyle w:val="TableCopy"/>
              <w:jc w:val="right"/>
              <w:rPr>
                <w:lang w:val="en-AU"/>
              </w:rPr>
            </w:pPr>
            <w:r w:rsidRPr="00C6052E">
              <w:rPr>
                <w:lang w:val="en-AU"/>
              </w:rPr>
              <w:t>332</w:t>
            </w:r>
            <w:r w:rsidR="00177848" w:rsidRPr="00C6052E">
              <w:rPr>
                <w:lang w:val="en-AU"/>
              </w:rPr>
              <w:t xml:space="preserve"> </w:t>
            </w:r>
          </w:p>
        </w:tc>
        <w:tc>
          <w:tcPr>
            <w:tcW w:w="1169" w:type="dxa"/>
          </w:tcPr>
          <w:p w14:paraId="35140EE5" w14:textId="29FC7FB7" w:rsidR="00EE5BB8" w:rsidRPr="00C6052E" w:rsidRDefault="00EE5BB8" w:rsidP="0063097D">
            <w:pPr>
              <w:pStyle w:val="TableCopy"/>
              <w:jc w:val="right"/>
              <w:rPr>
                <w:lang w:val="en-AU"/>
              </w:rPr>
            </w:pPr>
            <w:r w:rsidRPr="00C6052E">
              <w:rPr>
                <w:lang w:val="en-AU"/>
              </w:rPr>
              <w:t>474</w:t>
            </w:r>
            <w:r w:rsidR="00177848" w:rsidRPr="00C6052E">
              <w:rPr>
                <w:lang w:val="en-AU"/>
              </w:rPr>
              <w:t xml:space="preserve"> </w:t>
            </w:r>
          </w:p>
        </w:tc>
        <w:tc>
          <w:tcPr>
            <w:tcW w:w="1170" w:type="dxa"/>
          </w:tcPr>
          <w:p w14:paraId="5D8C34E4" w14:textId="156BFD1A" w:rsidR="00EE5BB8" w:rsidRPr="00C6052E" w:rsidRDefault="00EE5BB8" w:rsidP="0063097D">
            <w:pPr>
              <w:pStyle w:val="TableCopy"/>
              <w:jc w:val="right"/>
              <w:rPr>
                <w:lang w:val="en-AU"/>
              </w:rPr>
            </w:pPr>
            <w:r w:rsidRPr="00C6052E">
              <w:rPr>
                <w:lang w:val="en-AU"/>
              </w:rPr>
              <w:t>230</w:t>
            </w:r>
            <w:r w:rsidR="00177848" w:rsidRPr="00C6052E">
              <w:rPr>
                <w:lang w:val="en-AU"/>
              </w:rPr>
              <w:t xml:space="preserve"> </w:t>
            </w:r>
          </w:p>
        </w:tc>
      </w:tr>
      <w:tr w:rsidR="00EE5BB8" w:rsidRPr="00C6052E" w14:paraId="1A978D86" w14:textId="77777777" w:rsidTr="0063097D">
        <w:tc>
          <w:tcPr>
            <w:tcW w:w="5098" w:type="dxa"/>
          </w:tcPr>
          <w:p w14:paraId="395F81DE" w14:textId="6DC38C57" w:rsidR="00EE5BB8" w:rsidRPr="00C6052E" w:rsidRDefault="00EE5BB8" w:rsidP="0063097D">
            <w:pPr>
              <w:pStyle w:val="TableCopy"/>
              <w:rPr>
                <w:lang w:val="en-AU"/>
              </w:rPr>
            </w:pPr>
            <w:r w:rsidRPr="00C6052E">
              <w:rPr>
                <w:lang w:val="en-AU"/>
              </w:rPr>
              <w:t>Innovation</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r w:rsidR="00177848" w:rsidRPr="00C6052E">
              <w:rPr>
                <w:lang w:val="en-AU"/>
              </w:rPr>
              <w:t xml:space="preserve"> </w:t>
            </w:r>
            <w:r w:rsidRPr="00C6052E">
              <w:rPr>
                <w:lang w:val="en-AU"/>
              </w:rPr>
              <w:t>($</w:t>
            </w:r>
            <w:r w:rsidR="00177848" w:rsidRPr="00C6052E">
              <w:rPr>
                <w:lang w:val="en-AU"/>
              </w:rPr>
              <w:t xml:space="preserve"> </w:t>
            </w:r>
            <w:r w:rsidRPr="00C6052E">
              <w:rPr>
                <w:lang w:val="en-AU"/>
              </w:rPr>
              <w:t>million)</w:t>
            </w:r>
            <w:r w:rsidR="00177848" w:rsidRPr="00C6052E">
              <w:rPr>
                <w:lang w:val="en-AU"/>
              </w:rPr>
              <w:t xml:space="preserve"> </w:t>
            </w:r>
          </w:p>
        </w:tc>
        <w:tc>
          <w:tcPr>
            <w:tcW w:w="1169" w:type="dxa"/>
          </w:tcPr>
          <w:p w14:paraId="2005FFE9" w14:textId="52888030" w:rsidR="00EE5BB8" w:rsidRPr="00C6052E" w:rsidRDefault="00EE5BB8" w:rsidP="0063097D">
            <w:pPr>
              <w:pStyle w:val="TableCopy"/>
              <w:jc w:val="right"/>
              <w:rPr>
                <w:lang w:val="en-AU"/>
              </w:rPr>
            </w:pPr>
            <w:r w:rsidRPr="00C6052E">
              <w:rPr>
                <w:lang w:val="en-AU"/>
              </w:rPr>
              <w:t>596</w:t>
            </w:r>
            <w:r w:rsidR="00177848" w:rsidRPr="00C6052E">
              <w:rPr>
                <w:lang w:val="en-AU"/>
              </w:rPr>
              <w:t xml:space="preserve"> </w:t>
            </w:r>
          </w:p>
        </w:tc>
        <w:tc>
          <w:tcPr>
            <w:tcW w:w="1170" w:type="dxa"/>
          </w:tcPr>
          <w:p w14:paraId="21375474" w14:textId="7D18BDB3" w:rsidR="00EE5BB8" w:rsidRPr="00C6052E" w:rsidRDefault="00EE5BB8" w:rsidP="0063097D">
            <w:pPr>
              <w:pStyle w:val="TableCopy"/>
              <w:jc w:val="right"/>
              <w:rPr>
                <w:lang w:val="en-AU"/>
              </w:rPr>
            </w:pPr>
            <w:r w:rsidRPr="00C6052E">
              <w:rPr>
                <w:lang w:val="en-AU"/>
              </w:rPr>
              <w:t>625</w:t>
            </w:r>
            <w:r w:rsidR="00177848" w:rsidRPr="00C6052E">
              <w:rPr>
                <w:lang w:val="en-AU"/>
              </w:rPr>
              <w:t xml:space="preserve"> </w:t>
            </w:r>
          </w:p>
        </w:tc>
        <w:tc>
          <w:tcPr>
            <w:tcW w:w="1169" w:type="dxa"/>
          </w:tcPr>
          <w:p w14:paraId="62AFB291" w14:textId="603F3BE7" w:rsidR="00EE5BB8" w:rsidRPr="00C6052E" w:rsidRDefault="00EE5BB8" w:rsidP="0063097D">
            <w:pPr>
              <w:pStyle w:val="TableCopy"/>
              <w:jc w:val="right"/>
              <w:rPr>
                <w:lang w:val="en-AU"/>
              </w:rPr>
            </w:pPr>
            <w:r w:rsidRPr="00C6052E">
              <w:rPr>
                <w:lang w:val="en-AU"/>
              </w:rPr>
              <w:t>427</w:t>
            </w:r>
            <w:r w:rsidR="00177848" w:rsidRPr="00C6052E">
              <w:rPr>
                <w:lang w:val="en-AU"/>
              </w:rPr>
              <w:t xml:space="preserve"> </w:t>
            </w:r>
          </w:p>
        </w:tc>
        <w:tc>
          <w:tcPr>
            <w:tcW w:w="1170" w:type="dxa"/>
          </w:tcPr>
          <w:p w14:paraId="09624902" w14:textId="509EE019" w:rsidR="00EE5BB8" w:rsidRPr="00C6052E" w:rsidRDefault="00177848" w:rsidP="0063097D">
            <w:pPr>
              <w:pStyle w:val="TableCopy"/>
              <w:jc w:val="right"/>
              <w:rPr>
                <w:lang w:val="en-AU"/>
              </w:rPr>
            </w:pPr>
            <w:r w:rsidRPr="00C6052E">
              <w:rPr>
                <w:lang w:val="en-AU"/>
              </w:rPr>
              <w:t xml:space="preserve"> </w:t>
            </w:r>
            <w:r w:rsidR="00EE5BB8" w:rsidRPr="00C6052E">
              <w:rPr>
                <w:lang w:val="en-AU"/>
              </w:rPr>
              <w:t>205</w:t>
            </w:r>
          </w:p>
        </w:tc>
      </w:tr>
    </w:tbl>
    <w:p w14:paraId="431CFF35" w14:textId="77777777" w:rsidR="00EE5BB8" w:rsidRPr="00C6052E" w:rsidRDefault="00EE5BB8" w:rsidP="00EE5BB8"/>
    <w:p w14:paraId="4A777091" w14:textId="500DBD00" w:rsidR="00EE5BB8" w:rsidRPr="00C6052E" w:rsidRDefault="00EE5BB8" w:rsidP="00EE5BB8">
      <w:pPr>
        <w:pStyle w:val="TableHeading"/>
      </w:pPr>
      <w:r w:rsidRPr="00C6052E">
        <w:t>Figure</w:t>
      </w:r>
      <w:r w:rsidR="00177848" w:rsidRPr="00C6052E">
        <w:t xml:space="preserve"> </w:t>
      </w:r>
      <w:r w:rsidRPr="00C6052E">
        <w:t>6:</w:t>
      </w:r>
      <w:r w:rsidR="00177848" w:rsidRPr="00C6052E">
        <w:t xml:space="preserve"> </w:t>
      </w:r>
      <w:r w:rsidRPr="00C6052E">
        <w:t>Jobs</w:t>
      </w:r>
      <w:r w:rsidR="00177848" w:rsidRPr="00C6052E">
        <w:t xml:space="preserve"> </w:t>
      </w:r>
      <w:r w:rsidRPr="00C6052E">
        <w:t>generated</w:t>
      </w:r>
      <w:r w:rsidR="00177848" w:rsidRPr="00C6052E">
        <w:t xml:space="preserve"> </w:t>
      </w:r>
      <w:r w:rsidRPr="00C6052E">
        <w:t>from</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secured</w:t>
      </w:r>
      <w:r w:rsidR="00177848" w:rsidRPr="00C6052E">
        <w:t xml:space="preserve"> </w:t>
      </w:r>
      <w:r w:rsidRPr="00C6052E">
        <w:t>through</w:t>
      </w:r>
      <w:r w:rsidR="00177848" w:rsidRPr="00C6052E">
        <w:t xml:space="preserve"> </w:t>
      </w:r>
      <w:r w:rsidRPr="00C6052E">
        <w:t>government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p>
    <w:p w14:paraId="63263C1F" w14:textId="77777777" w:rsidR="00EE5BB8" w:rsidRPr="00C6052E" w:rsidRDefault="00EE5BB8" w:rsidP="00EE5BB8">
      <w:pPr>
        <w:pStyle w:val="Graph"/>
        <w:rPr>
          <w:noProof w:val="0"/>
        </w:rPr>
      </w:pPr>
      <w:r w:rsidRPr="00C6052E">
        <w:drawing>
          <wp:inline distT="0" distB="0" distL="0" distR="0" wp14:anchorId="4D136C26" wp14:editId="65EE01E5">
            <wp:extent cx="4050000" cy="2700000"/>
            <wp:effectExtent l="0" t="0" r="0" b="0"/>
            <wp:docPr id="1838932661" name="Chart 1" descr="Line graph showing data from Table 8: Jobs, wages and research and development spending generated from international investment secured through Government facilitation services and assistance (above).">
              <a:extLst xmlns:a="http://schemas.openxmlformats.org/drawingml/2006/main">
                <a:ext uri="{FF2B5EF4-FFF2-40B4-BE49-F238E27FC236}">
                  <a16:creationId xmlns:a16="http://schemas.microsoft.com/office/drawing/2014/main" id="{00000000-0008-0000-0600-000009000000}"/>
                </a:ext>
                <a:ext uri="{147F2762-F138-4A5C-976F-8EAC2B608ADB}">
                  <a16:predDERef xmlns:a16="http://schemas.microsoft.com/office/drawing/2014/main" pred="{00000000-0008-0000-06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DD5C1C" w14:textId="09286798" w:rsidR="00EE5BB8" w:rsidRPr="00C6052E" w:rsidRDefault="00EE5BB8" w:rsidP="00EE5BB8">
      <w:pPr>
        <w:pStyle w:val="TableHeading"/>
      </w:pPr>
      <w:r w:rsidRPr="00C6052E">
        <w:lastRenderedPageBreak/>
        <w:t>Figure</w:t>
      </w:r>
      <w:r w:rsidR="00177848" w:rsidRPr="00C6052E">
        <w:t xml:space="preserve"> </w:t>
      </w:r>
      <w:r w:rsidRPr="00C6052E">
        <w:t>7:</w:t>
      </w:r>
      <w:r w:rsidR="00177848" w:rsidRPr="00C6052E">
        <w:t xml:space="preserve"> </w:t>
      </w:r>
      <w:r w:rsidRPr="00C6052E">
        <w:t>Wages</w:t>
      </w:r>
      <w:r w:rsidR="00177848" w:rsidRPr="00C6052E">
        <w:t xml:space="preserve"> </w:t>
      </w:r>
      <w:r w:rsidRPr="00C6052E">
        <w:t>generated</w:t>
      </w:r>
      <w:r w:rsidR="00177848" w:rsidRPr="00C6052E">
        <w:t xml:space="preserve"> </w:t>
      </w:r>
      <w:r w:rsidRPr="00C6052E">
        <w:t>from</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secured</w:t>
      </w:r>
      <w:r w:rsidR="00177848" w:rsidRPr="00C6052E">
        <w:t xml:space="preserve"> </w:t>
      </w:r>
      <w:r w:rsidRPr="00C6052E">
        <w:t>through</w:t>
      </w:r>
      <w:r w:rsidR="00177848" w:rsidRPr="00C6052E">
        <w:t xml:space="preserve"> </w:t>
      </w:r>
      <w:r w:rsidRPr="00C6052E">
        <w:t>government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p>
    <w:p w14:paraId="632378C2" w14:textId="77777777" w:rsidR="00EE5BB8" w:rsidRPr="00C6052E" w:rsidRDefault="00EE5BB8" w:rsidP="00EE5BB8">
      <w:pPr>
        <w:pStyle w:val="Graph"/>
        <w:rPr>
          <w:noProof w:val="0"/>
        </w:rPr>
      </w:pPr>
      <w:r w:rsidRPr="00C6052E">
        <w:drawing>
          <wp:inline distT="0" distB="0" distL="0" distR="0" wp14:anchorId="232917F7" wp14:editId="0B062604">
            <wp:extent cx="4050000" cy="2700000"/>
            <wp:effectExtent l="0" t="0" r="8255" b="0"/>
            <wp:docPr id="403363106" name="Chart 1" descr="Line graph showing data from Table 8: Jobs, wages and research and development spending generated from international investment secured through Government facilitation services and assistance (above).">
              <a:extLst xmlns:a="http://schemas.openxmlformats.org/drawingml/2006/main">
                <a:ext uri="{FF2B5EF4-FFF2-40B4-BE49-F238E27FC236}">
                  <a16:creationId xmlns:a16="http://schemas.microsoft.com/office/drawing/2014/main" id="{1844CE90-9C2B-4F70-922A-3227D7B1B663}"/>
                </a:ext>
                <a:ext uri="{147F2762-F138-4A5C-976F-8EAC2B608ADB}">
                  <a16:predDERef xmlns:a16="http://schemas.microsoft.com/office/drawing/2014/main" pred="{00000000-0008-0000-0600-000028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DC9B77" w14:textId="1A6EF626" w:rsidR="00EE5BB8" w:rsidRPr="00C6052E" w:rsidRDefault="00EE5BB8" w:rsidP="00EE5BB8">
      <w:pPr>
        <w:pStyle w:val="TableHeading"/>
      </w:pPr>
      <w:r w:rsidRPr="00C6052E">
        <w:t>Figure</w:t>
      </w:r>
      <w:r w:rsidR="00177848" w:rsidRPr="00C6052E">
        <w:t xml:space="preserve"> </w:t>
      </w:r>
      <w:r w:rsidRPr="00C6052E">
        <w:t>8:</w:t>
      </w:r>
      <w:r w:rsidR="00177848" w:rsidRPr="00C6052E">
        <w:t xml:space="preserve"> </w:t>
      </w:r>
      <w:r w:rsidRPr="00C6052E">
        <w:t>Innovation</w:t>
      </w:r>
      <w:r w:rsidR="00177848" w:rsidRPr="00C6052E">
        <w:t xml:space="preserve"> </w:t>
      </w:r>
      <w:r w:rsidRPr="00C6052E">
        <w:t>expenditure</w:t>
      </w:r>
      <w:r w:rsidR="00177848" w:rsidRPr="00C6052E">
        <w:t xml:space="preserve"> </w:t>
      </w:r>
      <w:r w:rsidRPr="00C6052E">
        <w:t>generated</w:t>
      </w:r>
      <w:r w:rsidR="00177848" w:rsidRPr="00C6052E">
        <w:t xml:space="preserve"> </w:t>
      </w:r>
      <w:r w:rsidRPr="00C6052E">
        <w:t>from</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secured</w:t>
      </w:r>
      <w:r w:rsidR="00177848" w:rsidRPr="00C6052E">
        <w:t xml:space="preserve"> </w:t>
      </w:r>
      <w:r w:rsidRPr="00C6052E">
        <w:t>through</w:t>
      </w:r>
      <w:r w:rsidR="00177848" w:rsidRPr="00C6052E">
        <w:t xml:space="preserve"> </w:t>
      </w:r>
      <w:r w:rsidRPr="00C6052E">
        <w:t>government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p>
    <w:p w14:paraId="44452123" w14:textId="77777777" w:rsidR="00EE5BB8" w:rsidRPr="00C6052E" w:rsidRDefault="00EE5BB8" w:rsidP="00EE5BB8">
      <w:pPr>
        <w:pStyle w:val="Graph"/>
        <w:rPr>
          <w:noProof w:val="0"/>
        </w:rPr>
      </w:pPr>
      <w:r w:rsidRPr="00C6052E">
        <w:drawing>
          <wp:inline distT="0" distB="0" distL="0" distR="0" wp14:anchorId="7A9A29BF" wp14:editId="6D53E06C">
            <wp:extent cx="4050000" cy="2700000"/>
            <wp:effectExtent l="0" t="0" r="0" b="0"/>
            <wp:docPr id="1753278631" name="Chart 1" descr="Line graph showing data from Table 8: Jobs, wages and research and development spending generated from international investment secured through Government facilitation services and assistance (above).">
              <a:extLst xmlns:a="http://schemas.openxmlformats.org/drawingml/2006/main">
                <a:ext uri="{FF2B5EF4-FFF2-40B4-BE49-F238E27FC236}">
                  <a16:creationId xmlns:a16="http://schemas.microsoft.com/office/drawing/2014/main" id="{F444F554-7AA2-46A9-900F-67DF556FEC64}"/>
                </a:ext>
                <a:ext uri="{147F2762-F138-4A5C-976F-8EAC2B608ADB}">
                  <a16:predDERef xmlns:a16="http://schemas.microsoft.com/office/drawing/2014/main" pred="{1844CE90-9C2B-4F70-922A-3227D7B1B66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150DB0" w14:textId="1C02BE8D" w:rsidR="00EE5BB8" w:rsidRPr="00C6052E" w:rsidRDefault="00EE5BB8" w:rsidP="00EE5BB8">
      <w:r w:rsidRPr="00C6052E">
        <w:t>In</w:t>
      </w:r>
      <w:r w:rsidR="00177848" w:rsidRPr="00C6052E">
        <w:t xml:space="preserve"> </w:t>
      </w:r>
      <w:r w:rsidRPr="00C6052E">
        <w:t>2024–25,</w:t>
      </w:r>
      <w:r w:rsidR="00177848" w:rsidRPr="00C6052E">
        <w:t xml:space="preserve"> </w:t>
      </w:r>
      <w:r w:rsidRPr="00C6052E">
        <w:t>66</w:t>
      </w:r>
      <w:r w:rsidR="00177848" w:rsidRPr="00C6052E">
        <w:t xml:space="preserve"> </w:t>
      </w:r>
      <w:r w:rsidRPr="00C6052E">
        <w:t>investment</w:t>
      </w:r>
      <w:r w:rsidR="00177848" w:rsidRPr="00C6052E">
        <w:t xml:space="preserve"> </w:t>
      </w:r>
      <w:r w:rsidRPr="00C6052E">
        <w:t>projects</w:t>
      </w:r>
      <w:r w:rsidR="00177848" w:rsidRPr="00C6052E">
        <w:t xml:space="preserve"> </w:t>
      </w:r>
      <w:r w:rsidRPr="00C6052E">
        <w:t>were</w:t>
      </w:r>
      <w:r w:rsidR="00177848" w:rsidRPr="00C6052E">
        <w:t xml:space="preserve"> </w:t>
      </w:r>
      <w:r w:rsidRPr="00C6052E">
        <w:t>secured</w:t>
      </w:r>
      <w:r w:rsidR="00177848" w:rsidRPr="00C6052E">
        <w:t xml:space="preserve"> </w:t>
      </w:r>
      <w:r w:rsidRPr="00C6052E">
        <w:t>against</w:t>
      </w:r>
      <w:r w:rsidR="00177848" w:rsidRPr="00C6052E">
        <w:t xml:space="preserve"> </w:t>
      </w:r>
      <w:r w:rsidRPr="00C6052E">
        <w:t>the</w:t>
      </w:r>
      <w:r w:rsidR="00177848" w:rsidRPr="00C6052E">
        <w:t xml:space="preserve"> </w:t>
      </w:r>
      <w:r w:rsidRPr="00C6052E">
        <w:t>objective</w:t>
      </w:r>
      <w:r w:rsidR="00177848" w:rsidRPr="00C6052E">
        <w:t xml:space="preserve"> </w:t>
      </w:r>
      <w:r w:rsidRPr="00C6052E">
        <w:t>indicators</w:t>
      </w:r>
      <w:r w:rsidR="00177848" w:rsidRPr="00C6052E">
        <w:t xml:space="preserve"> </w:t>
      </w:r>
      <w:r w:rsidRPr="00C6052E">
        <w:t>in</w:t>
      </w:r>
      <w:r w:rsidR="00177848" w:rsidRPr="00C6052E">
        <w:t xml:space="preserve"> </w:t>
      </w:r>
      <w:r w:rsidRPr="00C6052E">
        <w:t>the</w:t>
      </w:r>
      <w:r w:rsidR="00177848" w:rsidRPr="00C6052E">
        <w:t xml:space="preserve"> </w:t>
      </w:r>
      <w:r w:rsidRPr="00C6052E">
        <w:t>table</w:t>
      </w:r>
      <w:r w:rsidR="00177848" w:rsidRPr="00C6052E">
        <w:t xml:space="preserve"> </w:t>
      </w:r>
      <w:r w:rsidRPr="00C6052E">
        <w:t>above,</w:t>
      </w:r>
      <w:r w:rsidR="00177848" w:rsidRPr="00C6052E">
        <w:t xml:space="preserve"> </w:t>
      </w:r>
      <w:r w:rsidRPr="00C6052E">
        <w:t>which</w:t>
      </w:r>
      <w:r w:rsidR="00177848" w:rsidRPr="00C6052E">
        <w:t xml:space="preserve"> </w:t>
      </w:r>
      <w:r w:rsidRPr="00C6052E">
        <w:t>are</w:t>
      </w:r>
      <w:r w:rsidR="00177848" w:rsidRPr="00C6052E">
        <w:t xml:space="preserve"> </w:t>
      </w:r>
      <w:r w:rsidRPr="00C6052E">
        <w:t>expected</w:t>
      </w:r>
      <w:r w:rsidR="00177848" w:rsidRPr="00C6052E">
        <w:t xml:space="preserve"> </w:t>
      </w:r>
      <w:r w:rsidRPr="00C6052E">
        <w:t>to</w:t>
      </w:r>
      <w:r w:rsidR="00177848" w:rsidRPr="00C6052E">
        <w:t xml:space="preserve"> </w:t>
      </w:r>
      <w:r w:rsidRPr="00C6052E">
        <w:t>deliver</w:t>
      </w:r>
      <w:r w:rsidR="00177848" w:rsidRPr="00C6052E">
        <w:t xml:space="preserve"> </w:t>
      </w:r>
      <w:r w:rsidRPr="00C6052E">
        <w:t>1,847</w:t>
      </w:r>
      <w:r w:rsidR="00177848" w:rsidRPr="00C6052E">
        <w:t xml:space="preserve"> </w:t>
      </w:r>
      <w:r w:rsidRPr="00C6052E">
        <w:t>new</w:t>
      </w:r>
      <w:r w:rsidR="00177848" w:rsidRPr="00C6052E">
        <w:t xml:space="preserve"> </w:t>
      </w:r>
      <w:r w:rsidRPr="00C6052E">
        <w:t>direct</w:t>
      </w:r>
      <w:r w:rsidR="00177848" w:rsidRPr="00C6052E">
        <w:t xml:space="preserve"> </w:t>
      </w:r>
      <w:r w:rsidRPr="00C6052E">
        <w:t>jobs,</w:t>
      </w:r>
      <w:r w:rsidR="00177848" w:rsidRPr="00C6052E">
        <w:t xml:space="preserve"> </w:t>
      </w:r>
      <w:r w:rsidRPr="00C6052E">
        <w:t>$230</w:t>
      </w:r>
      <w:r w:rsidR="00177848" w:rsidRPr="00C6052E">
        <w:t xml:space="preserve"> </w:t>
      </w:r>
      <w:r w:rsidRPr="00C6052E">
        <w:t>million</w:t>
      </w:r>
      <w:r w:rsidR="00177848" w:rsidRPr="00C6052E">
        <w:t xml:space="preserve"> </w:t>
      </w:r>
      <w:r w:rsidRPr="00C6052E">
        <w:t>wage</w:t>
      </w:r>
      <w:r w:rsidR="00177848" w:rsidRPr="00C6052E">
        <w:t xml:space="preserve"> </w:t>
      </w:r>
      <w:r w:rsidRPr="00C6052E">
        <w:t>expenditure</w:t>
      </w:r>
      <w:r w:rsidR="00177848" w:rsidRPr="00C6052E">
        <w:t xml:space="preserve"> </w:t>
      </w:r>
      <w:r w:rsidRPr="00C6052E">
        <w:t>and</w:t>
      </w:r>
      <w:r w:rsidR="00177848" w:rsidRPr="00C6052E">
        <w:t xml:space="preserve"> </w:t>
      </w:r>
      <w:r w:rsidRPr="00C6052E">
        <w:t>$205</w:t>
      </w:r>
      <w:r w:rsidR="00177848" w:rsidRPr="00C6052E">
        <w:t xml:space="preserve"> </w:t>
      </w:r>
      <w:r w:rsidRPr="00C6052E">
        <w:t>million</w:t>
      </w:r>
      <w:r w:rsidR="00177848" w:rsidRPr="00C6052E">
        <w:t xml:space="preserve"> </w:t>
      </w:r>
      <w:r w:rsidRPr="00C6052E">
        <w:t>in</w:t>
      </w:r>
      <w:r w:rsidR="00177848" w:rsidRPr="00C6052E">
        <w:t xml:space="preserve"> </w:t>
      </w:r>
      <w:r w:rsidRPr="00C6052E">
        <w:t>innovation</w:t>
      </w:r>
      <w:r w:rsidR="00177848" w:rsidRPr="00C6052E">
        <w:t xml:space="preserve"> </w:t>
      </w:r>
      <w:r w:rsidRPr="00C6052E">
        <w:t>expenditure.</w:t>
      </w:r>
      <w:r w:rsidR="00177848" w:rsidRPr="00C6052E">
        <w:t xml:space="preserve"> </w:t>
      </w:r>
      <w:r w:rsidRPr="00C6052E">
        <w:t>Notwithstanding</w:t>
      </w:r>
      <w:r w:rsidR="00177848" w:rsidRPr="00C6052E">
        <w:t xml:space="preserve"> </w:t>
      </w:r>
      <w:r w:rsidRPr="00C6052E">
        <w:t>the</w:t>
      </w:r>
      <w:r w:rsidR="00177848" w:rsidRPr="00C6052E">
        <w:t xml:space="preserve"> </w:t>
      </w:r>
      <w:r w:rsidRPr="00C6052E">
        <w:t>lower</w:t>
      </w:r>
      <w:r w:rsidR="00177848" w:rsidRPr="00C6052E">
        <w:t xml:space="preserve"> </w:t>
      </w:r>
      <w:r w:rsidRPr="00C6052E">
        <w:t>investment</w:t>
      </w:r>
      <w:r w:rsidR="00177848" w:rsidRPr="00C6052E">
        <w:t xml:space="preserve"> </w:t>
      </w:r>
      <w:r w:rsidRPr="00C6052E">
        <w:t>outcomes</w:t>
      </w:r>
      <w:r w:rsidR="00177848" w:rsidRPr="00C6052E">
        <w:t xml:space="preserve"> </w:t>
      </w:r>
      <w:r w:rsidRPr="00C6052E">
        <w:t>in</w:t>
      </w:r>
      <w:r w:rsidR="00177848" w:rsidRPr="00C6052E">
        <w:t xml:space="preserve"> </w:t>
      </w:r>
      <w:r w:rsidRPr="00C6052E">
        <w:t>2024–25</w:t>
      </w:r>
      <w:r w:rsidR="00177848" w:rsidRPr="00C6052E">
        <w:t xml:space="preserve"> </w:t>
      </w:r>
      <w:r w:rsidRPr="00C6052E">
        <w:t>compared</w:t>
      </w:r>
      <w:r w:rsidR="00177848" w:rsidRPr="00C6052E">
        <w:t xml:space="preserve"> </w:t>
      </w:r>
      <w:r w:rsidRPr="00C6052E">
        <w:t>to</w:t>
      </w:r>
      <w:r w:rsidR="00177848" w:rsidRPr="00C6052E">
        <w:t xml:space="preserve"> </w:t>
      </w:r>
      <w:r w:rsidRPr="00C6052E">
        <w:t>recent</w:t>
      </w:r>
      <w:r w:rsidR="00177848" w:rsidRPr="00C6052E">
        <w:t xml:space="preserve"> </w:t>
      </w:r>
      <w:r w:rsidRPr="00C6052E">
        <w:t>years,</w:t>
      </w:r>
      <w:r w:rsidR="00177848" w:rsidRPr="00C6052E">
        <w:t xml:space="preserve"> </w:t>
      </w:r>
      <w:r w:rsidRPr="00C6052E">
        <w:t>all</w:t>
      </w:r>
      <w:r w:rsidR="00177848" w:rsidRPr="00C6052E">
        <w:t xml:space="preserve"> </w:t>
      </w:r>
      <w:r w:rsidRPr="00C6052E">
        <w:t>targets</w:t>
      </w:r>
      <w:r w:rsidR="00177848" w:rsidRPr="00C6052E">
        <w:t xml:space="preserve"> </w:t>
      </w:r>
      <w:r w:rsidRPr="00C6052E">
        <w:t>were</w:t>
      </w:r>
      <w:r w:rsidR="00177848" w:rsidRPr="00C6052E">
        <w:t xml:space="preserve"> </w:t>
      </w:r>
      <w:r w:rsidRPr="00C6052E">
        <w:t>significantly</w:t>
      </w:r>
      <w:r w:rsidR="00177848" w:rsidRPr="00C6052E">
        <w:t xml:space="preserve"> </w:t>
      </w:r>
      <w:r w:rsidRPr="00C6052E">
        <w:t>exceeded</w:t>
      </w:r>
      <w:r w:rsidR="00177848" w:rsidRPr="00C6052E">
        <w:t xml:space="preserve"> </w:t>
      </w:r>
      <w:r w:rsidRPr="00C6052E">
        <w:t>and</w:t>
      </w:r>
      <w:r w:rsidR="00177848" w:rsidRPr="00C6052E">
        <w:t xml:space="preserve"> </w:t>
      </w:r>
      <w:r w:rsidRPr="00C6052E">
        <w:t>driven</w:t>
      </w:r>
      <w:r w:rsidR="00177848" w:rsidRPr="00C6052E">
        <w:t xml:space="preserve"> </w:t>
      </w:r>
      <w:r w:rsidRPr="00C6052E">
        <w:t>by</w:t>
      </w:r>
      <w:r w:rsidR="00177848" w:rsidRPr="00C6052E">
        <w:t xml:space="preserve"> </w:t>
      </w:r>
      <w:r w:rsidRPr="00C6052E">
        <w:t>a</w:t>
      </w:r>
      <w:r w:rsidR="00177848" w:rsidRPr="00C6052E">
        <w:t xml:space="preserve"> </w:t>
      </w:r>
      <w:r w:rsidRPr="00C6052E">
        <w:t>small</w:t>
      </w:r>
      <w:r w:rsidR="00177848" w:rsidRPr="00C6052E">
        <w:t xml:space="preserve"> </w:t>
      </w:r>
      <w:r w:rsidRPr="00C6052E">
        <w:t>number</w:t>
      </w:r>
      <w:r w:rsidR="00177848" w:rsidRPr="00C6052E">
        <w:t xml:space="preserve"> </w:t>
      </w:r>
      <w:r w:rsidRPr="00C6052E">
        <w:t>of</w:t>
      </w:r>
      <w:r w:rsidR="00177848" w:rsidRPr="00C6052E">
        <w:t xml:space="preserve"> </w:t>
      </w:r>
      <w:r w:rsidRPr="00C6052E">
        <w:t>high-value</w:t>
      </w:r>
      <w:r w:rsidR="00177848" w:rsidRPr="00C6052E">
        <w:t xml:space="preserve"> </w:t>
      </w:r>
      <w:r w:rsidRPr="00C6052E">
        <w:t>projects</w:t>
      </w:r>
      <w:r w:rsidR="00177848" w:rsidRPr="00C6052E">
        <w:t xml:space="preserve"> </w:t>
      </w:r>
      <w:r w:rsidRPr="00C6052E">
        <w:t>aligned</w:t>
      </w:r>
      <w:r w:rsidR="00177848" w:rsidRPr="00C6052E">
        <w:t xml:space="preserve"> </w:t>
      </w:r>
      <w:r w:rsidRPr="00C6052E">
        <w:t>with</w:t>
      </w:r>
      <w:r w:rsidR="00177848" w:rsidRPr="00C6052E">
        <w:t xml:space="preserve"> </w:t>
      </w:r>
      <w:r w:rsidRPr="00C6052E">
        <w:t>strategic</w:t>
      </w:r>
      <w:r w:rsidR="00177848" w:rsidRPr="00C6052E">
        <w:t xml:space="preserve"> </w:t>
      </w:r>
      <w:r w:rsidRPr="00C6052E">
        <w:t>priorities.</w:t>
      </w:r>
    </w:p>
    <w:p w14:paraId="61BAE7D6" w14:textId="09F6D7E3" w:rsidR="00EE5BB8" w:rsidRPr="00C6052E" w:rsidRDefault="00EE5BB8" w:rsidP="0028635E">
      <w:pPr>
        <w:pStyle w:val="Normalbeforebullets"/>
      </w:pPr>
      <w:r w:rsidRPr="00C6052E">
        <w:t>Notable</w:t>
      </w:r>
      <w:r w:rsidR="00177848" w:rsidRPr="00C6052E">
        <w:t xml:space="preserve"> </w:t>
      </w:r>
      <w:r w:rsidRPr="00C6052E">
        <w:t>investments</w:t>
      </w:r>
      <w:r w:rsidR="00177848" w:rsidRPr="00C6052E">
        <w:t xml:space="preserve"> </w:t>
      </w:r>
      <w:r w:rsidRPr="00C6052E">
        <w:t>were</w:t>
      </w:r>
      <w:r w:rsidR="00177848" w:rsidRPr="00C6052E">
        <w:t xml:space="preserve"> </w:t>
      </w:r>
      <w:r w:rsidRPr="00C6052E">
        <w:t>announced,</w:t>
      </w:r>
      <w:r w:rsidR="00177848" w:rsidRPr="00C6052E">
        <w:t xml:space="preserve"> </w:t>
      </w:r>
      <w:r w:rsidRPr="00C6052E">
        <w:t>which</w:t>
      </w:r>
      <w:r w:rsidR="00177848" w:rsidRPr="00C6052E">
        <w:t xml:space="preserve"> </w:t>
      </w:r>
      <w:r w:rsidRPr="00C6052E">
        <w:t>include</w:t>
      </w:r>
      <w:r w:rsidR="00177848" w:rsidRPr="00C6052E">
        <w:t xml:space="preserve"> </w:t>
      </w:r>
      <w:r w:rsidRPr="00C6052E">
        <w:t>the</w:t>
      </w:r>
      <w:r w:rsidR="00177848" w:rsidRPr="00C6052E">
        <w:t xml:space="preserve"> </w:t>
      </w:r>
      <w:r w:rsidRPr="00C6052E">
        <w:t>following:</w:t>
      </w:r>
    </w:p>
    <w:p w14:paraId="5A5CE0D8" w14:textId="1D00AE88" w:rsidR="00EE5BB8" w:rsidRPr="00C6052E" w:rsidRDefault="00EE5BB8" w:rsidP="00EE5BB8">
      <w:pPr>
        <w:pStyle w:val="Bullet1"/>
        <w:numPr>
          <w:ilvl w:val="0"/>
          <w:numId w:val="1"/>
        </w:numPr>
        <w:spacing w:line="278" w:lineRule="auto"/>
        <w:ind w:left="284" w:hanging="284"/>
        <w:rPr>
          <w:lang w:val="en-AU"/>
        </w:rPr>
      </w:pPr>
      <w:proofErr w:type="spellStart"/>
      <w:r w:rsidRPr="00C6052E">
        <w:rPr>
          <w:lang w:val="en-AU"/>
        </w:rPr>
        <w:t>Firstsource</w:t>
      </w:r>
      <w:proofErr w:type="spellEnd"/>
      <w:r w:rsidRPr="00C6052E">
        <w:rPr>
          <w:lang w:val="en-AU"/>
        </w:rPr>
        <w:t>,</w:t>
      </w:r>
      <w:r w:rsidR="00177848" w:rsidRPr="00C6052E">
        <w:rPr>
          <w:lang w:val="en-AU"/>
        </w:rPr>
        <w:t xml:space="preserve"> </w:t>
      </w:r>
      <w:r w:rsidRPr="00C6052E">
        <w:rPr>
          <w:lang w:val="en-AU"/>
        </w:rPr>
        <w:t>a</w:t>
      </w:r>
      <w:r w:rsidR="00177848" w:rsidRPr="00C6052E">
        <w:rPr>
          <w:lang w:val="en-AU"/>
        </w:rPr>
        <w:t xml:space="preserve"> </w:t>
      </w:r>
      <w:r w:rsidRPr="00C6052E">
        <w:rPr>
          <w:lang w:val="en-AU"/>
        </w:rPr>
        <w:t>leading</w:t>
      </w:r>
      <w:r w:rsidR="00177848" w:rsidRPr="00C6052E">
        <w:rPr>
          <w:lang w:val="en-AU"/>
        </w:rPr>
        <w:t xml:space="preserve"> </w:t>
      </w:r>
      <w:r w:rsidRPr="00C6052E">
        <w:rPr>
          <w:lang w:val="en-AU"/>
        </w:rPr>
        <w:t>Indian</w:t>
      </w:r>
      <w:r w:rsidR="00177848" w:rsidRPr="00C6052E">
        <w:rPr>
          <w:lang w:val="en-AU"/>
        </w:rPr>
        <w:t xml:space="preserve"> </w:t>
      </w:r>
      <w:r w:rsidRPr="00C6052E">
        <w:rPr>
          <w:lang w:val="en-AU"/>
        </w:rPr>
        <w:t>global</w:t>
      </w:r>
      <w:r w:rsidR="00177848" w:rsidRPr="00C6052E">
        <w:rPr>
          <w:lang w:val="en-AU"/>
        </w:rPr>
        <w:t xml:space="preserve"> </w:t>
      </w:r>
      <w:r w:rsidRPr="00C6052E">
        <w:rPr>
          <w:lang w:val="en-AU"/>
        </w:rPr>
        <w:t>provider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specialist</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process</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chose</w:t>
      </w:r>
      <w:r w:rsidR="00177848" w:rsidRPr="00C6052E">
        <w:rPr>
          <w:lang w:val="en-AU"/>
        </w:rPr>
        <w:t xml:space="preserve"> </w:t>
      </w:r>
      <w:r w:rsidRPr="00C6052E">
        <w:rPr>
          <w:lang w:val="en-AU"/>
        </w:rPr>
        <w:t>Melbourne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New</w:t>
      </w:r>
      <w:r w:rsidR="00177848" w:rsidRPr="00C6052E">
        <w:rPr>
          <w:lang w:val="en-AU"/>
        </w:rPr>
        <w:t xml:space="preserve"> </w:t>
      </w:r>
      <w:r w:rsidRPr="00C6052E">
        <w:rPr>
          <w:lang w:val="en-AU"/>
        </w:rPr>
        <w:t>Zealand</w:t>
      </w:r>
      <w:r w:rsidR="00177848" w:rsidRPr="00C6052E">
        <w:rPr>
          <w:lang w:val="en-AU"/>
        </w:rPr>
        <w:t xml:space="preserve"> </w:t>
      </w:r>
      <w:r w:rsidRPr="00C6052E">
        <w:rPr>
          <w:lang w:val="en-AU"/>
        </w:rPr>
        <w:t>headquarters.</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HQ</w:t>
      </w:r>
      <w:r w:rsidR="00177848" w:rsidRPr="00C6052E">
        <w:rPr>
          <w:lang w:val="en-AU"/>
        </w:rPr>
        <w:t xml:space="preserve"> </w:t>
      </w:r>
      <w:r w:rsidRPr="00C6052E">
        <w:rPr>
          <w:lang w:val="en-AU"/>
        </w:rPr>
        <w:t>will</w:t>
      </w:r>
      <w:r w:rsidR="00177848" w:rsidRPr="00C6052E">
        <w:rPr>
          <w:lang w:val="en-AU"/>
        </w:rPr>
        <w:t xml:space="preserve"> </w:t>
      </w:r>
      <w:r w:rsidRPr="00C6052E">
        <w:rPr>
          <w:lang w:val="en-AU"/>
        </w:rPr>
        <w:t>include</w:t>
      </w:r>
      <w:r w:rsidR="00177848" w:rsidRPr="00C6052E">
        <w:rPr>
          <w:lang w:val="en-AU"/>
        </w:rPr>
        <w:t xml:space="preserve"> </w:t>
      </w:r>
      <w:r w:rsidRPr="00C6052E">
        <w:rPr>
          <w:lang w:val="en-AU"/>
        </w:rPr>
        <w:t>a</w:t>
      </w:r>
      <w:r w:rsidR="00177848" w:rsidRPr="00C6052E">
        <w:rPr>
          <w:lang w:val="en-AU"/>
        </w:rPr>
        <w:t xml:space="preserve"> </w:t>
      </w:r>
      <w:r w:rsidRPr="00C6052E">
        <w:rPr>
          <w:lang w:val="en-AU"/>
        </w:rPr>
        <w:t>delivery</w:t>
      </w:r>
      <w:r w:rsidR="00177848" w:rsidRPr="00C6052E">
        <w:rPr>
          <w:lang w:val="en-AU"/>
        </w:rPr>
        <w:t xml:space="preserve"> </w:t>
      </w:r>
      <w:r w:rsidRPr="00C6052E">
        <w:rPr>
          <w:lang w:val="en-AU"/>
        </w:rPr>
        <w:t>centre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AI</w:t>
      </w:r>
      <w:r w:rsidR="00177848" w:rsidRPr="00C6052E">
        <w:rPr>
          <w:lang w:val="en-AU"/>
        </w:rPr>
        <w:t xml:space="preserve"> </w:t>
      </w:r>
      <w:r w:rsidRPr="00C6052E">
        <w:rPr>
          <w:lang w:val="en-AU"/>
        </w:rPr>
        <w:t>innovation</w:t>
      </w:r>
      <w:r w:rsidR="00177848" w:rsidRPr="00C6052E">
        <w:rPr>
          <w:lang w:val="en-AU"/>
        </w:rPr>
        <w:t xml:space="preserve"> </w:t>
      </w:r>
      <w:r w:rsidRPr="00C6052E">
        <w:rPr>
          <w:lang w:val="en-AU"/>
        </w:rPr>
        <w:t>lab,</w:t>
      </w:r>
      <w:r w:rsidR="00177848" w:rsidRPr="00C6052E">
        <w:rPr>
          <w:lang w:val="en-AU"/>
        </w:rPr>
        <w:t xml:space="preserve"> </w:t>
      </w:r>
      <w:r w:rsidRPr="00C6052E">
        <w:rPr>
          <w:lang w:val="en-AU"/>
        </w:rPr>
        <w:t>creating</w:t>
      </w:r>
      <w:r w:rsidR="00177848" w:rsidRPr="00C6052E">
        <w:rPr>
          <w:lang w:val="en-AU"/>
        </w:rPr>
        <w:t xml:space="preserve"> </w:t>
      </w:r>
      <w:r w:rsidRPr="00C6052E">
        <w:rPr>
          <w:lang w:val="en-AU"/>
        </w:rPr>
        <w:t>400</w:t>
      </w:r>
      <w:r w:rsidR="00177848" w:rsidRPr="00C6052E">
        <w:rPr>
          <w:lang w:val="en-AU"/>
        </w:rPr>
        <w:t xml:space="preserve"> </w:t>
      </w:r>
      <w:r w:rsidRPr="00C6052E">
        <w:rPr>
          <w:lang w:val="en-AU"/>
        </w:rPr>
        <w:t>jobs</w:t>
      </w:r>
    </w:p>
    <w:p w14:paraId="382AB215" w14:textId="5E3E0CF8" w:rsidR="00EE5BB8" w:rsidRPr="00C6052E" w:rsidRDefault="00EE5BB8" w:rsidP="00EE5BB8">
      <w:pPr>
        <w:pStyle w:val="Bullet1"/>
        <w:numPr>
          <w:ilvl w:val="0"/>
          <w:numId w:val="1"/>
        </w:numPr>
        <w:spacing w:line="278" w:lineRule="auto"/>
        <w:ind w:left="284" w:hanging="284"/>
        <w:rPr>
          <w:lang w:val="en-AU"/>
        </w:rPr>
      </w:pPr>
      <w:r w:rsidRPr="00C6052E">
        <w:rPr>
          <w:lang w:val="en-AU"/>
        </w:rPr>
        <w:lastRenderedPageBreak/>
        <w:t>Sonata</w:t>
      </w:r>
      <w:r w:rsidR="00177848" w:rsidRPr="00C6052E">
        <w:rPr>
          <w:lang w:val="en-AU"/>
        </w:rPr>
        <w:t xml:space="preserve"> </w:t>
      </w:r>
      <w:r w:rsidRPr="00C6052E">
        <w:rPr>
          <w:lang w:val="en-AU"/>
        </w:rPr>
        <w:t>Software,</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Indian</w:t>
      </w:r>
      <w:r w:rsidR="00177848" w:rsidRPr="00C6052E">
        <w:rPr>
          <w:lang w:val="en-AU"/>
        </w:rPr>
        <w:t xml:space="preserve"> </w:t>
      </w:r>
      <w:r w:rsidRPr="00C6052E">
        <w:rPr>
          <w:lang w:val="en-AU"/>
        </w:rPr>
        <w:t>modernisation</w:t>
      </w:r>
      <w:r w:rsidR="00177848" w:rsidRPr="00C6052E">
        <w:rPr>
          <w:lang w:val="en-AU"/>
        </w:rPr>
        <w:t xml:space="preserve"> </w:t>
      </w:r>
      <w:r w:rsidRPr="00C6052E">
        <w:rPr>
          <w:lang w:val="en-AU"/>
        </w:rPr>
        <w:t>engineering</w:t>
      </w:r>
      <w:r w:rsidR="00177848" w:rsidRPr="00C6052E">
        <w:rPr>
          <w:lang w:val="en-AU"/>
        </w:rPr>
        <w:t xml:space="preserve"> </w:t>
      </w:r>
      <w:r w:rsidRPr="00C6052E">
        <w:rPr>
          <w:lang w:val="en-AU"/>
        </w:rPr>
        <w:t>company</w:t>
      </w:r>
      <w:r w:rsidR="00177848" w:rsidRPr="00C6052E">
        <w:rPr>
          <w:lang w:val="en-AU"/>
        </w:rPr>
        <w:t xml:space="preserve"> </w:t>
      </w:r>
      <w:r w:rsidRPr="00C6052E">
        <w:rPr>
          <w:lang w:val="en-AU"/>
        </w:rPr>
        <w:t>will</w:t>
      </w:r>
      <w:r w:rsidR="00177848" w:rsidRPr="00C6052E">
        <w:rPr>
          <w:lang w:val="en-AU"/>
        </w:rPr>
        <w:t xml:space="preserve"> </w:t>
      </w:r>
      <w:r w:rsidRPr="00C6052E">
        <w:rPr>
          <w:lang w:val="en-AU"/>
        </w:rPr>
        <w:t>establish</w:t>
      </w:r>
      <w:r w:rsidR="00177848" w:rsidRPr="00C6052E">
        <w:rPr>
          <w:lang w:val="en-AU"/>
        </w:rPr>
        <w:t xml:space="preserve"> </w:t>
      </w:r>
      <w:r w:rsidRPr="00C6052E">
        <w:rPr>
          <w:lang w:val="en-AU"/>
        </w:rPr>
        <w:t>a</w:t>
      </w:r>
      <w:r w:rsidR="00177848" w:rsidRPr="00C6052E">
        <w:rPr>
          <w:lang w:val="en-AU"/>
        </w:rPr>
        <w:t xml:space="preserve"> </w:t>
      </w:r>
      <w:r w:rsidRPr="00C6052E">
        <w:rPr>
          <w:lang w:val="en-AU"/>
        </w:rPr>
        <w:t>new</w:t>
      </w:r>
      <w:r w:rsidR="00177848" w:rsidRPr="00C6052E">
        <w:rPr>
          <w:lang w:val="en-AU"/>
        </w:rPr>
        <w:t xml:space="preserve"> </w:t>
      </w:r>
      <w:r w:rsidRPr="00C6052E">
        <w:rPr>
          <w:lang w:val="en-AU"/>
        </w:rPr>
        <w:t>centre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excellence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Melbourne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meet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growing</w:t>
      </w:r>
      <w:r w:rsidR="00177848" w:rsidRPr="00C6052E">
        <w:rPr>
          <w:lang w:val="en-AU"/>
        </w:rPr>
        <w:t xml:space="preserve"> </w:t>
      </w:r>
      <w:r w:rsidRPr="00C6052E">
        <w:rPr>
          <w:lang w:val="en-AU"/>
        </w:rPr>
        <w:t>demand</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generative</w:t>
      </w:r>
      <w:r w:rsidR="00177848" w:rsidRPr="00C6052E">
        <w:rPr>
          <w:lang w:val="en-AU"/>
        </w:rPr>
        <w:t xml:space="preserve"> </w:t>
      </w:r>
      <w:r w:rsidRPr="00C6052E">
        <w:rPr>
          <w:lang w:val="en-AU"/>
        </w:rPr>
        <w:t>AI</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data</w:t>
      </w:r>
      <w:r w:rsidR="00177848" w:rsidRPr="00C6052E">
        <w:rPr>
          <w:lang w:val="en-AU"/>
        </w:rPr>
        <w:t xml:space="preserve"> </w:t>
      </w:r>
      <w:r w:rsidRPr="00C6052E">
        <w:rPr>
          <w:lang w:val="en-AU"/>
        </w:rPr>
        <w:t>solutions,</w:t>
      </w:r>
      <w:r w:rsidR="00177848" w:rsidRPr="00C6052E">
        <w:rPr>
          <w:lang w:val="en-AU"/>
        </w:rPr>
        <w:t xml:space="preserve"> </w:t>
      </w:r>
      <w:r w:rsidRPr="00C6052E">
        <w:rPr>
          <w:lang w:val="en-AU"/>
        </w:rPr>
        <w:t>creating</w:t>
      </w:r>
      <w:r w:rsidR="00177848" w:rsidRPr="00C6052E">
        <w:rPr>
          <w:lang w:val="en-AU"/>
        </w:rPr>
        <w:t xml:space="preserve"> </w:t>
      </w:r>
      <w:r w:rsidRPr="00C6052E">
        <w:rPr>
          <w:lang w:val="en-AU"/>
        </w:rPr>
        <w:t>100</w:t>
      </w:r>
      <w:r w:rsidR="00177848" w:rsidRPr="00C6052E">
        <w:rPr>
          <w:lang w:val="en-AU"/>
        </w:rPr>
        <w:t xml:space="preserve"> </w:t>
      </w:r>
      <w:r w:rsidRPr="00C6052E">
        <w:rPr>
          <w:lang w:val="en-AU"/>
        </w:rPr>
        <w:t>jobs</w:t>
      </w:r>
    </w:p>
    <w:p w14:paraId="58FEB3E2" w14:textId="0A054E31" w:rsidR="00EE5BB8" w:rsidRPr="00C6052E" w:rsidRDefault="00EE5BB8" w:rsidP="00EE5BB8">
      <w:pPr>
        <w:pStyle w:val="Bullet1"/>
        <w:numPr>
          <w:ilvl w:val="0"/>
          <w:numId w:val="1"/>
        </w:numPr>
        <w:spacing w:line="278" w:lineRule="auto"/>
        <w:ind w:left="284" w:hanging="284"/>
        <w:rPr>
          <w:lang w:val="en-AU"/>
        </w:rPr>
      </w:pPr>
      <w:r w:rsidRPr="00C6052E">
        <w:rPr>
          <w:lang w:val="en-AU"/>
        </w:rPr>
        <w:t>Fever,</w:t>
      </w:r>
      <w:r w:rsidR="00177848" w:rsidRPr="00C6052E">
        <w:rPr>
          <w:lang w:val="en-AU"/>
        </w:rPr>
        <w:t xml:space="preserve"> </w:t>
      </w:r>
      <w:r w:rsidRPr="00C6052E">
        <w:rPr>
          <w:lang w:val="en-AU"/>
        </w:rPr>
        <w:t>a</w:t>
      </w:r>
      <w:r w:rsidR="00177848" w:rsidRPr="00C6052E">
        <w:rPr>
          <w:lang w:val="en-AU"/>
        </w:rPr>
        <w:t xml:space="preserve"> </w:t>
      </w:r>
      <w:r w:rsidRPr="00C6052E">
        <w:rPr>
          <w:lang w:val="en-AU"/>
        </w:rPr>
        <w:t>leading</w:t>
      </w:r>
      <w:r w:rsidR="00177848" w:rsidRPr="00C6052E">
        <w:rPr>
          <w:lang w:val="en-AU"/>
        </w:rPr>
        <w:t xml:space="preserve"> </w:t>
      </w:r>
      <w:r w:rsidRPr="00C6052E">
        <w:rPr>
          <w:lang w:val="en-AU"/>
        </w:rPr>
        <w:t>Spanish</w:t>
      </w:r>
      <w:r w:rsidR="00177848" w:rsidRPr="00C6052E">
        <w:rPr>
          <w:lang w:val="en-AU"/>
        </w:rPr>
        <w:t xml:space="preserve"> </w:t>
      </w:r>
      <w:r w:rsidRPr="00C6052E">
        <w:rPr>
          <w:lang w:val="en-AU"/>
        </w:rPr>
        <w:t>live-entertainment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ticketing</w:t>
      </w:r>
      <w:r w:rsidR="00177848" w:rsidRPr="00C6052E">
        <w:rPr>
          <w:lang w:val="en-AU"/>
        </w:rPr>
        <w:t xml:space="preserve"> </w:t>
      </w:r>
      <w:r w:rsidRPr="00C6052E">
        <w:rPr>
          <w:lang w:val="en-AU"/>
        </w:rPr>
        <w:t>platform</w:t>
      </w:r>
      <w:r w:rsidR="00177848" w:rsidRPr="00C6052E">
        <w:rPr>
          <w:lang w:val="en-AU"/>
        </w:rPr>
        <w:t xml:space="preserve"> </w:t>
      </w:r>
      <w:r w:rsidRPr="00C6052E">
        <w:rPr>
          <w:lang w:val="en-AU"/>
        </w:rPr>
        <w:t>established</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ANZ</w:t>
      </w:r>
      <w:r w:rsidR="00177848" w:rsidRPr="00C6052E">
        <w:rPr>
          <w:lang w:val="en-AU"/>
        </w:rPr>
        <w:t xml:space="preserve"> </w:t>
      </w:r>
      <w:r w:rsidRPr="00C6052E">
        <w:rPr>
          <w:lang w:val="en-AU"/>
        </w:rPr>
        <w:t>headquarters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Melbourne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will</w:t>
      </w:r>
      <w:r w:rsidR="00177848" w:rsidRPr="00C6052E">
        <w:rPr>
          <w:lang w:val="en-AU"/>
        </w:rPr>
        <w:t xml:space="preserve"> </w:t>
      </w:r>
      <w:r w:rsidRPr="00C6052E">
        <w:rPr>
          <w:lang w:val="en-AU"/>
        </w:rPr>
        <w:t>enhance</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year-round</w:t>
      </w:r>
      <w:r w:rsidR="00177848" w:rsidRPr="00C6052E">
        <w:rPr>
          <w:lang w:val="en-AU"/>
        </w:rPr>
        <w:t xml:space="preserve"> </w:t>
      </w:r>
      <w:r w:rsidRPr="00C6052E">
        <w:rPr>
          <w:lang w:val="en-AU"/>
        </w:rPr>
        <w:t>entertainment</w:t>
      </w:r>
      <w:r w:rsidR="00177848" w:rsidRPr="00C6052E">
        <w:rPr>
          <w:lang w:val="en-AU"/>
        </w:rPr>
        <w:t xml:space="preserve"> </w:t>
      </w:r>
      <w:r w:rsidRPr="00C6052E">
        <w:rPr>
          <w:lang w:val="en-AU"/>
        </w:rPr>
        <w:t>calendar</w:t>
      </w:r>
    </w:p>
    <w:p w14:paraId="3E47C04A" w14:textId="5AABF26B" w:rsidR="00EE5BB8" w:rsidRPr="00C6052E" w:rsidRDefault="00EE5BB8" w:rsidP="00EE5BB8">
      <w:pPr>
        <w:pStyle w:val="Bullet1"/>
        <w:numPr>
          <w:ilvl w:val="0"/>
          <w:numId w:val="1"/>
        </w:numPr>
        <w:spacing w:line="278" w:lineRule="auto"/>
        <w:ind w:left="284" w:hanging="284"/>
        <w:rPr>
          <w:lang w:val="en-AU"/>
        </w:rPr>
      </w:pPr>
      <w:r w:rsidRPr="00C6052E">
        <w:rPr>
          <w:lang w:val="en-AU"/>
        </w:rPr>
        <w:t>Olympus,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Japanese</w:t>
      </w:r>
      <w:r w:rsidR="00177848" w:rsidRPr="00C6052E">
        <w:rPr>
          <w:lang w:val="en-AU"/>
        </w:rPr>
        <w:t xml:space="preserve"> </w:t>
      </w:r>
      <w:r w:rsidRPr="00C6052E">
        <w:rPr>
          <w:lang w:val="en-AU"/>
        </w:rPr>
        <w:t>company,</w:t>
      </w:r>
      <w:r w:rsidR="00177848" w:rsidRPr="00C6052E">
        <w:rPr>
          <w:lang w:val="en-AU"/>
        </w:rPr>
        <w:t xml:space="preserve"> </w:t>
      </w:r>
      <w:r w:rsidRPr="00C6052E">
        <w:rPr>
          <w:lang w:val="en-AU"/>
        </w:rPr>
        <w:t>announced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opening</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Endoscopy</w:t>
      </w:r>
      <w:r w:rsidR="00177848" w:rsidRPr="00C6052E">
        <w:rPr>
          <w:lang w:val="en-AU"/>
        </w:rPr>
        <w:t xml:space="preserve"> </w:t>
      </w:r>
      <w:r w:rsidRPr="00C6052E">
        <w:rPr>
          <w:lang w:val="en-AU"/>
        </w:rPr>
        <w:t>Re-sterilisation</w:t>
      </w:r>
      <w:r w:rsidR="00177848" w:rsidRPr="00C6052E">
        <w:rPr>
          <w:lang w:val="en-AU"/>
        </w:rPr>
        <w:t xml:space="preserve"> </w:t>
      </w:r>
      <w:r w:rsidRPr="00C6052E">
        <w:rPr>
          <w:lang w:val="en-AU"/>
        </w:rPr>
        <w:t>Facility.</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this</w:t>
      </w:r>
      <w:r w:rsidR="00177848" w:rsidRPr="00C6052E">
        <w:rPr>
          <w:lang w:val="en-AU"/>
        </w:rPr>
        <w:t xml:space="preserve"> </w:t>
      </w:r>
      <w:r w:rsidRPr="00C6052E">
        <w:rPr>
          <w:lang w:val="en-AU"/>
        </w:rPr>
        <w:t>facility,</w:t>
      </w:r>
      <w:r w:rsidR="00177848" w:rsidRPr="00C6052E">
        <w:rPr>
          <w:lang w:val="en-AU"/>
        </w:rPr>
        <w:t xml:space="preserve"> </w:t>
      </w:r>
      <w:r w:rsidRPr="00C6052E">
        <w:rPr>
          <w:lang w:val="en-AU"/>
        </w:rPr>
        <w:t>Olympus</w:t>
      </w:r>
      <w:r w:rsidR="00177848" w:rsidRPr="00C6052E">
        <w:rPr>
          <w:lang w:val="en-AU"/>
        </w:rPr>
        <w:t xml:space="preserve"> </w:t>
      </w:r>
      <w:r w:rsidRPr="00C6052E">
        <w:rPr>
          <w:lang w:val="en-AU"/>
        </w:rPr>
        <w:t>will</w:t>
      </w:r>
      <w:r w:rsidR="00177848" w:rsidRPr="00C6052E">
        <w:rPr>
          <w:lang w:val="en-AU"/>
        </w:rPr>
        <w:t xml:space="preserve"> </w:t>
      </w:r>
      <w:r w:rsidRPr="00C6052E">
        <w:rPr>
          <w:lang w:val="en-AU"/>
        </w:rPr>
        <w:t>re-sterilise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return</w:t>
      </w:r>
      <w:r w:rsidR="00177848" w:rsidRPr="00C6052E">
        <w:rPr>
          <w:lang w:val="en-AU"/>
        </w:rPr>
        <w:t xml:space="preserve"> </w:t>
      </w:r>
      <w:r w:rsidRPr="00C6052E">
        <w:rPr>
          <w:lang w:val="en-AU"/>
        </w:rPr>
        <w:t>cleaned</w:t>
      </w:r>
      <w:r w:rsidR="00177848" w:rsidRPr="00C6052E">
        <w:rPr>
          <w:lang w:val="en-AU"/>
        </w:rPr>
        <w:t xml:space="preserve"> </w:t>
      </w:r>
      <w:r w:rsidRPr="00C6052E">
        <w:rPr>
          <w:lang w:val="en-AU"/>
        </w:rPr>
        <w:t>endoscopy</w:t>
      </w:r>
      <w:r w:rsidR="00177848" w:rsidRPr="00C6052E">
        <w:rPr>
          <w:lang w:val="en-AU"/>
        </w:rPr>
        <w:t xml:space="preserve"> </w:t>
      </w:r>
      <w:r w:rsidRPr="00C6052E">
        <w:rPr>
          <w:lang w:val="en-AU"/>
        </w:rPr>
        <w:t>instruments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safe</w:t>
      </w:r>
      <w:r w:rsidR="00177848" w:rsidRPr="00C6052E">
        <w:rPr>
          <w:lang w:val="en-AU"/>
        </w:rPr>
        <w:t xml:space="preserve"> </w:t>
      </w:r>
      <w:r w:rsidRPr="00C6052E">
        <w:rPr>
          <w:lang w:val="en-AU"/>
        </w:rPr>
        <w:t>re-use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hospitals</w:t>
      </w:r>
      <w:r w:rsidR="00177848" w:rsidRPr="00C6052E">
        <w:rPr>
          <w:lang w:val="en-AU"/>
        </w:rPr>
        <w:t xml:space="preserve"> </w:t>
      </w:r>
      <w:r w:rsidRPr="00C6052E">
        <w:rPr>
          <w:lang w:val="en-AU"/>
        </w:rPr>
        <w:t>creating</w:t>
      </w:r>
      <w:r w:rsidR="00177848" w:rsidRPr="00C6052E">
        <w:rPr>
          <w:lang w:val="en-AU"/>
        </w:rPr>
        <w:t xml:space="preserve"> </w:t>
      </w:r>
      <w:r w:rsidRPr="00C6052E">
        <w:rPr>
          <w:lang w:val="en-AU"/>
        </w:rPr>
        <w:t>34</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global</w:t>
      </w:r>
      <w:r w:rsidR="00177848" w:rsidRPr="00C6052E">
        <w:rPr>
          <w:lang w:val="en-AU"/>
        </w:rPr>
        <w:t xml:space="preserve"> </w:t>
      </w:r>
      <w:r w:rsidRPr="00C6052E">
        <w:rPr>
          <w:lang w:val="en-AU"/>
        </w:rPr>
        <w:t>first</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company,</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success</w:t>
      </w:r>
      <w:r w:rsidR="00177848" w:rsidRPr="00C6052E">
        <w:rPr>
          <w:lang w:val="en-AU"/>
        </w:rPr>
        <w:t xml:space="preserve"> </w:t>
      </w:r>
      <w:r w:rsidRPr="00C6052E">
        <w:rPr>
          <w:lang w:val="en-AU"/>
        </w:rPr>
        <w:t>determining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viability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similar</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Olympus</w:t>
      </w:r>
      <w:r w:rsidR="00177848" w:rsidRPr="00C6052E">
        <w:rPr>
          <w:lang w:val="en-AU"/>
        </w:rPr>
        <w:t xml:space="preserve"> </w:t>
      </w:r>
      <w:r w:rsidRPr="00C6052E">
        <w:rPr>
          <w:lang w:val="en-AU"/>
        </w:rPr>
        <w:t>globally</w:t>
      </w:r>
    </w:p>
    <w:p w14:paraId="61A8B2E5" w14:textId="7A2DB7F0" w:rsidR="00EE5BB8" w:rsidRPr="00C6052E" w:rsidRDefault="00EE5BB8" w:rsidP="00EE5BB8">
      <w:pPr>
        <w:pStyle w:val="Bullet1last"/>
        <w:numPr>
          <w:ilvl w:val="0"/>
          <w:numId w:val="1"/>
        </w:numPr>
        <w:spacing w:line="278" w:lineRule="auto"/>
        <w:ind w:left="284" w:hanging="284"/>
        <w:rPr>
          <w:lang w:val="en-AU"/>
        </w:rPr>
      </w:pPr>
      <w:r w:rsidRPr="00C6052E">
        <w:rPr>
          <w:lang w:val="en-AU"/>
        </w:rPr>
        <w:t>Fluence,</w:t>
      </w:r>
      <w:r w:rsidR="00177848" w:rsidRPr="00C6052E">
        <w:rPr>
          <w:lang w:val="en-AU"/>
        </w:rPr>
        <w:t xml:space="preserve"> </w:t>
      </w:r>
      <w:r w:rsidRPr="00C6052E">
        <w:rPr>
          <w:lang w:val="en-AU"/>
        </w:rPr>
        <w:t>a</w:t>
      </w:r>
      <w:r w:rsidR="00177848" w:rsidRPr="00C6052E">
        <w:rPr>
          <w:lang w:val="en-AU"/>
        </w:rPr>
        <w:t xml:space="preserve"> </w:t>
      </w:r>
      <w:r w:rsidRPr="00C6052E">
        <w:rPr>
          <w:lang w:val="en-AU"/>
        </w:rPr>
        <w:t>world-leading</w:t>
      </w:r>
      <w:r w:rsidR="00177848" w:rsidRPr="00C6052E">
        <w:rPr>
          <w:lang w:val="en-AU"/>
        </w:rPr>
        <w:t xml:space="preserve"> </w:t>
      </w:r>
      <w:r w:rsidRPr="00C6052E">
        <w:rPr>
          <w:lang w:val="en-AU"/>
        </w:rPr>
        <w:t>battery</w:t>
      </w:r>
      <w:r w:rsidR="00177848" w:rsidRPr="00C6052E">
        <w:rPr>
          <w:lang w:val="en-AU"/>
        </w:rPr>
        <w:t xml:space="preserve"> </w:t>
      </w:r>
      <w:r w:rsidRPr="00C6052E">
        <w:rPr>
          <w:lang w:val="en-AU"/>
        </w:rPr>
        <w:t>energy</w:t>
      </w:r>
      <w:r w:rsidR="00177848" w:rsidRPr="00C6052E">
        <w:rPr>
          <w:lang w:val="en-AU"/>
        </w:rPr>
        <w:t xml:space="preserve"> </w:t>
      </w:r>
      <w:r w:rsidRPr="00C6052E">
        <w:rPr>
          <w:lang w:val="en-AU"/>
        </w:rPr>
        <w:t>storage</w:t>
      </w:r>
      <w:r w:rsidR="00177848" w:rsidRPr="00C6052E">
        <w:rPr>
          <w:lang w:val="en-AU"/>
        </w:rPr>
        <w:t xml:space="preserve"> </w:t>
      </w:r>
      <w:r w:rsidRPr="00C6052E">
        <w:rPr>
          <w:lang w:val="en-AU"/>
        </w:rPr>
        <w:t>company</w:t>
      </w:r>
      <w:r w:rsidR="00177848" w:rsidRPr="00C6052E">
        <w:rPr>
          <w:lang w:val="en-AU"/>
        </w:rPr>
        <w:t xml:space="preserve"> </w:t>
      </w:r>
      <w:r w:rsidRPr="00C6052E">
        <w:rPr>
          <w:lang w:val="en-AU"/>
        </w:rPr>
        <w:t>expanded</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headquarters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creating</w:t>
      </w:r>
      <w:r w:rsidR="00177848" w:rsidRPr="00C6052E">
        <w:rPr>
          <w:lang w:val="en-AU"/>
        </w:rPr>
        <w:t xml:space="preserve"> </w:t>
      </w:r>
      <w:r w:rsidRPr="00C6052E">
        <w:rPr>
          <w:lang w:val="en-AU"/>
        </w:rPr>
        <w:t>up</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100</w:t>
      </w:r>
      <w:r w:rsidR="00177848" w:rsidRPr="00C6052E">
        <w:rPr>
          <w:lang w:val="en-AU"/>
        </w:rPr>
        <w:t xml:space="preserve"> </w:t>
      </w:r>
      <w:proofErr w:type="gramStart"/>
      <w:r w:rsidRPr="00C6052E">
        <w:rPr>
          <w:lang w:val="en-AU"/>
        </w:rPr>
        <w:t>highly-skilled</w:t>
      </w:r>
      <w:proofErr w:type="gramEnd"/>
      <w:r w:rsidR="00177848" w:rsidRPr="00C6052E">
        <w:rPr>
          <w:lang w:val="en-AU"/>
        </w:rPr>
        <w:t xml:space="preserve"> </w:t>
      </w:r>
      <w:r w:rsidRPr="00C6052E">
        <w:rPr>
          <w:lang w:val="en-AU"/>
        </w:rPr>
        <w:t>jobs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boosting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local</w:t>
      </w:r>
      <w:r w:rsidR="00177848" w:rsidRPr="00C6052E">
        <w:rPr>
          <w:lang w:val="en-AU"/>
        </w:rPr>
        <w:t xml:space="preserve"> </w:t>
      </w:r>
      <w:r w:rsidRPr="00C6052E">
        <w:rPr>
          <w:lang w:val="en-AU"/>
        </w:rPr>
        <w:t>cleantech</w:t>
      </w:r>
      <w:r w:rsidR="00177848" w:rsidRPr="00C6052E">
        <w:rPr>
          <w:lang w:val="en-AU"/>
        </w:rPr>
        <w:t xml:space="preserve"> </w:t>
      </w:r>
      <w:r w:rsidRPr="00C6052E">
        <w:rPr>
          <w:lang w:val="en-AU"/>
        </w:rPr>
        <w:t>ecosystem.</w:t>
      </w:r>
    </w:p>
    <w:p w14:paraId="1FE3D721" w14:textId="204E3BE5" w:rsidR="00EE5BB8" w:rsidRPr="00C6052E" w:rsidRDefault="00EE5BB8" w:rsidP="0028635E">
      <w:pPr>
        <w:pStyle w:val="Normalbeforebullets"/>
      </w:pPr>
      <w:r w:rsidRPr="00C6052E">
        <w:t>The</w:t>
      </w:r>
      <w:r w:rsidR="00177848" w:rsidRPr="00C6052E">
        <w:t xml:space="preserve"> </w:t>
      </w:r>
      <w:r w:rsidRPr="00C6052E">
        <w:t>department</w:t>
      </w:r>
      <w:r w:rsidR="00177848" w:rsidRPr="00C6052E">
        <w:t xml:space="preserve"> </w:t>
      </w:r>
      <w:r w:rsidRPr="00C6052E">
        <w:t>continued</w:t>
      </w:r>
      <w:r w:rsidR="00177848" w:rsidRPr="00C6052E">
        <w:t xml:space="preserve"> </w:t>
      </w:r>
      <w:r w:rsidRPr="00C6052E">
        <w:t>to</w:t>
      </w:r>
      <w:r w:rsidR="00177848" w:rsidRPr="00C6052E">
        <w:t xml:space="preserve"> </w:t>
      </w:r>
      <w:r w:rsidRPr="00C6052E">
        <w:t>provide</w:t>
      </w:r>
      <w:r w:rsidR="00177848" w:rsidRPr="00C6052E">
        <w:t xml:space="preserve"> </w:t>
      </w:r>
      <w:r w:rsidRPr="00C6052E">
        <w:t>high</w:t>
      </w:r>
      <w:r w:rsidR="00177848" w:rsidRPr="00C6052E">
        <w:t xml:space="preserve"> </w:t>
      </w:r>
      <w:r w:rsidRPr="00C6052E">
        <w:t>quality</w:t>
      </w:r>
      <w:r w:rsidR="00177848" w:rsidRPr="00C6052E">
        <w:t xml:space="preserve"> </w:t>
      </w:r>
      <w:r w:rsidRPr="00C6052E">
        <w:t>facilitation</w:t>
      </w:r>
      <w:r w:rsidR="00177848" w:rsidRPr="00C6052E">
        <w:t xml:space="preserve"> </w:t>
      </w:r>
      <w:r w:rsidRPr="00C6052E">
        <w:t>support</w:t>
      </w:r>
      <w:r w:rsidR="00177848" w:rsidRPr="00C6052E">
        <w:t xml:space="preserve"> </w:t>
      </w:r>
      <w:r w:rsidRPr="00C6052E">
        <w:t>and</w:t>
      </w:r>
      <w:r w:rsidR="00177848" w:rsidRPr="00C6052E">
        <w:t xml:space="preserve"> </w:t>
      </w:r>
      <w:r w:rsidRPr="00C6052E">
        <w:t>assisted</w:t>
      </w:r>
      <w:r w:rsidR="00177848" w:rsidRPr="00C6052E">
        <w:t xml:space="preserve"> </w:t>
      </w:r>
      <w:r w:rsidRPr="00C6052E">
        <w:t>companies</w:t>
      </w:r>
      <w:r w:rsidR="00177848" w:rsidRPr="00C6052E">
        <w:t xml:space="preserve"> </w:t>
      </w:r>
      <w:r w:rsidRPr="00C6052E">
        <w:t>to</w:t>
      </w:r>
      <w:r w:rsidR="00177848" w:rsidRPr="00C6052E">
        <w:t xml:space="preserve"> </w:t>
      </w:r>
      <w:r w:rsidRPr="00C6052E">
        <w:t>progress</w:t>
      </w:r>
      <w:r w:rsidR="00177848" w:rsidRPr="00C6052E">
        <w:t xml:space="preserve"> </w:t>
      </w:r>
      <w:r w:rsidRPr="00C6052E">
        <w:t>developments</w:t>
      </w:r>
      <w:r w:rsidR="00177848" w:rsidRPr="00C6052E">
        <w:t xml:space="preserve"> </w:t>
      </w:r>
      <w:r w:rsidRPr="00C6052E">
        <w:t>by:</w:t>
      </w:r>
    </w:p>
    <w:p w14:paraId="02C0E1F6" w14:textId="754DB038" w:rsidR="00EE5BB8" w:rsidRPr="00C6052E" w:rsidRDefault="00EE5BB8" w:rsidP="00EE5BB8">
      <w:pPr>
        <w:pStyle w:val="Bullet1"/>
        <w:numPr>
          <w:ilvl w:val="0"/>
          <w:numId w:val="1"/>
        </w:numPr>
        <w:spacing w:line="278" w:lineRule="auto"/>
        <w:ind w:left="284" w:hanging="284"/>
        <w:rPr>
          <w:lang w:val="en-AU"/>
        </w:rPr>
      </w:pPr>
      <w:r w:rsidRPr="00C6052E">
        <w:rPr>
          <w:lang w:val="en-AU"/>
        </w:rPr>
        <w:t>scanning</w:t>
      </w:r>
      <w:r w:rsidR="00177848" w:rsidRPr="00C6052E">
        <w:rPr>
          <w:lang w:val="en-AU"/>
        </w:rPr>
        <w:t xml:space="preserve"> </w:t>
      </w:r>
      <w:r w:rsidRPr="00C6052E">
        <w:rPr>
          <w:lang w:val="en-AU"/>
        </w:rPr>
        <w:t>property</w:t>
      </w:r>
      <w:r w:rsidR="00177848" w:rsidRPr="00C6052E">
        <w:rPr>
          <w:lang w:val="en-AU"/>
        </w:rPr>
        <w:t xml:space="preserve"> </w:t>
      </w:r>
      <w:r w:rsidRPr="00C6052E">
        <w:rPr>
          <w:lang w:val="en-AU"/>
        </w:rPr>
        <w:t>markets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off-market</w:t>
      </w:r>
      <w:r w:rsidR="00177848" w:rsidRPr="00C6052E">
        <w:rPr>
          <w:lang w:val="en-AU"/>
        </w:rPr>
        <w:t xml:space="preserve"> </w:t>
      </w:r>
      <w:r w:rsidRPr="00C6052E">
        <w:rPr>
          <w:lang w:val="en-AU"/>
        </w:rPr>
        <w:t>opportunities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identify</w:t>
      </w:r>
      <w:r w:rsidR="00177848" w:rsidRPr="00C6052E">
        <w:rPr>
          <w:lang w:val="en-AU"/>
        </w:rPr>
        <w:t xml:space="preserve"> </w:t>
      </w:r>
      <w:r w:rsidRPr="00C6052E">
        <w:rPr>
          <w:lang w:val="en-AU"/>
        </w:rPr>
        <w:t>sites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meet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requirements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investors</w:t>
      </w:r>
    </w:p>
    <w:p w14:paraId="3CA94D18" w14:textId="687C7AA6" w:rsidR="00EE5BB8" w:rsidRPr="00C6052E" w:rsidRDefault="00EE5BB8" w:rsidP="00EE5BB8">
      <w:pPr>
        <w:pStyle w:val="Bullet1"/>
        <w:numPr>
          <w:ilvl w:val="0"/>
          <w:numId w:val="1"/>
        </w:numPr>
        <w:spacing w:line="278" w:lineRule="auto"/>
        <w:ind w:left="284" w:hanging="284"/>
        <w:rPr>
          <w:lang w:val="en-AU"/>
        </w:rPr>
      </w:pPr>
      <w:r w:rsidRPr="00C6052E">
        <w:rPr>
          <w:lang w:val="en-AU"/>
        </w:rPr>
        <w:t>advising</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approval</w:t>
      </w:r>
      <w:r w:rsidR="00177848" w:rsidRPr="00C6052E">
        <w:rPr>
          <w:lang w:val="en-AU"/>
        </w:rPr>
        <w:t xml:space="preserve"> </w:t>
      </w:r>
      <w:r w:rsidRPr="00C6052E">
        <w:rPr>
          <w:lang w:val="en-AU"/>
        </w:rPr>
        <w:t>processes</w:t>
      </w:r>
    </w:p>
    <w:p w14:paraId="45FF6A70" w14:textId="567BCAA3" w:rsidR="00EE5BB8" w:rsidRPr="00C6052E" w:rsidRDefault="00EE5BB8" w:rsidP="00EE5BB8">
      <w:pPr>
        <w:pStyle w:val="Bullet1"/>
        <w:numPr>
          <w:ilvl w:val="0"/>
          <w:numId w:val="1"/>
        </w:numPr>
        <w:spacing w:line="278" w:lineRule="auto"/>
        <w:ind w:left="284" w:hanging="284"/>
        <w:rPr>
          <w:lang w:val="en-AU"/>
        </w:rPr>
      </w:pPr>
      <w:r w:rsidRPr="00C6052E">
        <w:rPr>
          <w:lang w:val="en-AU"/>
        </w:rPr>
        <w:t>assisting</w:t>
      </w:r>
      <w:r w:rsidR="00177848" w:rsidRPr="00C6052E">
        <w:rPr>
          <w:lang w:val="en-AU"/>
        </w:rPr>
        <w:t xml:space="preserve"> </w:t>
      </w:r>
      <w:r w:rsidRPr="00C6052E">
        <w:rPr>
          <w:lang w:val="en-AU"/>
        </w:rPr>
        <w:t>businesses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understand</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obligations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preparing</w:t>
      </w:r>
      <w:r w:rsidR="00177848" w:rsidRPr="00C6052E">
        <w:rPr>
          <w:lang w:val="en-AU"/>
        </w:rPr>
        <w:t xml:space="preserve"> </w:t>
      </w:r>
      <w:r w:rsidRPr="00C6052E">
        <w:rPr>
          <w:lang w:val="en-AU"/>
        </w:rPr>
        <w:t>technical</w:t>
      </w:r>
      <w:r w:rsidR="00177848" w:rsidRPr="00C6052E">
        <w:rPr>
          <w:lang w:val="en-AU"/>
        </w:rPr>
        <w:t xml:space="preserve"> </w:t>
      </w:r>
      <w:r w:rsidRPr="00C6052E">
        <w:rPr>
          <w:lang w:val="en-AU"/>
        </w:rPr>
        <w:t>studies</w:t>
      </w:r>
      <w:r w:rsidR="00177848" w:rsidRPr="00C6052E">
        <w:rPr>
          <w:lang w:val="en-AU"/>
        </w:rPr>
        <w:t xml:space="preserve"> </w:t>
      </w:r>
      <w:r w:rsidRPr="00C6052E">
        <w:rPr>
          <w:lang w:val="en-AU"/>
        </w:rPr>
        <w:t>required</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assessing</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proposals</w:t>
      </w:r>
    </w:p>
    <w:p w14:paraId="72A31790" w14:textId="314CDB40" w:rsidR="00EE5BB8" w:rsidRPr="00C6052E" w:rsidRDefault="00EE5BB8" w:rsidP="00EE5BB8">
      <w:pPr>
        <w:pStyle w:val="Bullet1"/>
        <w:numPr>
          <w:ilvl w:val="0"/>
          <w:numId w:val="1"/>
        </w:numPr>
        <w:spacing w:line="278" w:lineRule="auto"/>
        <w:ind w:left="284" w:hanging="284"/>
        <w:rPr>
          <w:lang w:val="en-AU"/>
        </w:rPr>
      </w:pPr>
      <w:r w:rsidRPr="00C6052E">
        <w:rPr>
          <w:lang w:val="en-AU"/>
        </w:rPr>
        <w:t>supporting</w:t>
      </w:r>
      <w:r w:rsidR="00177848" w:rsidRPr="00C6052E">
        <w:rPr>
          <w:lang w:val="en-AU"/>
        </w:rPr>
        <w:t xml:space="preserve"> </w:t>
      </w:r>
      <w:r w:rsidRPr="00C6052E">
        <w:rPr>
          <w:lang w:val="en-AU"/>
        </w:rPr>
        <w:t>companies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meet</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regulatory</w:t>
      </w:r>
      <w:r w:rsidR="00177848" w:rsidRPr="00C6052E">
        <w:rPr>
          <w:lang w:val="en-AU"/>
        </w:rPr>
        <w:t xml:space="preserve"> </w:t>
      </w:r>
      <w:r w:rsidRPr="00C6052E">
        <w:rPr>
          <w:lang w:val="en-AU"/>
        </w:rPr>
        <w:t>assessment</w:t>
      </w:r>
      <w:r w:rsidR="00177848" w:rsidRPr="00C6052E">
        <w:rPr>
          <w:lang w:val="en-AU"/>
        </w:rPr>
        <w:t xml:space="preserve"> </w:t>
      </w:r>
      <w:r w:rsidRPr="00C6052E">
        <w:rPr>
          <w:lang w:val="en-AU"/>
        </w:rPr>
        <w:t>requirements</w:t>
      </w:r>
    </w:p>
    <w:p w14:paraId="75CBD716" w14:textId="2FD4AD6C" w:rsidR="00EE5BB8" w:rsidRPr="00C6052E" w:rsidRDefault="00EE5BB8" w:rsidP="00EE5BB8">
      <w:pPr>
        <w:pStyle w:val="Bullet1last"/>
        <w:numPr>
          <w:ilvl w:val="0"/>
          <w:numId w:val="1"/>
        </w:numPr>
        <w:spacing w:line="278" w:lineRule="auto"/>
        <w:ind w:left="284" w:hanging="284"/>
        <w:rPr>
          <w:lang w:val="en-AU"/>
        </w:rPr>
      </w:pPr>
      <w:r w:rsidRPr="00C6052E">
        <w:rPr>
          <w:lang w:val="en-AU"/>
        </w:rPr>
        <w:t>providing</w:t>
      </w:r>
      <w:r w:rsidR="00177848" w:rsidRPr="00C6052E">
        <w:rPr>
          <w:lang w:val="en-AU"/>
        </w:rPr>
        <w:t xml:space="preserve"> </w:t>
      </w:r>
      <w:r w:rsidRPr="00C6052E">
        <w:rPr>
          <w:lang w:val="en-AU"/>
        </w:rPr>
        <w:t>policy</w:t>
      </w:r>
      <w:r w:rsidR="00177848" w:rsidRPr="00C6052E">
        <w:rPr>
          <w:lang w:val="en-AU"/>
        </w:rPr>
        <w:t xml:space="preserve"> </w:t>
      </w:r>
      <w:r w:rsidRPr="00C6052E">
        <w:rPr>
          <w:lang w:val="en-AU"/>
        </w:rPr>
        <w:t>advice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advocacy</w:t>
      </w:r>
      <w:r w:rsidR="00177848" w:rsidRPr="00C6052E">
        <w:rPr>
          <w:lang w:val="en-AU"/>
        </w:rPr>
        <w:t xml:space="preserve"> </w:t>
      </w:r>
      <w:r w:rsidRPr="00C6052E">
        <w:rPr>
          <w:lang w:val="en-AU"/>
        </w:rPr>
        <w:t>across</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key</w:t>
      </w:r>
      <w:r w:rsidR="00177848" w:rsidRPr="00C6052E">
        <w:rPr>
          <w:lang w:val="en-AU"/>
        </w:rPr>
        <w:t xml:space="preserve"> </w:t>
      </w:r>
      <w:r w:rsidRPr="00C6052E">
        <w:rPr>
          <w:lang w:val="en-AU"/>
        </w:rPr>
        <w:t>regulatory</w:t>
      </w:r>
      <w:r w:rsidR="00177848" w:rsidRPr="00C6052E">
        <w:rPr>
          <w:lang w:val="en-AU"/>
        </w:rPr>
        <w:t xml:space="preserve"> </w:t>
      </w:r>
      <w:r w:rsidRPr="00C6052E">
        <w:rPr>
          <w:lang w:val="en-AU"/>
        </w:rPr>
        <w:t>settings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align</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government’s</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priorities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ensure</w:t>
      </w:r>
      <w:r w:rsidR="00177848" w:rsidRPr="00C6052E">
        <w:rPr>
          <w:lang w:val="en-AU"/>
        </w:rPr>
        <w:t xml:space="preserve"> </w:t>
      </w:r>
      <w:r w:rsidRPr="00C6052E">
        <w:rPr>
          <w:lang w:val="en-AU"/>
        </w:rPr>
        <w:t>they</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conducive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securing</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facilitating</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growth.</w:t>
      </w:r>
    </w:p>
    <w:p w14:paraId="280756DD" w14:textId="76CEB482" w:rsidR="00EE5BB8" w:rsidRPr="00C6052E" w:rsidRDefault="00EE5BB8" w:rsidP="00EE5BB8">
      <w:pPr>
        <w:pStyle w:val="Heading3"/>
      </w:pPr>
      <w:r w:rsidRPr="00C6052E">
        <w:t>Performance</w:t>
      </w:r>
      <w:r w:rsidR="00177848" w:rsidRPr="00C6052E">
        <w:t xml:space="preserve"> </w:t>
      </w:r>
      <w:r w:rsidRPr="00C6052E">
        <w:t>against</w:t>
      </w:r>
      <w:r w:rsidR="00177848" w:rsidRPr="00C6052E">
        <w:t xml:space="preserve"> </w:t>
      </w:r>
      <w:r w:rsidRPr="00C6052E">
        <w:t>output</w:t>
      </w:r>
      <w:r w:rsidR="00177848" w:rsidRPr="00C6052E">
        <w:t xml:space="preserve"> </w:t>
      </w:r>
      <w:r w:rsidRPr="00C6052E">
        <w:t>measures</w:t>
      </w:r>
    </w:p>
    <w:p w14:paraId="3C9C171B" w14:textId="2D372920" w:rsidR="00EE5BB8" w:rsidRPr="00C6052E" w:rsidRDefault="00EE5BB8" w:rsidP="00EE5BB8">
      <w:r w:rsidRPr="00C6052E">
        <w:t>Table</w:t>
      </w:r>
      <w:r w:rsidR="00177848" w:rsidRPr="00C6052E">
        <w:t xml:space="preserve"> </w:t>
      </w:r>
      <w:r w:rsidRPr="00C6052E">
        <w:t>9</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Trade</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promotes</w:t>
      </w:r>
      <w:r w:rsidR="00177848" w:rsidRPr="00C6052E">
        <w:t xml:space="preserve"> </w:t>
      </w:r>
      <w:r w:rsidRPr="00C6052E">
        <w:t>Victoria’s</w:t>
      </w:r>
      <w:r w:rsidR="00177848" w:rsidRPr="00C6052E">
        <w:t xml:space="preserve"> </w:t>
      </w:r>
      <w:r w:rsidRPr="00C6052E">
        <w:t>economic</w:t>
      </w:r>
      <w:r w:rsidR="00177848" w:rsidRPr="00C6052E">
        <w:t xml:space="preserve"> </w:t>
      </w:r>
      <w:r w:rsidRPr="00C6052E">
        <w:t>growth</w:t>
      </w:r>
      <w:r w:rsidR="00177848" w:rsidRPr="00C6052E">
        <w:t xml:space="preserve"> </w:t>
      </w:r>
      <w:r w:rsidRPr="00C6052E">
        <w:t>through</w:t>
      </w:r>
      <w:r w:rsidR="00177848" w:rsidRPr="00C6052E">
        <w:t xml:space="preserve"> </w:t>
      </w:r>
      <w:r w:rsidRPr="00C6052E">
        <w:t>global</w:t>
      </w:r>
      <w:r w:rsidR="00177848" w:rsidRPr="00C6052E">
        <w:t xml:space="preserve"> </w:t>
      </w:r>
      <w:r w:rsidRPr="00C6052E">
        <w:t>engagement</w:t>
      </w:r>
      <w:r w:rsidR="00177848" w:rsidRPr="00C6052E">
        <w:t xml:space="preserve"> </w:t>
      </w:r>
      <w:r w:rsidRPr="00C6052E">
        <w:t>and</w:t>
      </w:r>
      <w:r w:rsidR="00177848" w:rsidRPr="00C6052E">
        <w:t xml:space="preserve"> </w:t>
      </w:r>
      <w:r w:rsidRPr="00C6052E">
        <w:t>supporting</w:t>
      </w:r>
      <w:r w:rsidR="00177848" w:rsidRPr="00C6052E">
        <w:t xml:space="preserve"> </w:t>
      </w:r>
      <w:r w:rsidRPr="00C6052E">
        <w:t>the</w:t>
      </w:r>
      <w:r w:rsidR="00177848" w:rsidRPr="00C6052E">
        <w:t xml:space="preserve"> </w:t>
      </w:r>
      <w:r w:rsidRPr="00C6052E">
        <w:t>development</w:t>
      </w:r>
      <w:r w:rsidR="00177848" w:rsidRPr="00C6052E">
        <w:t xml:space="preserve"> </w:t>
      </w:r>
      <w:r w:rsidRPr="00C6052E">
        <w:t>of</w:t>
      </w:r>
      <w:r w:rsidR="00177848" w:rsidRPr="00C6052E">
        <w:t xml:space="preserve"> </w:t>
      </w:r>
      <w:r w:rsidRPr="00C6052E">
        <w:t>startups.</w:t>
      </w:r>
      <w:r w:rsidR="00177848" w:rsidRPr="00C6052E">
        <w:t xml:space="preserve"> </w:t>
      </w:r>
      <w:r w:rsidRPr="00C6052E">
        <w:t>This</w:t>
      </w:r>
      <w:r w:rsidR="00177848" w:rsidRPr="00C6052E">
        <w:t xml:space="preserve"> </w:t>
      </w:r>
      <w:r w:rsidRPr="00C6052E">
        <w:t>is</w:t>
      </w:r>
      <w:r w:rsidR="00177848" w:rsidRPr="00C6052E">
        <w:t xml:space="preserve"> </w:t>
      </w:r>
      <w:r w:rsidRPr="00C6052E">
        <w:t>accomplished</w:t>
      </w:r>
      <w:r w:rsidR="00177848" w:rsidRPr="00C6052E">
        <w:t xml:space="preserve"> </w:t>
      </w:r>
      <w:r w:rsidRPr="00C6052E">
        <w:t>by</w:t>
      </w:r>
      <w:r w:rsidR="00177848" w:rsidRPr="00C6052E">
        <w:t xml:space="preserve"> </w:t>
      </w:r>
      <w:r w:rsidRPr="00C6052E">
        <w:t>securing</w:t>
      </w:r>
      <w:r w:rsidR="00177848" w:rsidRPr="00C6052E">
        <w:t xml:space="preserve"> </w:t>
      </w:r>
      <w:r w:rsidRPr="00C6052E">
        <w:t>trade</w:t>
      </w:r>
      <w:r w:rsidR="00177848" w:rsidRPr="00C6052E">
        <w:t xml:space="preserve"> </w:t>
      </w:r>
      <w:r w:rsidRPr="00C6052E">
        <w:t>and</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outcomes</w:t>
      </w:r>
      <w:r w:rsidR="00177848" w:rsidRPr="00C6052E">
        <w:t xml:space="preserve"> </w:t>
      </w:r>
      <w:r w:rsidRPr="00C6052E">
        <w:t>for</w:t>
      </w:r>
      <w:r w:rsidR="00177848" w:rsidRPr="00C6052E">
        <w:t xml:space="preserve"> </w:t>
      </w:r>
      <w:r w:rsidRPr="00C6052E">
        <w:t>the</w:t>
      </w:r>
      <w:r w:rsidR="00177848" w:rsidRPr="00C6052E">
        <w:t xml:space="preserve"> </w:t>
      </w:r>
      <w:r w:rsidRPr="00C6052E">
        <w:t>State</w:t>
      </w:r>
      <w:r w:rsidR="00177848" w:rsidRPr="00C6052E">
        <w:t xml:space="preserve"> </w:t>
      </w:r>
      <w:r w:rsidRPr="00C6052E">
        <w:t>through</w:t>
      </w:r>
      <w:r w:rsidR="00177848" w:rsidRPr="00C6052E">
        <w:t xml:space="preserve"> </w:t>
      </w:r>
      <w:r w:rsidRPr="00C6052E">
        <w:t>a</w:t>
      </w:r>
      <w:r w:rsidR="00177848" w:rsidRPr="00C6052E">
        <w:t xml:space="preserve"> </w:t>
      </w:r>
      <w:r w:rsidRPr="00C6052E">
        <w:t>range</w:t>
      </w:r>
      <w:r w:rsidR="00177848" w:rsidRPr="00C6052E">
        <w:t xml:space="preserve"> </w:t>
      </w:r>
      <w:r w:rsidRPr="00C6052E">
        <w:t>of</w:t>
      </w:r>
      <w:r w:rsidR="00177848" w:rsidRPr="00C6052E">
        <w:t xml:space="preserve"> </w:t>
      </w:r>
      <w:r w:rsidRPr="00C6052E">
        <w:t>promotion</w:t>
      </w:r>
      <w:r w:rsidR="00177848" w:rsidRPr="00C6052E">
        <w:t xml:space="preserve"> </w:t>
      </w:r>
      <w:r w:rsidRPr="00C6052E">
        <w:t>and</w:t>
      </w:r>
      <w:r w:rsidR="00177848" w:rsidRPr="00C6052E">
        <w:t xml:space="preserve"> </w:t>
      </w:r>
      <w:r w:rsidRPr="00C6052E">
        <w:t>facilitation</w:t>
      </w:r>
      <w:r w:rsidR="00177848" w:rsidRPr="00C6052E">
        <w:t xml:space="preserve"> </w:t>
      </w:r>
      <w:r w:rsidRPr="00C6052E">
        <w:t>activities,</w:t>
      </w:r>
      <w:r w:rsidR="00177848" w:rsidRPr="00C6052E">
        <w:t xml:space="preserve"> </w:t>
      </w:r>
      <w:r w:rsidRPr="00C6052E">
        <w:t>in</w:t>
      </w:r>
      <w:r w:rsidR="00177848" w:rsidRPr="00C6052E">
        <w:t xml:space="preserve"> </w:t>
      </w:r>
      <w:r w:rsidRPr="00C6052E">
        <w:t>addition</w:t>
      </w:r>
      <w:r w:rsidR="00177848" w:rsidRPr="00C6052E">
        <w:t xml:space="preserve"> </w:t>
      </w:r>
      <w:r w:rsidRPr="00C6052E">
        <w:t>to</w:t>
      </w:r>
      <w:r w:rsidR="00177848" w:rsidRPr="00C6052E">
        <w:t xml:space="preserve"> </w:t>
      </w:r>
      <w:r w:rsidRPr="00C6052E">
        <w:t>providing</w:t>
      </w:r>
      <w:r w:rsidR="00177848" w:rsidRPr="00C6052E">
        <w:t xml:space="preserve"> </w:t>
      </w:r>
      <w:r w:rsidRPr="00C6052E">
        <w:t>policy</w:t>
      </w:r>
      <w:r w:rsidR="00177848" w:rsidRPr="00C6052E">
        <w:t xml:space="preserve"> </w:t>
      </w:r>
      <w:r w:rsidRPr="00C6052E">
        <w:t>advice</w:t>
      </w:r>
      <w:r w:rsidR="00177848" w:rsidRPr="00C6052E">
        <w:t xml:space="preserve"> </w:t>
      </w:r>
      <w:r w:rsidRPr="00C6052E">
        <w:t>to</w:t>
      </w:r>
      <w:r w:rsidR="00177848" w:rsidRPr="00C6052E">
        <w:t xml:space="preserve"> </w:t>
      </w:r>
      <w:r w:rsidRPr="00C6052E">
        <w:t>improve</w:t>
      </w:r>
      <w:r w:rsidR="00177848" w:rsidRPr="00C6052E">
        <w:t xml:space="preserve"> </w:t>
      </w:r>
      <w:r w:rsidRPr="00C6052E">
        <w:t>the</w:t>
      </w:r>
      <w:r w:rsidR="00177848" w:rsidRPr="00C6052E">
        <w:t xml:space="preserve"> </w:t>
      </w:r>
      <w:r w:rsidRPr="00C6052E">
        <w:t>attractiveness</w:t>
      </w:r>
      <w:r w:rsidR="00177848" w:rsidRPr="00C6052E">
        <w:t xml:space="preserve"> </w:t>
      </w:r>
      <w:r w:rsidRPr="00C6052E">
        <w:t>of</w:t>
      </w:r>
      <w:r w:rsidR="00177848" w:rsidRPr="00C6052E">
        <w:t xml:space="preserve"> </w:t>
      </w:r>
      <w:r w:rsidRPr="00C6052E">
        <w:t>exports,</w:t>
      </w:r>
      <w:r w:rsidR="00177848" w:rsidRPr="00C6052E">
        <w:t xml:space="preserve"> </w:t>
      </w:r>
      <w:r w:rsidRPr="00C6052E">
        <w:t>attract</w:t>
      </w:r>
      <w:r w:rsidR="00177848" w:rsidRPr="00C6052E">
        <w:t xml:space="preserve"> </w:t>
      </w:r>
      <w:r w:rsidRPr="00C6052E">
        <w:t>international</w:t>
      </w:r>
      <w:r w:rsidR="00177848" w:rsidRPr="00C6052E">
        <w:t xml:space="preserve"> </w:t>
      </w:r>
      <w:r w:rsidRPr="00C6052E">
        <w:t>investment</w:t>
      </w:r>
      <w:r w:rsidR="00177848" w:rsidRPr="00C6052E">
        <w:t xml:space="preserve"> </w:t>
      </w:r>
      <w:r w:rsidRPr="00C6052E">
        <w:t>and</w:t>
      </w:r>
      <w:r w:rsidR="00177848" w:rsidRPr="00C6052E">
        <w:t xml:space="preserve"> </w:t>
      </w:r>
      <w:r w:rsidRPr="00C6052E">
        <w:t>enhance</w:t>
      </w:r>
      <w:r w:rsidR="00177848" w:rsidRPr="00C6052E">
        <w:t xml:space="preserve"> </w:t>
      </w:r>
      <w:r w:rsidRPr="00C6052E">
        <w:t>the</w:t>
      </w:r>
      <w:r w:rsidR="00177848" w:rsidRPr="00C6052E">
        <w:t xml:space="preserve"> </w:t>
      </w:r>
      <w:r w:rsidRPr="00C6052E">
        <w:t>Victorian</w:t>
      </w:r>
      <w:r w:rsidR="00177848" w:rsidRPr="00C6052E">
        <w:t xml:space="preserve"> </w:t>
      </w:r>
      <w:r w:rsidRPr="00C6052E">
        <w:t>startup</w:t>
      </w:r>
      <w:r w:rsidR="00177848" w:rsidRPr="00C6052E">
        <w:t xml:space="preserve"> </w:t>
      </w:r>
      <w:r w:rsidRPr="00C6052E">
        <w:t>ecosystem.</w:t>
      </w:r>
      <w:r w:rsidR="00177848" w:rsidRPr="00C6052E">
        <w:t xml:space="preserve"> </w:t>
      </w:r>
    </w:p>
    <w:p w14:paraId="4B2F30D6" w14:textId="308003F7" w:rsidR="00EE5BB8" w:rsidRPr="00C6052E" w:rsidRDefault="00EE5BB8" w:rsidP="0028635E">
      <w:pPr>
        <w:pStyle w:val="Normalbeforebullets"/>
      </w:pPr>
      <w:r w:rsidRPr="00C6052E">
        <w:t>This</w:t>
      </w:r>
      <w:r w:rsidR="00177848" w:rsidRPr="00C6052E">
        <w:t xml:space="preserve"> </w:t>
      </w:r>
      <w:r w:rsidRPr="00C6052E">
        <w:t>output</w:t>
      </w:r>
      <w:r w:rsidR="00177848" w:rsidRPr="00C6052E">
        <w:t xml:space="preserve"> </w:t>
      </w:r>
      <w:r w:rsidRPr="00C6052E">
        <w:t>also</w:t>
      </w:r>
      <w:r w:rsidR="00177848" w:rsidRPr="00C6052E">
        <w:t xml:space="preserve"> </w:t>
      </w:r>
      <w:r w:rsidRPr="00C6052E">
        <w:t>provides</w:t>
      </w:r>
      <w:r w:rsidR="00177848" w:rsidRPr="00C6052E">
        <w:t xml:space="preserve"> </w:t>
      </w:r>
      <w:r w:rsidRPr="00C6052E">
        <w:t>support</w:t>
      </w:r>
      <w:r w:rsidR="00177848" w:rsidRPr="00C6052E">
        <w:t xml:space="preserve"> </w:t>
      </w:r>
      <w:r w:rsidRPr="00C6052E">
        <w:t>and</w:t>
      </w:r>
      <w:r w:rsidR="00177848" w:rsidRPr="00C6052E">
        <w:t xml:space="preserve"> </w:t>
      </w:r>
      <w:r w:rsidRPr="00C6052E">
        <w:t>advice</w:t>
      </w:r>
      <w:r w:rsidR="00177848" w:rsidRPr="00C6052E">
        <w:t xml:space="preserve"> </w:t>
      </w:r>
      <w:r w:rsidRPr="00C6052E">
        <w:t>to</w:t>
      </w:r>
      <w:r w:rsidR="00177848" w:rsidRPr="00C6052E">
        <w:t xml:space="preserve"> </w:t>
      </w:r>
      <w:r w:rsidRPr="00C6052E">
        <w:t>Government</w:t>
      </w:r>
      <w:r w:rsidR="00177848" w:rsidRPr="00C6052E">
        <w:t xml:space="preserve"> </w:t>
      </w:r>
      <w:r w:rsidRPr="00C6052E">
        <w:t>on</w:t>
      </w:r>
      <w:r w:rsidR="00177848" w:rsidRPr="00C6052E">
        <w:t xml:space="preserve"> </w:t>
      </w:r>
      <w:r w:rsidRPr="00C6052E">
        <w:t>strengthening</w:t>
      </w:r>
      <w:r w:rsidR="00177848" w:rsidRPr="00C6052E">
        <w:t xml:space="preserve"> </w:t>
      </w:r>
      <w:r w:rsidRPr="00C6052E">
        <w:t>Victoria’s</w:t>
      </w:r>
      <w:r w:rsidR="00177848" w:rsidRPr="00C6052E">
        <w:t xml:space="preserve"> </w:t>
      </w:r>
      <w:r w:rsidRPr="00C6052E">
        <w:t>economic</w:t>
      </w:r>
      <w:r w:rsidR="00177848" w:rsidRPr="00C6052E">
        <w:t xml:space="preserve"> </w:t>
      </w:r>
      <w:r w:rsidRPr="00C6052E">
        <w:t>performance</w:t>
      </w:r>
      <w:r w:rsidR="00177848" w:rsidRPr="00C6052E">
        <w:t xml:space="preserve"> </w:t>
      </w:r>
      <w:r w:rsidRPr="00C6052E">
        <w:t>in</w:t>
      </w:r>
      <w:r w:rsidR="00177848" w:rsidRPr="00C6052E">
        <w:t xml:space="preserve"> </w:t>
      </w:r>
      <w:r w:rsidRPr="00C6052E">
        <w:t>relation</w:t>
      </w:r>
      <w:r w:rsidR="00177848" w:rsidRPr="00C6052E">
        <w:t xml:space="preserve"> </w:t>
      </w:r>
      <w:r w:rsidRPr="00C6052E">
        <w:t>to:</w:t>
      </w:r>
    </w:p>
    <w:p w14:paraId="6C716D43" w14:textId="35967D98" w:rsidR="00EE5BB8" w:rsidRPr="00C6052E" w:rsidRDefault="00EE5BB8" w:rsidP="00EE5BB8">
      <w:pPr>
        <w:pStyle w:val="Bullet1"/>
        <w:numPr>
          <w:ilvl w:val="0"/>
          <w:numId w:val="1"/>
        </w:numPr>
        <w:spacing w:line="278" w:lineRule="auto"/>
        <w:ind w:left="284" w:hanging="284"/>
        <w:rPr>
          <w:lang w:val="en-AU"/>
        </w:rPr>
      </w:pPr>
      <w:r w:rsidRPr="00C6052E">
        <w:rPr>
          <w:lang w:val="en-AU"/>
        </w:rPr>
        <w:t>ensuring</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leading</w:t>
      </w:r>
      <w:r w:rsidR="00177848" w:rsidRPr="00C6052E">
        <w:rPr>
          <w:lang w:val="en-AU"/>
        </w:rPr>
        <w:t xml:space="preserve"> </w:t>
      </w:r>
      <w:r w:rsidRPr="00C6052E">
        <w:rPr>
          <w:lang w:val="en-AU"/>
        </w:rPr>
        <w:t>destination</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innovation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talent</w:t>
      </w:r>
    </w:p>
    <w:p w14:paraId="56799647" w14:textId="3AE11387" w:rsidR="00EE5BB8" w:rsidRPr="00C6052E" w:rsidRDefault="00EE5BB8" w:rsidP="00EE5BB8">
      <w:pPr>
        <w:pStyle w:val="Bullet1"/>
        <w:numPr>
          <w:ilvl w:val="0"/>
          <w:numId w:val="1"/>
        </w:numPr>
        <w:spacing w:line="278" w:lineRule="auto"/>
        <w:ind w:left="284" w:hanging="284"/>
        <w:rPr>
          <w:lang w:val="en-AU"/>
        </w:rPr>
      </w:pPr>
      <w:r w:rsidRPr="00C6052E">
        <w:rPr>
          <w:lang w:val="en-AU"/>
        </w:rPr>
        <w:t>continuous</w:t>
      </w:r>
      <w:r w:rsidR="00177848" w:rsidRPr="00C6052E">
        <w:rPr>
          <w:lang w:val="en-AU"/>
        </w:rPr>
        <w:t xml:space="preserve"> </w:t>
      </w:r>
      <w:r w:rsidRPr="00C6052E">
        <w:rPr>
          <w:lang w:val="en-AU"/>
        </w:rPr>
        <w:t>improvement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approach</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attraction</w:t>
      </w:r>
    </w:p>
    <w:p w14:paraId="11871436" w14:textId="5B9A3679" w:rsidR="00EE5BB8" w:rsidRPr="00C6052E" w:rsidRDefault="00EE5BB8" w:rsidP="00EE5BB8">
      <w:pPr>
        <w:pStyle w:val="Bullet1"/>
        <w:numPr>
          <w:ilvl w:val="0"/>
          <w:numId w:val="1"/>
        </w:numPr>
        <w:spacing w:line="278" w:lineRule="auto"/>
        <w:ind w:left="284" w:hanging="284"/>
        <w:rPr>
          <w:lang w:val="en-AU"/>
        </w:rPr>
      </w:pPr>
      <w:r w:rsidRPr="00C6052E">
        <w:rPr>
          <w:lang w:val="en-AU"/>
        </w:rPr>
        <w:t>enhancing</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environment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startup</w:t>
      </w:r>
      <w:r w:rsidR="00177848" w:rsidRPr="00C6052E">
        <w:rPr>
          <w:lang w:val="en-AU"/>
        </w:rPr>
        <w:t xml:space="preserve"> </w:t>
      </w:r>
      <w:r w:rsidRPr="00C6052E">
        <w:rPr>
          <w:lang w:val="en-AU"/>
        </w:rPr>
        <w:t>ecosystem</w:t>
      </w:r>
    </w:p>
    <w:p w14:paraId="061F1D1C" w14:textId="54700ABE" w:rsidR="00EE5BB8" w:rsidRPr="00C6052E" w:rsidRDefault="00EE5BB8" w:rsidP="00880FCA">
      <w:pPr>
        <w:pStyle w:val="Bullet1"/>
        <w:keepNext/>
        <w:numPr>
          <w:ilvl w:val="0"/>
          <w:numId w:val="1"/>
        </w:numPr>
        <w:spacing w:line="278" w:lineRule="auto"/>
        <w:ind w:left="284" w:hanging="284"/>
        <w:rPr>
          <w:lang w:val="en-AU"/>
        </w:rPr>
      </w:pPr>
      <w:r w:rsidRPr="00C6052E">
        <w:rPr>
          <w:lang w:val="en-AU"/>
        </w:rPr>
        <w:lastRenderedPageBreak/>
        <w:t>helping</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businesses</w:t>
      </w:r>
      <w:r w:rsidR="00177848" w:rsidRPr="00C6052E">
        <w:rPr>
          <w:lang w:val="en-AU"/>
        </w:rPr>
        <w:t xml:space="preserve"> </w:t>
      </w:r>
      <w:r w:rsidRPr="00C6052E">
        <w:rPr>
          <w:lang w:val="en-AU"/>
        </w:rPr>
        <w:t>successfully</w:t>
      </w:r>
      <w:r w:rsidR="00177848" w:rsidRPr="00C6052E">
        <w:rPr>
          <w:lang w:val="en-AU"/>
        </w:rPr>
        <w:t xml:space="preserve"> </w:t>
      </w:r>
      <w:r w:rsidRPr="00C6052E">
        <w:rPr>
          <w:lang w:val="en-AU"/>
        </w:rPr>
        <w:t>trade</w:t>
      </w:r>
      <w:r w:rsidR="00177848" w:rsidRPr="00C6052E">
        <w:rPr>
          <w:lang w:val="en-AU"/>
        </w:rPr>
        <w:t xml:space="preserve"> </w:t>
      </w:r>
      <w:r w:rsidRPr="00C6052E">
        <w:rPr>
          <w:lang w:val="en-AU"/>
        </w:rPr>
        <w:t>into</w:t>
      </w:r>
      <w:r w:rsidR="00177848" w:rsidRPr="00C6052E">
        <w:rPr>
          <w:lang w:val="en-AU"/>
        </w:rPr>
        <w:t xml:space="preserve"> </w:t>
      </w:r>
      <w:r w:rsidRPr="00C6052E">
        <w:rPr>
          <w:lang w:val="en-AU"/>
        </w:rPr>
        <w:t>global</w:t>
      </w:r>
      <w:r w:rsidR="00177848" w:rsidRPr="00C6052E">
        <w:rPr>
          <w:lang w:val="en-AU"/>
        </w:rPr>
        <w:t xml:space="preserve"> </w:t>
      </w:r>
      <w:r w:rsidRPr="00C6052E">
        <w:rPr>
          <w:lang w:val="en-AU"/>
        </w:rPr>
        <w:t>markets</w:t>
      </w:r>
    </w:p>
    <w:p w14:paraId="72AC6534" w14:textId="01E56C1B" w:rsidR="00EE5BB8" w:rsidRPr="00C6052E" w:rsidRDefault="00EE5BB8" w:rsidP="00EE5BB8">
      <w:pPr>
        <w:pStyle w:val="Bullet1last"/>
        <w:numPr>
          <w:ilvl w:val="0"/>
          <w:numId w:val="1"/>
        </w:numPr>
        <w:spacing w:line="278" w:lineRule="auto"/>
        <w:ind w:left="284" w:hanging="284"/>
        <w:rPr>
          <w:lang w:val="en-AU"/>
        </w:rPr>
      </w:pPr>
      <w:r w:rsidRPr="00C6052E">
        <w:rPr>
          <w:lang w:val="en-AU"/>
        </w:rPr>
        <w:t>growing</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market</w:t>
      </w:r>
      <w:r w:rsidR="00177848" w:rsidRPr="00C6052E">
        <w:rPr>
          <w:lang w:val="en-AU"/>
        </w:rPr>
        <w:t xml:space="preserve"> </w:t>
      </w:r>
      <w:r w:rsidRPr="00C6052E">
        <w:rPr>
          <w:lang w:val="en-AU"/>
        </w:rPr>
        <w:t>share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student</w:t>
      </w:r>
      <w:r w:rsidR="00177848" w:rsidRPr="00C6052E">
        <w:rPr>
          <w:lang w:val="en-AU"/>
        </w:rPr>
        <w:t xml:space="preserve"> </w:t>
      </w:r>
      <w:r w:rsidRPr="00C6052E">
        <w:rPr>
          <w:lang w:val="en-AU"/>
        </w:rPr>
        <w:t>enrolments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Australia.</w:t>
      </w:r>
    </w:p>
    <w:p w14:paraId="5AB37845" w14:textId="5D04C893" w:rsidR="00EE5BB8" w:rsidRPr="00C6052E" w:rsidRDefault="00EE5BB8" w:rsidP="00EE5BB8">
      <w:pPr>
        <w:pStyle w:val="TableHeading"/>
      </w:pPr>
      <w:r w:rsidRPr="00C6052E">
        <w:t>Table</w:t>
      </w:r>
      <w:r w:rsidR="00177848" w:rsidRPr="00C6052E">
        <w:t xml:space="preserve"> </w:t>
      </w:r>
      <w:r w:rsidRPr="00C6052E">
        <w:t>9:</w:t>
      </w:r>
      <w:r w:rsidR="00177848" w:rsidRPr="00C6052E">
        <w:t xml:space="preserve"> </w:t>
      </w:r>
      <w:r w:rsidRPr="00C6052E">
        <w:t>Output</w:t>
      </w:r>
      <w:r w:rsidR="00177848" w:rsidRPr="00C6052E">
        <w:t xml:space="preserve"> </w:t>
      </w:r>
      <w:r w:rsidRPr="00C6052E">
        <w:t>–</w:t>
      </w:r>
      <w:r w:rsidR="00177848" w:rsidRPr="00C6052E">
        <w:t xml:space="preserve"> </w:t>
      </w:r>
      <w:r w:rsidRPr="00C6052E">
        <w:t>Trade</w:t>
      </w:r>
      <w:r w:rsidR="00177848" w:rsidRPr="00C6052E">
        <w:t xml:space="preserve"> </w:t>
      </w:r>
      <w:r w:rsidRPr="00C6052E">
        <w:t>and</w:t>
      </w:r>
      <w:r w:rsidR="00177848" w:rsidRPr="00C6052E">
        <w:t xml:space="preserve"> </w:t>
      </w:r>
      <w:r w:rsidRPr="00C6052E">
        <w:t>Investment</w:t>
      </w:r>
    </w:p>
    <w:tbl>
      <w:tblPr>
        <w:tblStyle w:val="TableGrid"/>
        <w:tblW w:w="9747" w:type="dxa"/>
        <w:tblLayout w:type="fixed"/>
        <w:tblLook w:val="04A0" w:firstRow="1" w:lastRow="0" w:firstColumn="1" w:lastColumn="0" w:noHBand="0" w:noVBand="1"/>
      </w:tblPr>
      <w:tblGrid>
        <w:gridCol w:w="4531"/>
        <w:gridCol w:w="1020"/>
        <w:gridCol w:w="1020"/>
        <w:gridCol w:w="1020"/>
        <w:gridCol w:w="1361"/>
        <w:gridCol w:w="795"/>
      </w:tblGrid>
      <w:tr w:rsidR="00EE5BB8" w:rsidRPr="00C6052E" w14:paraId="1DD5504C" w14:textId="77777777" w:rsidTr="0063097D">
        <w:trPr>
          <w:tblHeader/>
        </w:trPr>
        <w:tc>
          <w:tcPr>
            <w:tcW w:w="4531" w:type="dxa"/>
            <w:hideMark/>
          </w:tcPr>
          <w:p w14:paraId="3219DCFD" w14:textId="7031576C" w:rsidR="00EE5BB8" w:rsidRPr="00C6052E" w:rsidRDefault="00EE5BB8" w:rsidP="0063097D">
            <w:pPr>
              <w:pStyle w:val="TableColumnHeading"/>
              <w:rPr>
                <w:lang w:val="en-AU"/>
              </w:rPr>
            </w:pPr>
            <w:bookmarkStart w:id="20" w:name="TableColumnHeadings_16"/>
            <w:bookmarkEnd w:id="20"/>
            <w:r w:rsidRPr="00C6052E">
              <w:rPr>
                <w:lang w:val="en-AU"/>
              </w:rPr>
              <w:t>Performance</w:t>
            </w:r>
            <w:r w:rsidR="00177848" w:rsidRPr="00C6052E">
              <w:rPr>
                <w:lang w:val="en-AU"/>
              </w:rPr>
              <w:t xml:space="preserve"> </w:t>
            </w:r>
            <w:r w:rsidRPr="00C6052E">
              <w:rPr>
                <w:lang w:val="en-AU"/>
              </w:rPr>
              <w:t>measures</w:t>
            </w:r>
          </w:p>
        </w:tc>
        <w:tc>
          <w:tcPr>
            <w:tcW w:w="1020" w:type="dxa"/>
            <w:hideMark/>
          </w:tcPr>
          <w:p w14:paraId="253F9B4C" w14:textId="2931F62F" w:rsidR="00EE5BB8" w:rsidRPr="00C6052E" w:rsidRDefault="00EE5BB8" w:rsidP="0063097D">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14356DBB" w14:textId="77777777" w:rsidR="00EE5BB8" w:rsidRPr="00C6052E" w:rsidRDefault="00EE5BB8" w:rsidP="0063097D">
            <w:pPr>
              <w:pStyle w:val="TableColumnHeading"/>
              <w:jc w:val="right"/>
              <w:rPr>
                <w:lang w:val="en-AU"/>
              </w:rPr>
            </w:pPr>
            <w:r w:rsidRPr="00C6052E">
              <w:rPr>
                <w:lang w:val="en-AU"/>
              </w:rPr>
              <w:t>2024–25</w:t>
            </w:r>
            <w:r w:rsidRPr="00C6052E">
              <w:rPr>
                <w:lang w:val="en-AU"/>
              </w:rPr>
              <w:br/>
              <w:t>Actual</w:t>
            </w:r>
          </w:p>
        </w:tc>
        <w:tc>
          <w:tcPr>
            <w:tcW w:w="1020" w:type="dxa"/>
            <w:hideMark/>
          </w:tcPr>
          <w:p w14:paraId="60BF5E79" w14:textId="29D7BFA8" w:rsidR="00EE5BB8" w:rsidRPr="00C6052E" w:rsidRDefault="00EE5BB8" w:rsidP="0063097D">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289822FF" w14:textId="79CC0CFD" w:rsidR="00EE5BB8" w:rsidRPr="00C6052E" w:rsidRDefault="00EE5BB8" w:rsidP="0063097D">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95" w:type="dxa"/>
            <w:hideMark/>
          </w:tcPr>
          <w:p w14:paraId="6F835EB6" w14:textId="77777777" w:rsidR="00EE5BB8" w:rsidRPr="00C6052E" w:rsidRDefault="00EE5BB8" w:rsidP="0063097D">
            <w:pPr>
              <w:pStyle w:val="TableColumnHeading"/>
              <w:jc w:val="right"/>
              <w:rPr>
                <w:lang w:val="en-AU"/>
              </w:rPr>
            </w:pPr>
            <w:r w:rsidRPr="00C6052E">
              <w:rPr>
                <w:lang w:val="en-AU"/>
              </w:rPr>
              <w:t>Result</w:t>
            </w:r>
          </w:p>
        </w:tc>
      </w:tr>
      <w:tr w:rsidR="00EE5BB8" w:rsidRPr="00C6052E" w14:paraId="460D7D0C" w14:textId="77777777" w:rsidTr="0063097D">
        <w:tc>
          <w:tcPr>
            <w:tcW w:w="4531" w:type="dxa"/>
          </w:tcPr>
          <w:p w14:paraId="1B7647E8" w14:textId="452F9A5A" w:rsidR="00EE5BB8" w:rsidRPr="00C6052E" w:rsidRDefault="00EE5BB8" w:rsidP="0063097D">
            <w:pPr>
              <w:pStyle w:val="TableHeading"/>
              <w:rPr>
                <w:lang w:val="en-AU"/>
              </w:rPr>
            </w:pPr>
            <w:r w:rsidRPr="00C6052E">
              <w:rPr>
                <w:lang w:val="en-AU"/>
              </w:rPr>
              <w:t>Investment</w:t>
            </w:r>
            <w:r w:rsidR="00177848" w:rsidRPr="00C6052E">
              <w:rPr>
                <w:lang w:val="en-AU"/>
              </w:rPr>
              <w:t xml:space="preserve"> </w:t>
            </w:r>
            <w:r w:rsidRPr="00C6052E">
              <w:rPr>
                <w:lang w:val="en-AU"/>
              </w:rPr>
              <w:t>Attraction</w:t>
            </w:r>
          </w:p>
        </w:tc>
        <w:tc>
          <w:tcPr>
            <w:tcW w:w="1020" w:type="dxa"/>
          </w:tcPr>
          <w:p w14:paraId="23B15005" w14:textId="77777777" w:rsidR="00EE5BB8" w:rsidRPr="00C6052E" w:rsidRDefault="00EE5BB8" w:rsidP="0063097D">
            <w:pPr>
              <w:pStyle w:val="TableHeading"/>
              <w:jc w:val="right"/>
              <w:rPr>
                <w:lang w:val="en-AU"/>
              </w:rPr>
            </w:pPr>
          </w:p>
        </w:tc>
        <w:tc>
          <w:tcPr>
            <w:tcW w:w="1020" w:type="dxa"/>
            <w:noWrap/>
          </w:tcPr>
          <w:p w14:paraId="6457A741" w14:textId="77777777" w:rsidR="00EE5BB8" w:rsidRPr="00C6052E" w:rsidRDefault="00EE5BB8" w:rsidP="0063097D">
            <w:pPr>
              <w:pStyle w:val="TableHeading"/>
              <w:jc w:val="right"/>
              <w:rPr>
                <w:lang w:val="en-AU"/>
              </w:rPr>
            </w:pPr>
          </w:p>
        </w:tc>
        <w:tc>
          <w:tcPr>
            <w:tcW w:w="1020" w:type="dxa"/>
            <w:noWrap/>
          </w:tcPr>
          <w:p w14:paraId="11B867D8" w14:textId="77777777" w:rsidR="00EE5BB8" w:rsidRPr="00C6052E" w:rsidRDefault="00EE5BB8" w:rsidP="0063097D">
            <w:pPr>
              <w:pStyle w:val="TableHeading"/>
              <w:jc w:val="right"/>
              <w:rPr>
                <w:lang w:val="en-AU"/>
              </w:rPr>
            </w:pPr>
          </w:p>
        </w:tc>
        <w:tc>
          <w:tcPr>
            <w:tcW w:w="1361" w:type="dxa"/>
            <w:noWrap/>
          </w:tcPr>
          <w:p w14:paraId="6A748D47" w14:textId="77777777" w:rsidR="00EE5BB8" w:rsidRPr="00C6052E" w:rsidRDefault="00EE5BB8" w:rsidP="0063097D">
            <w:pPr>
              <w:pStyle w:val="TableHeading"/>
              <w:jc w:val="right"/>
              <w:rPr>
                <w:lang w:val="en-AU"/>
              </w:rPr>
            </w:pPr>
          </w:p>
        </w:tc>
        <w:tc>
          <w:tcPr>
            <w:tcW w:w="795" w:type="dxa"/>
            <w:noWrap/>
          </w:tcPr>
          <w:p w14:paraId="145CC565" w14:textId="77777777" w:rsidR="00EE5BB8" w:rsidRPr="00C6052E" w:rsidRDefault="00EE5BB8" w:rsidP="00A42238">
            <w:pPr>
              <w:pStyle w:val="TableCopy"/>
              <w:jc w:val="right"/>
              <w:rPr>
                <w:lang w:val="en-AU"/>
              </w:rPr>
            </w:pPr>
          </w:p>
        </w:tc>
      </w:tr>
      <w:tr w:rsidR="00EE5BB8" w:rsidRPr="00C6052E" w14:paraId="4087905F" w14:textId="77777777" w:rsidTr="0063097D">
        <w:tc>
          <w:tcPr>
            <w:tcW w:w="4531" w:type="dxa"/>
          </w:tcPr>
          <w:p w14:paraId="0E830888" w14:textId="4F9DA7A0" w:rsidR="00EE5BB8" w:rsidRPr="00C6052E" w:rsidRDefault="00EE5BB8" w:rsidP="0063097D">
            <w:pPr>
              <w:pStyle w:val="TableCopy"/>
              <w:rPr>
                <w:lang w:val="en-AU"/>
              </w:rPr>
            </w:pPr>
            <w:r w:rsidRPr="00C6052E">
              <w:rPr>
                <w:lang w:val="en-AU"/>
              </w:rPr>
              <w:t>This</w:t>
            </w:r>
            <w:r w:rsidR="00177848" w:rsidRPr="00C6052E">
              <w:rPr>
                <w:lang w:val="en-AU"/>
              </w:rPr>
              <w:t xml:space="preserve"> </w:t>
            </w:r>
            <w:r w:rsidRPr="00C6052E">
              <w:rPr>
                <w:lang w:val="en-AU"/>
              </w:rPr>
              <w:t>sub-output</w:t>
            </w:r>
            <w:r w:rsidR="00177848" w:rsidRPr="00C6052E">
              <w:rPr>
                <w:lang w:val="en-AU"/>
              </w:rPr>
              <w:t xml:space="preserve"> </w:t>
            </w:r>
            <w:r w:rsidRPr="00C6052E">
              <w:rPr>
                <w:lang w:val="en-AU"/>
              </w:rPr>
              <w:t>contributes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strengthening</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performance</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facilitating</w:t>
            </w:r>
            <w:r w:rsidR="00177848" w:rsidRPr="00C6052E">
              <w:rPr>
                <w:lang w:val="en-AU"/>
              </w:rPr>
              <w:t xml:space="preserve"> </w:t>
            </w:r>
            <w:r w:rsidRPr="00C6052E">
              <w:rPr>
                <w:lang w:val="en-AU"/>
              </w:rPr>
              <w:t>private</w:t>
            </w:r>
            <w:r w:rsidR="00177848" w:rsidRPr="00C6052E">
              <w:rPr>
                <w:lang w:val="en-AU"/>
              </w:rPr>
              <w:t xml:space="preserve"> </w:t>
            </w:r>
            <w:r w:rsidRPr="00C6052E">
              <w:rPr>
                <w:lang w:val="en-AU"/>
              </w:rPr>
              <w:t>sector</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This</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achieved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securing</w:t>
            </w:r>
            <w:r w:rsidR="00177848" w:rsidRPr="00C6052E">
              <w:rPr>
                <w:lang w:val="en-AU"/>
              </w:rPr>
              <w:t xml:space="preserve"> </w:t>
            </w:r>
            <w:r w:rsidRPr="00C6052E">
              <w:rPr>
                <w:lang w:val="en-AU"/>
              </w:rPr>
              <w:t>investments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grants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access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finance</w:t>
            </w:r>
            <w:r w:rsidR="00177848" w:rsidRPr="00C6052E">
              <w:rPr>
                <w:lang w:val="en-AU"/>
              </w:rPr>
              <w:t xml:space="preserve"> </w:t>
            </w:r>
            <w:r w:rsidRPr="00C6052E">
              <w:rPr>
                <w:lang w:val="en-AU"/>
              </w:rPr>
              <w:t>initiatives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enhance</w:t>
            </w:r>
            <w:r w:rsidR="00177848" w:rsidRPr="00C6052E">
              <w:rPr>
                <w:lang w:val="en-AU"/>
              </w:rPr>
              <w:t xml:space="preserve"> </w:t>
            </w:r>
            <w:r w:rsidRPr="00C6052E">
              <w:rPr>
                <w:lang w:val="en-AU"/>
              </w:rPr>
              <w:t>productivity,</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introducing</w:t>
            </w:r>
            <w:r w:rsidR="00177848" w:rsidRPr="00C6052E">
              <w:rPr>
                <w:lang w:val="en-AU"/>
              </w:rPr>
              <w:t xml:space="preserve"> </w:t>
            </w:r>
            <w:r w:rsidRPr="00C6052E">
              <w:rPr>
                <w:lang w:val="en-AU"/>
              </w:rPr>
              <w:t>new</w:t>
            </w:r>
            <w:r w:rsidR="00177848" w:rsidRPr="00C6052E">
              <w:rPr>
                <w:lang w:val="en-AU"/>
              </w:rPr>
              <w:t xml:space="preserve"> </w:t>
            </w:r>
            <w:r w:rsidRPr="00C6052E">
              <w:rPr>
                <w:lang w:val="en-AU"/>
              </w:rPr>
              <w:t>skills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capabilities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economy.</w:t>
            </w:r>
          </w:p>
        </w:tc>
        <w:tc>
          <w:tcPr>
            <w:tcW w:w="1020" w:type="dxa"/>
          </w:tcPr>
          <w:p w14:paraId="53EB14B5" w14:textId="77777777" w:rsidR="00EE5BB8" w:rsidRPr="00C6052E" w:rsidRDefault="00EE5BB8" w:rsidP="0063097D">
            <w:pPr>
              <w:pStyle w:val="TableCopy"/>
              <w:jc w:val="right"/>
              <w:rPr>
                <w:lang w:val="en-AU"/>
              </w:rPr>
            </w:pPr>
          </w:p>
        </w:tc>
        <w:tc>
          <w:tcPr>
            <w:tcW w:w="1020" w:type="dxa"/>
            <w:noWrap/>
          </w:tcPr>
          <w:p w14:paraId="7C8652A5" w14:textId="77777777" w:rsidR="00EE5BB8" w:rsidRPr="00C6052E" w:rsidRDefault="00EE5BB8" w:rsidP="0063097D">
            <w:pPr>
              <w:pStyle w:val="TableCopy"/>
              <w:jc w:val="right"/>
              <w:rPr>
                <w:lang w:val="en-AU"/>
              </w:rPr>
            </w:pPr>
          </w:p>
        </w:tc>
        <w:tc>
          <w:tcPr>
            <w:tcW w:w="1020" w:type="dxa"/>
            <w:noWrap/>
          </w:tcPr>
          <w:p w14:paraId="481D7D8D" w14:textId="77777777" w:rsidR="00EE5BB8" w:rsidRPr="00C6052E" w:rsidRDefault="00EE5BB8" w:rsidP="0063097D">
            <w:pPr>
              <w:pStyle w:val="TableCopy"/>
              <w:jc w:val="right"/>
              <w:rPr>
                <w:lang w:val="en-AU"/>
              </w:rPr>
            </w:pPr>
          </w:p>
        </w:tc>
        <w:tc>
          <w:tcPr>
            <w:tcW w:w="1361" w:type="dxa"/>
            <w:noWrap/>
          </w:tcPr>
          <w:p w14:paraId="2E665C92" w14:textId="77777777" w:rsidR="00EE5BB8" w:rsidRPr="00C6052E" w:rsidRDefault="00EE5BB8" w:rsidP="0063097D">
            <w:pPr>
              <w:pStyle w:val="TableCopy"/>
              <w:jc w:val="right"/>
              <w:rPr>
                <w:lang w:val="en-AU"/>
              </w:rPr>
            </w:pPr>
          </w:p>
        </w:tc>
        <w:tc>
          <w:tcPr>
            <w:tcW w:w="795" w:type="dxa"/>
            <w:noWrap/>
          </w:tcPr>
          <w:p w14:paraId="27FA186B" w14:textId="77777777" w:rsidR="00EE5BB8" w:rsidRPr="00C6052E" w:rsidRDefault="00EE5BB8" w:rsidP="00A42238">
            <w:pPr>
              <w:pStyle w:val="TableCopy"/>
              <w:jc w:val="right"/>
              <w:rPr>
                <w:lang w:val="en-AU"/>
              </w:rPr>
            </w:pPr>
          </w:p>
        </w:tc>
      </w:tr>
      <w:tr w:rsidR="00EE5BB8" w:rsidRPr="00C6052E" w14:paraId="085AD0F3" w14:textId="77777777" w:rsidTr="0063097D">
        <w:tc>
          <w:tcPr>
            <w:tcW w:w="4531" w:type="dxa"/>
          </w:tcPr>
          <w:p w14:paraId="2BBA5BA3" w14:textId="77777777" w:rsidR="00EE5BB8" w:rsidRPr="00C6052E" w:rsidRDefault="00EE5BB8" w:rsidP="0063097D">
            <w:pPr>
              <w:pStyle w:val="TableHeading"/>
              <w:rPr>
                <w:lang w:val="en-AU"/>
              </w:rPr>
            </w:pPr>
            <w:r w:rsidRPr="00C6052E">
              <w:rPr>
                <w:lang w:val="en-AU"/>
              </w:rPr>
              <w:t>Quantity</w:t>
            </w:r>
          </w:p>
        </w:tc>
        <w:tc>
          <w:tcPr>
            <w:tcW w:w="1020" w:type="dxa"/>
          </w:tcPr>
          <w:p w14:paraId="275A4EDD" w14:textId="77777777" w:rsidR="00EE5BB8" w:rsidRPr="00C6052E" w:rsidRDefault="00EE5BB8" w:rsidP="0063097D">
            <w:pPr>
              <w:pStyle w:val="TableHeading"/>
              <w:jc w:val="right"/>
              <w:rPr>
                <w:lang w:val="en-AU"/>
              </w:rPr>
            </w:pPr>
          </w:p>
        </w:tc>
        <w:tc>
          <w:tcPr>
            <w:tcW w:w="1020" w:type="dxa"/>
            <w:noWrap/>
          </w:tcPr>
          <w:p w14:paraId="4E90352C" w14:textId="77777777" w:rsidR="00EE5BB8" w:rsidRPr="00C6052E" w:rsidRDefault="00EE5BB8" w:rsidP="0063097D">
            <w:pPr>
              <w:pStyle w:val="TableHeading"/>
              <w:jc w:val="right"/>
              <w:rPr>
                <w:lang w:val="en-AU"/>
              </w:rPr>
            </w:pPr>
          </w:p>
        </w:tc>
        <w:tc>
          <w:tcPr>
            <w:tcW w:w="1020" w:type="dxa"/>
            <w:noWrap/>
          </w:tcPr>
          <w:p w14:paraId="0D54BE5E" w14:textId="77777777" w:rsidR="00EE5BB8" w:rsidRPr="00C6052E" w:rsidRDefault="00EE5BB8" w:rsidP="0063097D">
            <w:pPr>
              <w:pStyle w:val="TableHeading"/>
              <w:jc w:val="right"/>
              <w:rPr>
                <w:lang w:val="en-AU"/>
              </w:rPr>
            </w:pPr>
          </w:p>
        </w:tc>
        <w:tc>
          <w:tcPr>
            <w:tcW w:w="1361" w:type="dxa"/>
            <w:noWrap/>
          </w:tcPr>
          <w:p w14:paraId="0717C669" w14:textId="77777777" w:rsidR="00EE5BB8" w:rsidRPr="00C6052E" w:rsidRDefault="00EE5BB8" w:rsidP="0063097D">
            <w:pPr>
              <w:pStyle w:val="TableHeading"/>
              <w:jc w:val="right"/>
              <w:rPr>
                <w:lang w:val="en-AU"/>
              </w:rPr>
            </w:pPr>
          </w:p>
        </w:tc>
        <w:tc>
          <w:tcPr>
            <w:tcW w:w="795" w:type="dxa"/>
            <w:noWrap/>
          </w:tcPr>
          <w:p w14:paraId="36236EB4" w14:textId="77777777" w:rsidR="00EE5BB8" w:rsidRPr="00C6052E" w:rsidRDefault="00EE5BB8" w:rsidP="00A42238">
            <w:pPr>
              <w:pStyle w:val="TableCopy"/>
              <w:jc w:val="right"/>
              <w:rPr>
                <w:lang w:val="en-AU"/>
              </w:rPr>
            </w:pPr>
          </w:p>
        </w:tc>
      </w:tr>
      <w:tr w:rsidR="00EE5BB8" w:rsidRPr="00C6052E" w14:paraId="514D5732" w14:textId="77777777" w:rsidTr="0063097D">
        <w:tc>
          <w:tcPr>
            <w:tcW w:w="4531" w:type="dxa"/>
            <w:hideMark/>
          </w:tcPr>
          <w:p w14:paraId="68DA4C5A" w14:textId="77777777" w:rsidR="00EE5BB8" w:rsidRDefault="00EE5BB8" w:rsidP="0063097D">
            <w:pPr>
              <w:pStyle w:val="TableCopy"/>
              <w:rPr>
                <w:lang w:val="en-AU"/>
              </w:rPr>
            </w:pPr>
            <w:r w:rsidRPr="00C6052E">
              <w:rPr>
                <w:lang w:val="en-AU"/>
              </w:rPr>
              <w:t>Innovation</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p>
          <w:p w14:paraId="1F0EC0CA" w14:textId="387B611E" w:rsidR="00D807D2" w:rsidRPr="00C6052E" w:rsidRDefault="00D807D2" w:rsidP="00D807D2">
            <w:pPr>
              <w:pStyle w:val="Tablenotes-indented"/>
              <w:ind w:left="227" w:firstLine="0"/>
              <w:rPr>
                <w:lang w:val="en-AU"/>
              </w:rPr>
            </w:pPr>
            <w:r w:rsidRPr="00C6052E">
              <w:rPr>
                <w:lang w:val="en-AU"/>
              </w:rPr>
              <w:t xml:space="preserve">Higher result due to </w:t>
            </w:r>
            <w:proofErr w:type="gramStart"/>
            <w:r w:rsidRPr="00C6052E">
              <w:rPr>
                <w:lang w:val="en-AU"/>
              </w:rPr>
              <w:t>a number of</w:t>
            </w:r>
            <w:proofErr w:type="gramEnd"/>
            <w:r w:rsidRPr="00C6052E">
              <w:rPr>
                <w:lang w:val="en-AU"/>
              </w:rPr>
              <w:t xml:space="preserve"> projects that delivered above average jobs project outcomes.</w:t>
            </w:r>
          </w:p>
        </w:tc>
        <w:tc>
          <w:tcPr>
            <w:tcW w:w="1020" w:type="dxa"/>
            <w:hideMark/>
          </w:tcPr>
          <w:p w14:paraId="1406B5F0" w14:textId="1CDECC79" w:rsidR="00EE5BB8" w:rsidRPr="00C6052E" w:rsidRDefault="00EE5BB8" w:rsidP="0063097D">
            <w:pPr>
              <w:pStyle w:val="TableCopy"/>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607E86A3" w14:textId="77777777" w:rsidR="00EE5BB8" w:rsidRPr="00C6052E" w:rsidRDefault="00EE5BB8" w:rsidP="0063097D">
            <w:pPr>
              <w:pStyle w:val="TableCopy"/>
              <w:jc w:val="right"/>
              <w:rPr>
                <w:lang w:val="en-AU"/>
              </w:rPr>
            </w:pPr>
            <w:r w:rsidRPr="00C6052E">
              <w:rPr>
                <w:lang w:val="en-AU"/>
              </w:rPr>
              <w:t>205</w:t>
            </w:r>
          </w:p>
        </w:tc>
        <w:tc>
          <w:tcPr>
            <w:tcW w:w="1020" w:type="dxa"/>
            <w:noWrap/>
            <w:hideMark/>
          </w:tcPr>
          <w:p w14:paraId="70FFFBDF" w14:textId="77777777" w:rsidR="00EE5BB8" w:rsidRPr="00C6052E" w:rsidRDefault="00EE5BB8" w:rsidP="0063097D">
            <w:pPr>
              <w:pStyle w:val="TableCopy"/>
              <w:jc w:val="right"/>
              <w:rPr>
                <w:lang w:val="en-AU"/>
              </w:rPr>
            </w:pPr>
            <w:r w:rsidRPr="00C6052E">
              <w:rPr>
                <w:lang w:val="en-AU"/>
              </w:rPr>
              <w:t>95</w:t>
            </w:r>
          </w:p>
        </w:tc>
        <w:tc>
          <w:tcPr>
            <w:tcW w:w="1361" w:type="dxa"/>
            <w:noWrap/>
            <w:hideMark/>
          </w:tcPr>
          <w:p w14:paraId="276E7FFE" w14:textId="77777777" w:rsidR="00EE5BB8" w:rsidRPr="00C6052E" w:rsidRDefault="00EE5BB8" w:rsidP="0063097D">
            <w:pPr>
              <w:pStyle w:val="TableCopy"/>
              <w:jc w:val="right"/>
              <w:rPr>
                <w:lang w:val="en-AU"/>
              </w:rPr>
            </w:pPr>
            <w:r w:rsidRPr="00C6052E">
              <w:rPr>
                <w:lang w:val="en-AU"/>
              </w:rPr>
              <w:t>115.8%</w:t>
            </w:r>
          </w:p>
        </w:tc>
        <w:tc>
          <w:tcPr>
            <w:tcW w:w="795" w:type="dxa"/>
            <w:noWrap/>
            <w:hideMark/>
          </w:tcPr>
          <w:p w14:paraId="5530EEFE" w14:textId="77777777" w:rsidR="00EE5BB8" w:rsidRPr="00C6052E" w:rsidRDefault="00EE5BB8" w:rsidP="00A42238">
            <w:pPr>
              <w:pStyle w:val="TableCopy"/>
              <w:jc w:val="right"/>
              <w:rPr>
                <w:lang w:val="en-AU"/>
              </w:rPr>
            </w:pPr>
            <w:r w:rsidRPr="00C6052E">
              <w:rPr>
                <w:lang w:val="en-AU"/>
              </w:rPr>
              <w:t>1</w:t>
            </w:r>
          </w:p>
        </w:tc>
      </w:tr>
      <w:tr w:rsidR="00EE5BB8" w:rsidRPr="00C6052E" w14:paraId="6190E928" w14:textId="77777777" w:rsidTr="0063097D">
        <w:tc>
          <w:tcPr>
            <w:tcW w:w="4531" w:type="dxa"/>
            <w:hideMark/>
          </w:tcPr>
          <w:p w14:paraId="51476DBD" w14:textId="77777777" w:rsidR="00EE5BB8" w:rsidRDefault="00EE5BB8" w:rsidP="0063097D">
            <w:pPr>
              <w:pStyle w:val="TableCopy"/>
              <w:rPr>
                <w:lang w:val="en-AU"/>
              </w:rPr>
            </w:pPr>
            <w:r w:rsidRPr="00C6052E">
              <w:rPr>
                <w:lang w:val="en-AU"/>
              </w:rPr>
              <w:t>Jobs</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p>
          <w:p w14:paraId="72B89C76" w14:textId="675FD9E8" w:rsidR="00D807D2" w:rsidRPr="00C6052E" w:rsidRDefault="00D807D2" w:rsidP="00D807D2">
            <w:pPr>
              <w:pStyle w:val="Tablenotes-indented"/>
              <w:ind w:left="227" w:firstLine="0"/>
              <w:rPr>
                <w:lang w:val="en-AU"/>
              </w:rPr>
            </w:pPr>
            <w:r w:rsidRPr="00C6052E">
              <w:rPr>
                <w:lang w:val="en-AU"/>
              </w:rPr>
              <w:t xml:space="preserve">Higher result due to </w:t>
            </w:r>
            <w:proofErr w:type="gramStart"/>
            <w:r w:rsidRPr="00C6052E">
              <w:rPr>
                <w:lang w:val="en-AU"/>
              </w:rPr>
              <w:t>a number of</w:t>
            </w:r>
            <w:proofErr w:type="gramEnd"/>
            <w:r w:rsidRPr="00C6052E">
              <w:rPr>
                <w:lang w:val="en-AU"/>
              </w:rPr>
              <w:t xml:space="preserve"> projects that delivered two thirds of the total innovation expenditure.</w:t>
            </w:r>
          </w:p>
        </w:tc>
        <w:tc>
          <w:tcPr>
            <w:tcW w:w="1020" w:type="dxa"/>
            <w:hideMark/>
          </w:tcPr>
          <w:p w14:paraId="2F57420B"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418D7E7B" w14:textId="77777777" w:rsidR="00EE5BB8" w:rsidRPr="00C6052E" w:rsidRDefault="00EE5BB8" w:rsidP="0063097D">
            <w:pPr>
              <w:pStyle w:val="TableCopy"/>
              <w:jc w:val="right"/>
              <w:rPr>
                <w:lang w:val="en-AU"/>
              </w:rPr>
            </w:pPr>
            <w:r w:rsidRPr="00C6052E">
              <w:rPr>
                <w:lang w:val="en-AU"/>
              </w:rPr>
              <w:t>1,847</w:t>
            </w:r>
          </w:p>
        </w:tc>
        <w:tc>
          <w:tcPr>
            <w:tcW w:w="1020" w:type="dxa"/>
            <w:noWrap/>
            <w:hideMark/>
          </w:tcPr>
          <w:p w14:paraId="6C3A1065" w14:textId="77777777" w:rsidR="00EE5BB8" w:rsidRPr="00C6052E" w:rsidRDefault="00EE5BB8" w:rsidP="0063097D">
            <w:pPr>
              <w:pStyle w:val="TableCopy"/>
              <w:jc w:val="right"/>
              <w:rPr>
                <w:lang w:val="en-AU"/>
              </w:rPr>
            </w:pPr>
            <w:r w:rsidRPr="00C6052E">
              <w:rPr>
                <w:lang w:val="en-AU"/>
              </w:rPr>
              <w:t>1,050</w:t>
            </w:r>
          </w:p>
        </w:tc>
        <w:tc>
          <w:tcPr>
            <w:tcW w:w="1361" w:type="dxa"/>
            <w:noWrap/>
            <w:hideMark/>
          </w:tcPr>
          <w:p w14:paraId="0A93D91F" w14:textId="77777777" w:rsidR="00EE5BB8" w:rsidRPr="00C6052E" w:rsidRDefault="00EE5BB8" w:rsidP="0063097D">
            <w:pPr>
              <w:pStyle w:val="TableCopy"/>
              <w:jc w:val="right"/>
              <w:rPr>
                <w:lang w:val="en-AU"/>
              </w:rPr>
            </w:pPr>
            <w:r w:rsidRPr="00C6052E">
              <w:rPr>
                <w:lang w:val="en-AU"/>
              </w:rPr>
              <w:t>75.9%</w:t>
            </w:r>
          </w:p>
        </w:tc>
        <w:tc>
          <w:tcPr>
            <w:tcW w:w="795" w:type="dxa"/>
            <w:noWrap/>
            <w:hideMark/>
          </w:tcPr>
          <w:p w14:paraId="64FD396D" w14:textId="77777777" w:rsidR="00EE5BB8" w:rsidRPr="00C6052E" w:rsidRDefault="00EE5BB8" w:rsidP="00A42238">
            <w:pPr>
              <w:pStyle w:val="TableCopy"/>
              <w:jc w:val="right"/>
              <w:rPr>
                <w:lang w:val="en-AU"/>
              </w:rPr>
            </w:pPr>
            <w:r w:rsidRPr="00C6052E">
              <w:rPr>
                <w:lang w:val="en-AU"/>
              </w:rPr>
              <w:t>1</w:t>
            </w:r>
          </w:p>
        </w:tc>
      </w:tr>
      <w:tr w:rsidR="00EE5BB8" w:rsidRPr="00C6052E" w14:paraId="7B62B2E4" w14:textId="77777777" w:rsidTr="0063097D">
        <w:tc>
          <w:tcPr>
            <w:tcW w:w="4531" w:type="dxa"/>
          </w:tcPr>
          <w:p w14:paraId="72FBE603" w14:textId="77777777" w:rsidR="00EE5BB8" w:rsidRPr="00C6052E" w:rsidRDefault="00EE5BB8" w:rsidP="0063097D">
            <w:pPr>
              <w:pStyle w:val="TableHeading"/>
              <w:rPr>
                <w:lang w:val="en-AU"/>
              </w:rPr>
            </w:pPr>
            <w:r w:rsidRPr="00C6052E">
              <w:rPr>
                <w:lang w:val="en-AU"/>
              </w:rPr>
              <w:t>Quality</w:t>
            </w:r>
          </w:p>
        </w:tc>
        <w:tc>
          <w:tcPr>
            <w:tcW w:w="1020" w:type="dxa"/>
          </w:tcPr>
          <w:p w14:paraId="44B40184" w14:textId="77777777" w:rsidR="00EE5BB8" w:rsidRPr="00C6052E" w:rsidRDefault="00EE5BB8" w:rsidP="0063097D">
            <w:pPr>
              <w:pStyle w:val="TableHeading"/>
              <w:jc w:val="right"/>
              <w:rPr>
                <w:lang w:val="en-AU"/>
              </w:rPr>
            </w:pPr>
          </w:p>
        </w:tc>
        <w:tc>
          <w:tcPr>
            <w:tcW w:w="1020" w:type="dxa"/>
            <w:noWrap/>
          </w:tcPr>
          <w:p w14:paraId="48AB0BAE" w14:textId="77777777" w:rsidR="00EE5BB8" w:rsidRPr="00C6052E" w:rsidRDefault="00EE5BB8" w:rsidP="0063097D">
            <w:pPr>
              <w:pStyle w:val="TableHeading"/>
              <w:jc w:val="right"/>
              <w:rPr>
                <w:lang w:val="en-AU"/>
              </w:rPr>
            </w:pPr>
          </w:p>
        </w:tc>
        <w:tc>
          <w:tcPr>
            <w:tcW w:w="1020" w:type="dxa"/>
            <w:noWrap/>
          </w:tcPr>
          <w:p w14:paraId="64EBED2C" w14:textId="77777777" w:rsidR="00EE5BB8" w:rsidRPr="00C6052E" w:rsidRDefault="00EE5BB8" w:rsidP="0063097D">
            <w:pPr>
              <w:pStyle w:val="TableHeading"/>
              <w:jc w:val="right"/>
              <w:rPr>
                <w:lang w:val="en-AU"/>
              </w:rPr>
            </w:pPr>
          </w:p>
        </w:tc>
        <w:tc>
          <w:tcPr>
            <w:tcW w:w="1361" w:type="dxa"/>
            <w:noWrap/>
          </w:tcPr>
          <w:p w14:paraId="49F69E74" w14:textId="77777777" w:rsidR="00EE5BB8" w:rsidRPr="00C6052E" w:rsidRDefault="00EE5BB8" w:rsidP="0063097D">
            <w:pPr>
              <w:pStyle w:val="TableHeading"/>
              <w:jc w:val="right"/>
              <w:rPr>
                <w:lang w:val="en-AU"/>
              </w:rPr>
            </w:pPr>
          </w:p>
        </w:tc>
        <w:tc>
          <w:tcPr>
            <w:tcW w:w="795" w:type="dxa"/>
            <w:noWrap/>
          </w:tcPr>
          <w:p w14:paraId="1529B072" w14:textId="77777777" w:rsidR="00EE5BB8" w:rsidRPr="00C6052E" w:rsidRDefault="00EE5BB8" w:rsidP="00A42238">
            <w:pPr>
              <w:pStyle w:val="TableCopy"/>
              <w:jc w:val="right"/>
              <w:rPr>
                <w:lang w:val="en-AU"/>
              </w:rPr>
            </w:pPr>
          </w:p>
        </w:tc>
      </w:tr>
      <w:tr w:rsidR="00EE5BB8" w:rsidRPr="00C6052E" w14:paraId="704499F6" w14:textId="77777777" w:rsidTr="0063097D">
        <w:tc>
          <w:tcPr>
            <w:tcW w:w="4531" w:type="dxa"/>
            <w:hideMark/>
          </w:tcPr>
          <w:p w14:paraId="62988ECD" w14:textId="77777777" w:rsidR="00EE5BB8" w:rsidRDefault="00EE5BB8" w:rsidP="0063097D">
            <w:pPr>
              <w:pStyle w:val="TableCopy"/>
              <w:rPr>
                <w:lang w:val="en-AU"/>
              </w:rPr>
            </w:pPr>
            <w:r w:rsidRPr="00C6052E">
              <w:rPr>
                <w:lang w:val="en-AU"/>
              </w:rPr>
              <w:t>Wages</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p>
          <w:p w14:paraId="1475DED9" w14:textId="12538CFA" w:rsidR="00D807D2" w:rsidRPr="00C6052E" w:rsidRDefault="00D807D2" w:rsidP="00D807D2">
            <w:pPr>
              <w:pStyle w:val="Tablenotes-indented"/>
              <w:ind w:left="227" w:firstLine="0"/>
              <w:rPr>
                <w:lang w:val="en-AU"/>
              </w:rPr>
            </w:pPr>
            <w:r w:rsidRPr="00C6052E">
              <w:rPr>
                <w:lang w:val="en-AU"/>
              </w:rPr>
              <w:t xml:space="preserve">Higher result due to </w:t>
            </w:r>
            <w:proofErr w:type="gramStart"/>
            <w:r w:rsidRPr="00C6052E">
              <w:rPr>
                <w:lang w:val="en-AU"/>
              </w:rPr>
              <w:t>a number of</w:t>
            </w:r>
            <w:proofErr w:type="gramEnd"/>
            <w:r w:rsidRPr="00C6052E">
              <w:rPr>
                <w:lang w:val="en-AU"/>
              </w:rPr>
              <w:t xml:space="preserve"> projects that delivered above average wages expenditure project outcomes.</w:t>
            </w:r>
          </w:p>
        </w:tc>
        <w:tc>
          <w:tcPr>
            <w:tcW w:w="1020" w:type="dxa"/>
            <w:hideMark/>
          </w:tcPr>
          <w:p w14:paraId="08F2F4CA" w14:textId="4689BE54" w:rsidR="00EE5BB8" w:rsidRPr="00C6052E" w:rsidRDefault="00EE5BB8" w:rsidP="0063097D">
            <w:pPr>
              <w:pStyle w:val="TableCopy"/>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6BA5A792" w14:textId="77777777" w:rsidR="00EE5BB8" w:rsidRPr="00C6052E" w:rsidRDefault="00EE5BB8" w:rsidP="0063097D">
            <w:pPr>
              <w:pStyle w:val="TableCopy"/>
              <w:jc w:val="right"/>
              <w:rPr>
                <w:lang w:val="en-AU"/>
              </w:rPr>
            </w:pPr>
            <w:r w:rsidRPr="00C6052E">
              <w:rPr>
                <w:lang w:val="en-AU"/>
              </w:rPr>
              <w:t>230</w:t>
            </w:r>
          </w:p>
        </w:tc>
        <w:tc>
          <w:tcPr>
            <w:tcW w:w="1020" w:type="dxa"/>
            <w:noWrap/>
            <w:hideMark/>
          </w:tcPr>
          <w:p w14:paraId="4D1A831A" w14:textId="77777777" w:rsidR="00EE5BB8" w:rsidRPr="00C6052E" w:rsidRDefault="00EE5BB8" w:rsidP="0063097D">
            <w:pPr>
              <w:pStyle w:val="TableCopy"/>
              <w:jc w:val="right"/>
              <w:rPr>
                <w:lang w:val="en-AU"/>
              </w:rPr>
            </w:pPr>
            <w:r w:rsidRPr="00C6052E">
              <w:rPr>
                <w:lang w:val="en-AU"/>
              </w:rPr>
              <w:t>93</w:t>
            </w:r>
          </w:p>
        </w:tc>
        <w:tc>
          <w:tcPr>
            <w:tcW w:w="1361" w:type="dxa"/>
            <w:noWrap/>
            <w:hideMark/>
          </w:tcPr>
          <w:p w14:paraId="0D24480D" w14:textId="77777777" w:rsidR="00EE5BB8" w:rsidRPr="00C6052E" w:rsidRDefault="00EE5BB8" w:rsidP="0063097D">
            <w:pPr>
              <w:pStyle w:val="TableCopy"/>
              <w:jc w:val="right"/>
              <w:rPr>
                <w:lang w:val="en-AU"/>
              </w:rPr>
            </w:pPr>
            <w:r w:rsidRPr="00C6052E">
              <w:rPr>
                <w:lang w:val="en-AU"/>
              </w:rPr>
              <w:t>147.3%</w:t>
            </w:r>
          </w:p>
        </w:tc>
        <w:tc>
          <w:tcPr>
            <w:tcW w:w="795" w:type="dxa"/>
            <w:noWrap/>
            <w:hideMark/>
          </w:tcPr>
          <w:p w14:paraId="43ECD8C3" w14:textId="77777777" w:rsidR="00EE5BB8" w:rsidRPr="00C6052E" w:rsidRDefault="00EE5BB8" w:rsidP="00A42238">
            <w:pPr>
              <w:pStyle w:val="TableCopy"/>
              <w:jc w:val="right"/>
              <w:rPr>
                <w:lang w:val="en-AU"/>
              </w:rPr>
            </w:pPr>
            <w:r w:rsidRPr="00C6052E">
              <w:rPr>
                <w:lang w:val="en-AU"/>
              </w:rPr>
              <w:t>1</w:t>
            </w:r>
          </w:p>
        </w:tc>
      </w:tr>
      <w:tr w:rsidR="00EE5BB8" w:rsidRPr="00C6052E" w14:paraId="300610F4" w14:textId="77777777" w:rsidTr="0063097D">
        <w:tc>
          <w:tcPr>
            <w:tcW w:w="4531" w:type="dxa"/>
          </w:tcPr>
          <w:p w14:paraId="06D76AEC" w14:textId="77777777" w:rsidR="00EE5BB8" w:rsidRPr="00C6052E" w:rsidRDefault="00EE5BB8" w:rsidP="0063097D">
            <w:pPr>
              <w:pStyle w:val="TableHeading"/>
              <w:rPr>
                <w:lang w:val="en-AU"/>
              </w:rPr>
            </w:pPr>
            <w:r w:rsidRPr="00C6052E">
              <w:rPr>
                <w:lang w:val="en-AU"/>
              </w:rPr>
              <w:lastRenderedPageBreak/>
              <w:t>Timeliness</w:t>
            </w:r>
          </w:p>
        </w:tc>
        <w:tc>
          <w:tcPr>
            <w:tcW w:w="1020" w:type="dxa"/>
          </w:tcPr>
          <w:p w14:paraId="112DA678" w14:textId="77777777" w:rsidR="00EE5BB8" w:rsidRPr="00C6052E" w:rsidRDefault="00EE5BB8" w:rsidP="0063097D">
            <w:pPr>
              <w:pStyle w:val="TableHeading"/>
              <w:jc w:val="right"/>
              <w:rPr>
                <w:lang w:val="en-AU"/>
              </w:rPr>
            </w:pPr>
          </w:p>
        </w:tc>
        <w:tc>
          <w:tcPr>
            <w:tcW w:w="1020" w:type="dxa"/>
            <w:noWrap/>
          </w:tcPr>
          <w:p w14:paraId="1F580F0E" w14:textId="77777777" w:rsidR="00EE5BB8" w:rsidRPr="00C6052E" w:rsidRDefault="00EE5BB8" w:rsidP="0063097D">
            <w:pPr>
              <w:pStyle w:val="TableHeading"/>
              <w:jc w:val="right"/>
              <w:rPr>
                <w:lang w:val="en-AU"/>
              </w:rPr>
            </w:pPr>
          </w:p>
        </w:tc>
        <w:tc>
          <w:tcPr>
            <w:tcW w:w="1020" w:type="dxa"/>
            <w:noWrap/>
          </w:tcPr>
          <w:p w14:paraId="10464E2D" w14:textId="77777777" w:rsidR="00EE5BB8" w:rsidRPr="00C6052E" w:rsidRDefault="00EE5BB8" w:rsidP="0063097D">
            <w:pPr>
              <w:pStyle w:val="TableHeading"/>
              <w:jc w:val="right"/>
              <w:rPr>
                <w:lang w:val="en-AU"/>
              </w:rPr>
            </w:pPr>
          </w:p>
        </w:tc>
        <w:tc>
          <w:tcPr>
            <w:tcW w:w="1361" w:type="dxa"/>
            <w:noWrap/>
          </w:tcPr>
          <w:p w14:paraId="7431CFC3" w14:textId="77777777" w:rsidR="00EE5BB8" w:rsidRPr="00C6052E" w:rsidRDefault="00EE5BB8" w:rsidP="0063097D">
            <w:pPr>
              <w:pStyle w:val="TableHeading"/>
              <w:jc w:val="right"/>
              <w:rPr>
                <w:lang w:val="en-AU"/>
              </w:rPr>
            </w:pPr>
          </w:p>
        </w:tc>
        <w:tc>
          <w:tcPr>
            <w:tcW w:w="795" w:type="dxa"/>
            <w:noWrap/>
          </w:tcPr>
          <w:p w14:paraId="35FC6D9E" w14:textId="77777777" w:rsidR="00EE5BB8" w:rsidRPr="00C6052E" w:rsidRDefault="00EE5BB8" w:rsidP="00A42238">
            <w:pPr>
              <w:pStyle w:val="TableCopy"/>
              <w:jc w:val="right"/>
              <w:rPr>
                <w:lang w:val="en-AU"/>
              </w:rPr>
            </w:pPr>
          </w:p>
        </w:tc>
      </w:tr>
      <w:tr w:rsidR="00EE5BB8" w:rsidRPr="00C6052E" w14:paraId="4B5300BE" w14:textId="77777777" w:rsidTr="0063097D">
        <w:tc>
          <w:tcPr>
            <w:tcW w:w="4531" w:type="dxa"/>
            <w:hideMark/>
          </w:tcPr>
          <w:p w14:paraId="73E16A85" w14:textId="77777777" w:rsidR="00EE5BB8" w:rsidRDefault="00EE5BB8" w:rsidP="00880FCA">
            <w:pPr>
              <w:pStyle w:val="TableCopy"/>
              <w:keepNext/>
              <w:rPr>
                <w:lang w:val="en-AU"/>
              </w:rPr>
            </w:pPr>
            <w:r w:rsidRPr="00C6052E">
              <w:rPr>
                <w:lang w:val="en-AU"/>
              </w:rPr>
              <w:t>Delivery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key</w:t>
            </w:r>
            <w:r w:rsidR="00177848" w:rsidRPr="00C6052E">
              <w:rPr>
                <w:lang w:val="en-AU"/>
              </w:rPr>
              <w:t xml:space="preserve"> </w:t>
            </w:r>
            <w:proofErr w:type="spellStart"/>
            <w:r w:rsidRPr="00C6052E">
              <w:rPr>
                <w:lang w:val="en-AU"/>
              </w:rPr>
              <w:t>CarbonNet</w:t>
            </w:r>
            <w:proofErr w:type="spellEnd"/>
            <w:r w:rsidR="00177848" w:rsidRPr="00C6052E">
              <w:rPr>
                <w:lang w:val="en-AU"/>
              </w:rPr>
              <w:t xml:space="preserve"> </w:t>
            </w:r>
            <w:r w:rsidRPr="00C6052E">
              <w:rPr>
                <w:lang w:val="en-AU"/>
              </w:rPr>
              <w:t>milestones,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line</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funding</w:t>
            </w:r>
            <w:r w:rsidR="00177848" w:rsidRPr="00C6052E">
              <w:rPr>
                <w:lang w:val="en-AU"/>
              </w:rPr>
              <w:t xml:space="preserve"> </w:t>
            </w:r>
            <w:r w:rsidRPr="00C6052E">
              <w:rPr>
                <w:lang w:val="en-AU"/>
              </w:rPr>
              <w:t>agreements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agreed</w:t>
            </w:r>
            <w:r w:rsidR="00177848" w:rsidRPr="00C6052E">
              <w:rPr>
                <w:lang w:val="en-AU"/>
              </w:rPr>
              <w:t xml:space="preserve"> </w:t>
            </w:r>
            <w:r w:rsidRPr="00C6052E">
              <w:rPr>
                <w:lang w:val="en-AU"/>
              </w:rPr>
              <w:t>project</w:t>
            </w:r>
            <w:r w:rsidR="00177848" w:rsidRPr="00C6052E">
              <w:rPr>
                <w:lang w:val="en-AU"/>
              </w:rPr>
              <w:t xml:space="preserve"> </w:t>
            </w:r>
            <w:r w:rsidRPr="00C6052E">
              <w:rPr>
                <w:lang w:val="en-AU"/>
              </w:rPr>
              <w:t>deliverables</w:t>
            </w:r>
          </w:p>
          <w:p w14:paraId="73C53036" w14:textId="6F5FE9CE" w:rsidR="00D807D2" w:rsidRPr="00C6052E" w:rsidRDefault="00D807D2" w:rsidP="00D807D2">
            <w:pPr>
              <w:pStyle w:val="Tablenotes-indented"/>
              <w:ind w:left="227" w:firstLine="0"/>
              <w:rPr>
                <w:lang w:val="en-AU"/>
              </w:rPr>
            </w:pPr>
            <w:r w:rsidRPr="00C6052E">
              <w:rPr>
                <w:lang w:val="en-AU"/>
              </w:rPr>
              <w:t>Lower result due to partial progress of project deliverables, owing to agreed changes to scope of the activities scheduled for the period.</w:t>
            </w:r>
          </w:p>
        </w:tc>
        <w:tc>
          <w:tcPr>
            <w:tcW w:w="1020" w:type="dxa"/>
            <w:hideMark/>
          </w:tcPr>
          <w:p w14:paraId="6ED78412" w14:textId="38F31497" w:rsidR="00EE5BB8" w:rsidRPr="00C6052E" w:rsidRDefault="00EE5BB8" w:rsidP="00880FCA">
            <w:pPr>
              <w:pStyle w:val="TableCopy"/>
              <w:keepNext/>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5CF29B80" w14:textId="77777777" w:rsidR="00EE5BB8" w:rsidRPr="00C6052E" w:rsidRDefault="00EE5BB8" w:rsidP="00880FCA">
            <w:pPr>
              <w:pStyle w:val="TableCopy"/>
              <w:keepNext/>
              <w:jc w:val="right"/>
              <w:rPr>
                <w:lang w:val="en-AU"/>
              </w:rPr>
            </w:pPr>
            <w:r w:rsidRPr="00C6052E">
              <w:rPr>
                <w:lang w:val="en-AU"/>
              </w:rPr>
              <w:t>75</w:t>
            </w:r>
          </w:p>
        </w:tc>
        <w:tc>
          <w:tcPr>
            <w:tcW w:w="1020" w:type="dxa"/>
            <w:noWrap/>
            <w:hideMark/>
          </w:tcPr>
          <w:p w14:paraId="62446C2B" w14:textId="77777777" w:rsidR="00EE5BB8" w:rsidRPr="00C6052E" w:rsidRDefault="00EE5BB8" w:rsidP="00880FCA">
            <w:pPr>
              <w:pStyle w:val="TableCopy"/>
              <w:keepNext/>
              <w:jc w:val="right"/>
              <w:rPr>
                <w:lang w:val="en-AU"/>
              </w:rPr>
            </w:pPr>
            <w:r w:rsidRPr="00C6052E">
              <w:rPr>
                <w:lang w:val="en-AU"/>
              </w:rPr>
              <w:t>100</w:t>
            </w:r>
          </w:p>
        </w:tc>
        <w:tc>
          <w:tcPr>
            <w:tcW w:w="1361" w:type="dxa"/>
            <w:noWrap/>
            <w:hideMark/>
          </w:tcPr>
          <w:p w14:paraId="75F69252" w14:textId="77777777" w:rsidR="00EE5BB8" w:rsidRPr="00C6052E" w:rsidRDefault="00EE5BB8" w:rsidP="00880FCA">
            <w:pPr>
              <w:pStyle w:val="TableCopy"/>
              <w:keepNext/>
              <w:jc w:val="right"/>
              <w:rPr>
                <w:lang w:val="en-AU"/>
              </w:rPr>
            </w:pPr>
            <w:r w:rsidRPr="00C6052E">
              <w:rPr>
                <w:lang w:val="en-AU"/>
              </w:rPr>
              <w:t>-25.0%</w:t>
            </w:r>
          </w:p>
        </w:tc>
        <w:tc>
          <w:tcPr>
            <w:tcW w:w="795" w:type="dxa"/>
            <w:noWrap/>
            <w:hideMark/>
          </w:tcPr>
          <w:p w14:paraId="0F5858CA" w14:textId="77777777" w:rsidR="00EE5BB8" w:rsidRPr="00C6052E" w:rsidRDefault="00EE5BB8" w:rsidP="00880FCA">
            <w:pPr>
              <w:pStyle w:val="TableCopy"/>
              <w:keepNext/>
              <w:jc w:val="right"/>
              <w:rPr>
                <w:lang w:val="en-AU"/>
              </w:rPr>
            </w:pPr>
            <w:r w:rsidRPr="00C6052E">
              <w:rPr>
                <w:lang w:val="en-AU"/>
              </w:rPr>
              <w:t>3</w:t>
            </w:r>
          </w:p>
        </w:tc>
      </w:tr>
      <w:tr w:rsidR="00EE5BB8" w:rsidRPr="00C6052E" w14:paraId="3377BD22" w14:textId="77777777" w:rsidTr="0063097D">
        <w:tc>
          <w:tcPr>
            <w:tcW w:w="4531" w:type="dxa"/>
          </w:tcPr>
          <w:p w14:paraId="55D82BEC" w14:textId="77777777" w:rsidR="00EE5BB8" w:rsidRPr="00C6052E" w:rsidRDefault="00EE5BB8" w:rsidP="0063097D">
            <w:pPr>
              <w:pStyle w:val="TableHeading"/>
              <w:rPr>
                <w:lang w:val="en-AU"/>
              </w:rPr>
            </w:pPr>
            <w:r w:rsidRPr="00C6052E">
              <w:rPr>
                <w:lang w:val="en-AU"/>
              </w:rPr>
              <w:t>Cost</w:t>
            </w:r>
          </w:p>
        </w:tc>
        <w:tc>
          <w:tcPr>
            <w:tcW w:w="1020" w:type="dxa"/>
          </w:tcPr>
          <w:p w14:paraId="6119E4F5" w14:textId="77777777" w:rsidR="00EE5BB8" w:rsidRPr="00C6052E" w:rsidRDefault="00EE5BB8" w:rsidP="0063097D">
            <w:pPr>
              <w:pStyle w:val="TableHeading"/>
              <w:jc w:val="right"/>
              <w:rPr>
                <w:lang w:val="en-AU"/>
              </w:rPr>
            </w:pPr>
          </w:p>
        </w:tc>
        <w:tc>
          <w:tcPr>
            <w:tcW w:w="1020" w:type="dxa"/>
            <w:noWrap/>
          </w:tcPr>
          <w:p w14:paraId="39717E3F" w14:textId="77777777" w:rsidR="00EE5BB8" w:rsidRPr="00C6052E" w:rsidRDefault="00EE5BB8" w:rsidP="0063097D">
            <w:pPr>
              <w:pStyle w:val="TableHeading"/>
              <w:jc w:val="right"/>
              <w:rPr>
                <w:lang w:val="en-AU"/>
              </w:rPr>
            </w:pPr>
          </w:p>
        </w:tc>
        <w:tc>
          <w:tcPr>
            <w:tcW w:w="1020" w:type="dxa"/>
            <w:noWrap/>
          </w:tcPr>
          <w:p w14:paraId="5204F84C" w14:textId="77777777" w:rsidR="00EE5BB8" w:rsidRPr="00C6052E" w:rsidRDefault="00EE5BB8" w:rsidP="0063097D">
            <w:pPr>
              <w:pStyle w:val="TableHeading"/>
              <w:jc w:val="right"/>
              <w:rPr>
                <w:lang w:val="en-AU"/>
              </w:rPr>
            </w:pPr>
          </w:p>
        </w:tc>
        <w:tc>
          <w:tcPr>
            <w:tcW w:w="1361" w:type="dxa"/>
            <w:noWrap/>
          </w:tcPr>
          <w:p w14:paraId="23B66B68" w14:textId="77777777" w:rsidR="00EE5BB8" w:rsidRPr="00C6052E" w:rsidRDefault="00EE5BB8" w:rsidP="0063097D">
            <w:pPr>
              <w:pStyle w:val="TableHeading"/>
              <w:jc w:val="right"/>
              <w:rPr>
                <w:lang w:val="en-AU"/>
              </w:rPr>
            </w:pPr>
          </w:p>
        </w:tc>
        <w:tc>
          <w:tcPr>
            <w:tcW w:w="795" w:type="dxa"/>
            <w:noWrap/>
          </w:tcPr>
          <w:p w14:paraId="2843288F" w14:textId="77777777" w:rsidR="00EE5BB8" w:rsidRPr="00C6052E" w:rsidRDefault="00EE5BB8" w:rsidP="00A42238">
            <w:pPr>
              <w:pStyle w:val="TableCopy"/>
              <w:jc w:val="right"/>
              <w:rPr>
                <w:lang w:val="en-AU"/>
              </w:rPr>
            </w:pPr>
          </w:p>
        </w:tc>
      </w:tr>
      <w:tr w:rsidR="00EE5BB8" w:rsidRPr="00B53837" w14:paraId="253130E8" w14:textId="77777777" w:rsidTr="0063097D">
        <w:tc>
          <w:tcPr>
            <w:tcW w:w="4531" w:type="dxa"/>
            <w:hideMark/>
          </w:tcPr>
          <w:p w14:paraId="139F8A43" w14:textId="682853A8" w:rsidR="00EE5BB8" w:rsidRPr="00B53837" w:rsidRDefault="00EE5BB8" w:rsidP="00B53837">
            <w:pPr>
              <w:pStyle w:val="Tabletotal"/>
            </w:pPr>
            <w:r w:rsidRPr="00B53837">
              <w:t>Total</w:t>
            </w:r>
            <w:r w:rsidR="00177848" w:rsidRPr="00B53837">
              <w:t xml:space="preserve"> </w:t>
            </w:r>
            <w:r w:rsidRPr="00B53837">
              <w:t>output</w:t>
            </w:r>
            <w:r w:rsidR="00177848" w:rsidRPr="00B53837">
              <w:t xml:space="preserve"> </w:t>
            </w:r>
            <w:r w:rsidRPr="00B53837">
              <w:t>cost</w:t>
            </w:r>
          </w:p>
        </w:tc>
        <w:tc>
          <w:tcPr>
            <w:tcW w:w="1020" w:type="dxa"/>
            <w:hideMark/>
          </w:tcPr>
          <w:p w14:paraId="6A87D5B3" w14:textId="19A1355B" w:rsidR="00EE5BB8" w:rsidRPr="00B53837" w:rsidRDefault="00EE5BB8" w:rsidP="00B53837">
            <w:pPr>
              <w:pStyle w:val="Tabletotal"/>
              <w:jc w:val="right"/>
            </w:pPr>
            <w:r w:rsidRPr="00B53837">
              <w:t>$</w:t>
            </w:r>
            <w:r w:rsidR="00177848" w:rsidRPr="00B53837">
              <w:t xml:space="preserve"> </w:t>
            </w:r>
            <w:r w:rsidRPr="00B53837">
              <w:t>million</w:t>
            </w:r>
          </w:p>
        </w:tc>
        <w:tc>
          <w:tcPr>
            <w:tcW w:w="1020" w:type="dxa"/>
            <w:noWrap/>
            <w:hideMark/>
          </w:tcPr>
          <w:p w14:paraId="781E180E" w14:textId="77777777" w:rsidR="00EE5BB8" w:rsidRPr="00B53837" w:rsidRDefault="00EE5BB8" w:rsidP="00B53837">
            <w:pPr>
              <w:pStyle w:val="Tabletotal"/>
              <w:jc w:val="right"/>
            </w:pPr>
            <w:r w:rsidRPr="00B53837">
              <w:t>53.3</w:t>
            </w:r>
          </w:p>
        </w:tc>
        <w:tc>
          <w:tcPr>
            <w:tcW w:w="1020" w:type="dxa"/>
            <w:noWrap/>
            <w:hideMark/>
          </w:tcPr>
          <w:p w14:paraId="358DBDBC" w14:textId="77777777" w:rsidR="00EE5BB8" w:rsidRPr="00B53837" w:rsidRDefault="00EE5BB8" w:rsidP="00B53837">
            <w:pPr>
              <w:pStyle w:val="Tabletotal"/>
              <w:jc w:val="right"/>
            </w:pPr>
            <w:r w:rsidRPr="00B53837">
              <w:t>139.9</w:t>
            </w:r>
          </w:p>
        </w:tc>
        <w:tc>
          <w:tcPr>
            <w:tcW w:w="1361" w:type="dxa"/>
            <w:noWrap/>
            <w:hideMark/>
          </w:tcPr>
          <w:p w14:paraId="19B49776" w14:textId="77777777" w:rsidR="00EE5BB8" w:rsidRPr="00B53837" w:rsidRDefault="00EE5BB8" w:rsidP="00B53837">
            <w:pPr>
              <w:pStyle w:val="Tabletotal"/>
              <w:jc w:val="right"/>
            </w:pPr>
            <w:r w:rsidRPr="00B53837">
              <w:t>-61.9%</w:t>
            </w:r>
          </w:p>
        </w:tc>
        <w:tc>
          <w:tcPr>
            <w:tcW w:w="795" w:type="dxa"/>
            <w:noWrap/>
            <w:hideMark/>
          </w:tcPr>
          <w:p w14:paraId="40234C41" w14:textId="77777777" w:rsidR="00EE5BB8" w:rsidRPr="00B53837" w:rsidRDefault="00EE5BB8" w:rsidP="00B53837">
            <w:pPr>
              <w:pStyle w:val="Tabletotal"/>
              <w:jc w:val="right"/>
            </w:pPr>
            <w:r w:rsidRPr="00B53837">
              <w:t>1</w:t>
            </w:r>
          </w:p>
        </w:tc>
      </w:tr>
      <w:tr w:rsidR="00EE5BB8" w:rsidRPr="00C6052E" w14:paraId="7268F1C6" w14:textId="77777777" w:rsidTr="0063097D">
        <w:tc>
          <w:tcPr>
            <w:tcW w:w="4531" w:type="dxa"/>
          </w:tcPr>
          <w:p w14:paraId="6B2DFF35" w14:textId="1EA6BCDA" w:rsidR="00EE5BB8" w:rsidRPr="00C6052E" w:rsidRDefault="00EE5BB8" w:rsidP="0063097D">
            <w:pPr>
              <w:pStyle w:val="Tablenotes-indented"/>
              <w:ind w:left="227" w:firstLine="0"/>
              <w:rPr>
                <w:lang w:val="en-AU"/>
              </w:rPr>
            </w:pPr>
            <w:r w:rsidRPr="00C6052E">
              <w:rPr>
                <w:lang w:val="en-AU"/>
              </w:rPr>
              <w:t>The</w:t>
            </w:r>
            <w:r w:rsidR="00177848" w:rsidRPr="00C6052E">
              <w:rPr>
                <w:lang w:val="en-AU"/>
              </w:rPr>
              <w:t xml:space="preserve"> </w:t>
            </w:r>
            <w:r w:rsidRPr="00C6052E">
              <w:rPr>
                <w:lang w:val="en-AU"/>
              </w:rPr>
              <w:t>2024–25</w:t>
            </w:r>
            <w:r w:rsidR="00177848" w:rsidRPr="00C6052E">
              <w:rPr>
                <w:lang w:val="en-AU"/>
              </w:rPr>
              <w:t xml:space="preserve"> </w:t>
            </w:r>
            <w:r w:rsidRPr="00C6052E">
              <w:rPr>
                <w:lang w:val="en-AU"/>
              </w:rPr>
              <w:t>result</w:t>
            </w:r>
            <w:r w:rsidR="00177848" w:rsidRPr="00C6052E">
              <w:rPr>
                <w:lang w:val="en-AU"/>
              </w:rPr>
              <w:t xml:space="preserve"> </w:t>
            </w:r>
            <w:r w:rsidRPr="00C6052E">
              <w:rPr>
                <w:lang w:val="en-AU"/>
              </w:rPr>
              <w:t>is</w:t>
            </w:r>
            <w:r w:rsidR="00177848" w:rsidRPr="00C6052E">
              <w:rPr>
                <w:lang w:val="en-AU"/>
              </w:rPr>
              <w:t xml:space="preserve"> </w:t>
            </w:r>
            <w:r w:rsidRPr="00C6052E">
              <w:rPr>
                <w:lang w:val="en-AU"/>
              </w:rPr>
              <w:t>lower</w:t>
            </w:r>
            <w:r w:rsidR="00177848" w:rsidRPr="00C6052E">
              <w:rPr>
                <w:lang w:val="en-AU"/>
              </w:rPr>
              <w:t xml:space="preserve"> </w:t>
            </w:r>
            <w:r w:rsidRPr="00C6052E">
              <w:rPr>
                <w:lang w:val="en-AU"/>
              </w:rPr>
              <w:t>than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2024–25</w:t>
            </w:r>
            <w:r w:rsidR="00177848" w:rsidRPr="00C6052E">
              <w:rPr>
                <w:lang w:val="en-AU"/>
              </w:rPr>
              <w:t xml:space="preserve"> </w:t>
            </w:r>
            <w:r w:rsidRPr="00C6052E">
              <w:rPr>
                <w:lang w:val="en-AU"/>
              </w:rPr>
              <w:t>budget</w:t>
            </w:r>
            <w:r w:rsidR="00177848" w:rsidRPr="00C6052E">
              <w:rPr>
                <w:lang w:val="en-AU"/>
              </w:rPr>
              <w:t xml:space="preserve"> </w:t>
            </w:r>
            <w:r w:rsidRPr="00C6052E">
              <w:rPr>
                <w:lang w:val="en-AU"/>
              </w:rPr>
              <w:t>due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timing</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grant</w:t>
            </w:r>
            <w:r w:rsidR="00177848" w:rsidRPr="00C6052E">
              <w:rPr>
                <w:lang w:val="en-AU"/>
              </w:rPr>
              <w:t xml:space="preserve"> </w:t>
            </w:r>
            <w:r w:rsidRPr="00C6052E">
              <w:rPr>
                <w:lang w:val="en-AU"/>
              </w:rPr>
              <w:t>payments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programs,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milestone</w:t>
            </w:r>
            <w:r w:rsidR="00177848" w:rsidRPr="00C6052E">
              <w:rPr>
                <w:lang w:val="en-AU"/>
              </w:rPr>
              <w:t xml:space="preserve"> </w:t>
            </w:r>
            <w:r w:rsidRPr="00C6052E">
              <w:rPr>
                <w:lang w:val="en-AU"/>
              </w:rPr>
              <w:t>payments</w:t>
            </w:r>
            <w:r w:rsidR="00177848" w:rsidRPr="00C6052E">
              <w:rPr>
                <w:lang w:val="en-AU"/>
              </w:rPr>
              <w:t xml:space="preserve"> </w:t>
            </w:r>
            <w:r w:rsidRPr="00C6052E">
              <w:rPr>
                <w:lang w:val="en-AU"/>
              </w:rPr>
              <w:t>now</w:t>
            </w:r>
            <w:r w:rsidR="00177848" w:rsidRPr="00C6052E">
              <w:rPr>
                <w:lang w:val="en-AU"/>
              </w:rPr>
              <w:t xml:space="preserve"> </w:t>
            </w:r>
            <w:r w:rsidRPr="00C6052E">
              <w:rPr>
                <w:lang w:val="en-AU"/>
              </w:rPr>
              <w:t>expected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be</w:t>
            </w:r>
            <w:r w:rsidR="00177848" w:rsidRPr="00C6052E">
              <w:rPr>
                <w:lang w:val="en-AU"/>
              </w:rPr>
              <w:t xml:space="preserve"> </w:t>
            </w:r>
            <w:r w:rsidRPr="00C6052E">
              <w:rPr>
                <w:lang w:val="en-AU"/>
              </w:rPr>
              <w:t>made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future</w:t>
            </w:r>
            <w:r w:rsidR="00177848" w:rsidRPr="00C6052E">
              <w:rPr>
                <w:lang w:val="en-AU"/>
              </w:rPr>
              <w:t xml:space="preserve"> </w:t>
            </w:r>
            <w:r w:rsidRPr="00C6052E">
              <w:rPr>
                <w:lang w:val="en-AU"/>
              </w:rPr>
              <w:t>years.</w:t>
            </w:r>
          </w:p>
        </w:tc>
        <w:tc>
          <w:tcPr>
            <w:tcW w:w="1020" w:type="dxa"/>
          </w:tcPr>
          <w:p w14:paraId="5EA486AB" w14:textId="77777777" w:rsidR="00EE5BB8" w:rsidRPr="00C6052E" w:rsidRDefault="00EE5BB8" w:rsidP="0063097D">
            <w:pPr>
              <w:pStyle w:val="TableCopy"/>
              <w:jc w:val="right"/>
              <w:rPr>
                <w:lang w:val="en-AU"/>
              </w:rPr>
            </w:pPr>
          </w:p>
        </w:tc>
        <w:tc>
          <w:tcPr>
            <w:tcW w:w="1020" w:type="dxa"/>
            <w:noWrap/>
          </w:tcPr>
          <w:p w14:paraId="68CF360B" w14:textId="77777777" w:rsidR="00EE5BB8" w:rsidRPr="00C6052E" w:rsidRDefault="00EE5BB8" w:rsidP="0063097D">
            <w:pPr>
              <w:pStyle w:val="TableCopy"/>
              <w:jc w:val="right"/>
              <w:rPr>
                <w:lang w:val="en-AU"/>
              </w:rPr>
            </w:pPr>
          </w:p>
        </w:tc>
        <w:tc>
          <w:tcPr>
            <w:tcW w:w="1020" w:type="dxa"/>
            <w:noWrap/>
          </w:tcPr>
          <w:p w14:paraId="705941B9" w14:textId="77777777" w:rsidR="00EE5BB8" w:rsidRPr="00C6052E" w:rsidRDefault="00EE5BB8" w:rsidP="0063097D">
            <w:pPr>
              <w:pStyle w:val="TableCopy"/>
              <w:jc w:val="right"/>
              <w:rPr>
                <w:lang w:val="en-AU"/>
              </w:rPr>
            </w:pPr>
          </w:p>
        </w:tc>
        <w:tc>
          <w:tcPr>
            <w:tcW w:w="1361" w:type="dxa"/>
            <w:noWrap/>
          </w:tcPr>
          <w:p w14:paraId="2B3B4E78" w14:textId="77777777" w:rsidR="00EE5BB8" w:rsidRPr="00C6052E" w:rsidRDefault="00EE5BB8" w:rsidP="0063097D">
            <w:pPr>
              <w:pStyle w:val="TableCopy"/>
              <w:jc w:val="right"/>
              <w:rPr>
                <w:lang w:val="en-AU"/>
              </w:rPr>
            </w:pPr>
          </w:p>
        </w:tc>
        <w:tc>
          <w:tcPr>
            <w:tcW w:w="795" w:type="dxa"/>
            <w:noWrap/>
          </w:tcPr>
          <w:p w14:paraId="1D3E199A" w14:textId="77777777" w:rsidR="00EE5BB8" w:rsidRPr="00C6052E" w:rsidRDefault="00EE5BB8" w:rsidP="00A42238">
            <w:pPr>
              <w:pStyle w:val="TableCopy"/>
              <w:jc w:val="right"/>
              <w:rPr>
                <w:lang w:val="en-AU"/>
              </w:rPr>
            </w:pPr>
          </w:p>
        </w:tc>
      </w:tr>
    </w:tbl>
    <w:p w14:paraId="3F10280C" w14:textId="7A3898E5" w:rsidR="00EE5BB8" w:rsidRPr="00C6052E" w:rsidRDefault="00EE5BB8" w:rsidP="00EE5BB8">
      <w:pPr>
        <w:pStyle w:val="Tablenotes"/>
        <w:spacing w:after="240"/>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tbl>
      <w:tblPr>
        <w:tblStyle w:val="TableGrid"/>
        <w:tblW w:w="9747" w:type="dxa"/>
        <w:tblLayout w:type="fixed"/>
        <w:tblLook w:val="04A0" w:firstRow="1" w:lastRow="0" w:firstColumn="1" w:lastColumn="0" w:noHBand="0" w:noVBand="1"/>
      </w:tblPr>
      <w:tblGrid>
        <w:gridCol w:w="4531"/>
        <w:gridCol w:w="1020"/>
        <w:gridCol w:w="1020"/>
        <w:gridCol w:w="1020"/>
        <w:gridCol w:w="1361"/>
        <w:gridCol w:w="795"/>
      </w:tblGrid>
      <w:tr w:rsidR="00EE5BB8" w:rsidRPr="00C6052E" w14:paraId="2C0518E2" w14:textId="77777777" w:rsidTr="0063097D">
        <w:trPr>
          <w:cantSplit/>
          <w:tblHeader/>
        </w:trPr>
        <w:tc>
          <w:tcPr>
            <w:tcW w:w="4531" w:type="dxa"/>
            <w:hideMark/>
          </w:tcPr>
          <w:p w14:paraId="69DD3C95" w14:textId="259854DB" w:rsidR="00EE5BB8" w:rsidRPr="00C6052E" w:rsidRDefault="00EE5BB8" w:rsidP="0063097D">
            <w:pPr>
              <w:pStyle w:val="TableColumnHeading"/>
              <w:rPr>
                <w:lang w:val="en-AU"/>
              </w:rPr>
            </w:pPr>
            <w:bookmarkStart w:id="21" w:name="TableColumnHeadings_17"/>
            <w:bookmarkEnd w:id="21"/>
            <w:r w:rsidRPr="00C6052E">
              <w:rPr>
                <w:lang w:val="en-AU"/>
              </w:rPr>
              <w:t>Performance</w:t>
            </w:r>
            <w:r w:rsidR="00177848" w:rsidRPr="00C6052E">
              <w:rPr>
                <w:lang w:val="en-AU"/>
              </w:rPr>
              <w:t xml:space="preserve"> </w:t>
            </w:r>
            <w:r w:rsidRPr="00C6052E">
              <w:rPr>
                <w:lang w:val="en-AU"/>
              </w:rPr>
              <w:t>measures</w:t>
            </w:r>
          </w:p>
        </w:tc>
        <w:tc>
          <w:tcPr>
            <w:tcW w:w="1020" w:type="dxa"/>
            <w:hideMark/>
          </w:tcPr>
          <w:p w14:paraId="676A135E" w14:textId="348EC2B7" w:rsidR="00EE5BB8" w:rsidRPr="00C6052E" w:rsidRDefault="00EE5BB8" w:rsidP="0063097D">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6B75E4EC" w14:textId="77777777" w:rsidR="00EE5BB8" w:rsidRPr="00C6052E" w:rsidRDefault="00EE5BB8" w:rsidP="0063097D">
            <w:pPr>
              <w:pStyle w:val="TableColumnHeading"/>
              <w:jc w:val="right"/>
              <w:rPr>
                <w:lang w:val="en-AU"/>
              </w:rPr>
            </w:pPr>
            <w:r w:rsidRPr="00C6052E">
              <w:rPr>
                <w:lang w:val="en-AU"/>
              </w:rPr>
              <w:t>2024–25</w:t>
            </w:r>
            <w:r w:rsidRPr="00C6052E">
              <w:rPr>
                <w:lang w:val="en-AU"/>
              </w:rPr>
              <w:br/>
              <w:t>Actual</w:t>
            </w:r>
          </w:p>
        </w:tc>
        <w:tc>
          <w:tcPr>
            <w:tcW w:w="1020" w:type="dxa"/>
            <w:hideMark/>
          </w:tcPr>
          <w:p w14:paraId="24DC2188" w14:textId="56612A26" w:rsidR="00EE5BB8" w:rsidRPr="00C6052E" w:rsidRDefault="00EE5BB8" w:rsidP="0063097D">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2BFF122F" w14:textId="0461DFB3" w:rsidR="00EE5BB8" w:rsidRPr="00C6052E" w:rsidRDefault="00EE5BB8" w:rsidP="0063097D">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95" w:type="dxa"/>
            <w:hideMark/>
          </w:tcPr>
          <w:p w14:paraId="73695C41" w14:textId="77777777" w:rsidR="00EE5BB8" w:rsidRPr="00C6052E" w:rsidRDefault="00EE5BB8" w:rsidP="0063097D">
            <w:pPr>
              <w:pStyle w:val="TableColumnHeading"/>
              <w:jc w:val="right"/>
              <w:rPr>
                <w:lang w:val="en-AU"/>
              </w:rPr>
            </w:pPr>
            <w:r w:rsidRPr="00C6052E">
              <w:rPr>
                <w:lang w:val="en-AU"/>
              </w:rPr>
              <w:t>Result</w:t>
            </w:r>
          </w:p>
        </w:tc>
      </w:tr>
      <w:tr w:rsidR="00EE5BB8" w:rsidRPr="00C6052E" w14:paraId="2A744E67" w14:textId="77777777" w:rsidTr="0063097D">
        <w:trPr>
          <w:cantSplit/>
        </w:trPr>
        <w:tc>
          <w:tcPr>
            <w:tcW w:w="4531" w:type="dxa"/>
          </w:tcPr>
          <w:p w14:paraId="5A9865E6" w14:textId="4F79A9AB" w:rsidR="00EE5BB8" w:rsidRPr="00C6052E" w:rsidRDefault="00EE5BB8" w:rsidP="0063097D">
            <w:pPr>
              <w:pStyle w:val="TableHeading"/>
              <w:rPr>
                <w:lang w:val="en-AU"/>
              </w:rPr>
            </w:pPr>
            <w:r w:rsidRPr="00C6052E">
              <w:rPr>
                <w:lang w:val="en-AU"/>
              </w:rPr>
              <w:t>Trade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Global</w:t>
            </w:r>
            <w:r w:rsidR="00177848" w:rsidRPr="00C6052E">
              <w:rPr>
                <w:lang w:val="en-AU"/>
              </w:rPr>
              <w:t xml:space="preserve"> </w:t>
            </w:r>
            <w:r w:rsidRPr="00C6052E">
              <w:rPr>
                <w:lang w:val="en-AU"/>
              </w:rPr>
              <w:t>Engagement</w:t>
            </w:r>
          </w:p>
        </w:tc>
        <w:tc>
          <w:tcPr>
            <w:tcW w:w="1020" w:type="dxa"/>
          </w:tcPr>
          <w:p w14:paraId="238A138E" w14:textId="77777777" w:rsidR="00EE5BB8" w:rsidRPr="00C6052E" w:rsidRDefault="00EE5BB8" w:rsidP="0063097D">
            <w:pPr>
              <w:pStyle w:val="TableHeading"/>
              <w:jc w:val="right"/>
              <w:rPr>
                <w:lang w:val="en-AU"/>
              </w:rPr>
            </w:pPr>
          </w:p>
        </w:tc>
        <w:tc>
          <w:tcPr>
            <w:tcW w:w="1020" w:type="dxa"/>
            <w:noWrap/>
          </w:tcPr>
          <w:p w14:paraId="031CF0C0" w14:textId="77777777" w:rsidR="00EE5BB8" w:rsidRPr="00C6052E" w:rsidRDefault="00EE5BB8" w:rsidP="0063097D">
            <w:pPr>
              <w:pStyle w:val="TableHeading"/>
              <w:jc w:val="right"/>
              <w:rPr>
                <w:lang w:val="en-AU"/>
              </w:rPr>
            </w:pPr>
          </w:p>
        </w:tc>
        <w:tc>
          <w:tcPr>
            <w:tcW w:w="1020" w:type="dxa"/>
            <w:noWrap/>
          </w:tcPr>
          <w:p w14:paraId="084CB824" w14:textId="77777777" w:rsidR="00EE5BB8" w:rsidRPr="00C6052E" w:rsidRDefault="00EE5BB8" w:rsidP="0063097D">
            <w:pPr>
              <w:pStyle w:val="TableHeading"/>
              <w:jc w:val="right"/>
              <w:rPr>
                <w:lang w:val="en-AU"/>
              </w:rPr>
            </w:pPr>
          </w:p>
        </w:tc>
        <w:tc>
          <w:tcPr>
            <w:tcW w:w="1361" w:type="dxa"/>
            <w:noWrap/>
          </w:tcPr>
          <w:p w14:paraId="0240EE03" w14:textId="77777777" w:rsidR="00EE5BB8" w:rsidRPr="00C6052E" w:rsidRDefault="00EE5BB8" w:rsidP="0063097D">
            <w:pPr>
              <w:pStyle w:val="TableHeading"/>
              <w:jc w:val="right"/>
              <w:rPr>
                <w:lang w:val="en-AU"/>
              </w:rPr>
            </w:pPr>
          </w:p>
        </w:tc>
        <w:tc>
          <w:tcPr>
            <w:tcW w:w="795" w:type="dxa"/>
            <w:noWrap/>
          </w:tcPr>
          <w:p w14:paraId="0FF7A4A7" w14:textId="77777777" w:rsidR="00EE5BB8" w:rsidRPr="00C6052E" w:rsidRDefault="00EE5BB8" w:rsidP="00A42238">
            <w:pPr>
              <w:pStyle w:val="TableCopy"/>
              <w:jc w:val="right"/>
              <w:rPr>
                <w:lang w:val="en-AU"/>
              </w:rPr>
            </w:pPr>
          </w:p>
        </w:tc>
      </w:tr>
      <w:tr w:rsidR="00EE5BB8" w:rsidRPr="00C6052E" w14:paraId="2306512F" w14:textId="77777777" w:rsidTr="0063097D">
        <w:trPr>
          <w:cantSplit/>
        </w:trPr>
        <w:tc>
          <w:tcPr>
            <w:tcW w:w="4531" w:type="dxa"/>
          </w:tcPr>
          <w:p w14:paraId="4AF07DAC" w14:textId="4C14C5A3" w:rsidR="00EE5BB8" w:rsidRPr="00C6052E" w:rsidRDefault="00EE5BB8" w:rsidP="0063097D">
            <w:pPr>
              <w:pStyle w:val="TableCopy"/>
              <w:rPr>
                <w:lang w:val="en-AU"/>
              </w:rPr>
            </w:pPr>
            <w:r w:rsidRPr="00C6052E">
              <w:rPr>
                <w:lang w:val="en-AU"/>
              </w:rPr>
              <w:t>This</w:t>
            </w:r>
            <w:r w:rsidR="00177848" w:rsidRPr="00C6052E">
              <w:rPr>
                <w:lang w:val="en-AU"/>
              </w:rPr>
              <w:t xml:space="preserve"> </w:t>
            </w:r>
            <w:r w:rsidRPr="00C6052E">
              <w:rPr>
                <w:lang w:val="en-AU"/>
              </w:rPr>
              <w:t>sub-output</w:t>
            </w:r>
            <w:r w:rsidR="00177848" w:rsidRPr="00C6052E">
              <w:rPr>
                <w:lang w:val="en-AU"/>
              </w:rPr>
              <w:t xml:space="preserve"> </w:t>
            </w:r>
            <w:r w:rsidRPr="00C6052E">
              <w:rPr>
                <w:lang w:val="en-AU"/>
              </w:rPr>
              <w:t>promotes</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growth</w:t>
            </w:r>
            <w:r w:rsidR="00177848" w:rsidRPr="00C6052E">
              <w:rPr>
                <w:lang w:val="en-AU"/>
              </w:rPr>
              <w:t xml:space="preserve"> </w:t>
            </w:r>
            <w:r w:rsidRPr="00C6052E">
              <w:rPr>
                <w:lang w:val="en-AU"/>
              </w:rPr>
              <w:t>opportunities</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connecting</w:t>
            </w:r>
            <w:r w:rsidR="00177848" w:rsidRPr="00C6052E">
              <w:rPr>
                <w:lang w:val="en-AU"/>
              </w:rPr>
              <w:t xml:space="preserve"> </w:t>
            </w:r>
            <w:r w:rsidRPr="00C6052E">
              <w:rPr>
                <w:lang w:val="en-AU"/>
              </w:rPr>
              <w:t>organisations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global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opportunities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priority</w:t>
            </w:r>
            <w:r w:rsidR="00177848" w:rsidRPr="00C6052E">
              <w:rPr>
                <w:lang w:val="en-AU"/>
              </w:rPr>
              <w:t xml:space="preserve"> </w:t>
            </w:r>
            <w:r w:rsidRPr="00C6052E">
              <w:rPr>
                <w:lang w:val="en-AU"/>
              </w:rPr>
              <w:t>markets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supporting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establishment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deepening</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strategic</w:t>
            </w:r>
            <w:r w:rsidR="00177848" w:rsidRPr="00C6052E">
              <w:rPr>
                <w:lang w:val="en-AU"/>
              </w:rPr>
              <w:t xml:space="preserve"> </w:t>
            </w:r>
            <w:r w:rsidRPr="00C6052E">
              <w:rPr>
                <w:lang w:val="en-AU"/>
              </w:rPr>
              <w:t>commercial</w:t>
            </w:r>
            <w:r w:rsidR="00177848" w:rsidRPr="00C6052E">
              <w:rPr>
                <w:lang w:val="en-AU"/>
              </w:rPr>
              <w:t xml:space="preserve"> </w:t>
            </w:r>
            <w:r w:rsidRPr="00C6052E">
              <w:rPr>
                <w:lang w:val="en-AU"/>
              </w:rPr>
              <w:t>partnerships.</w:t>
            </w:r>
            <w:r w:rsidR="00177848" w:rsidRPr="00C6052E">
              <w:rPr>
                <w:lang w:val="en-AU"/>
              </w:rPr>
              <w:t xml:space="preserve"> </w:t>
            </w:r>
            <w:r w:rsidRPr="00C6052E">
              <w:rPr>
                <w:lang w:val="en-AU"/>
              </w:rPr>
              <w:t>It</w:t>
            </w:r>
            <w:r w:rsidR="00177848" w:rsidRPr="00C6052E">
              <w:rPr>
                <w:lang w:val="en-AU"/>
              </w:rPr>
              <w:t xml:space="preserve"> </w:t>
            </w:r>
            <w:r w:rsidRPr="00C6052E">
              <w:rPr>
                <w:lang w:val="en-AU"/>
              </w:rPr>
              <w:t>also</w:t>
            </w:r>
            <w:r w:rsidR="00177848" w:rsidRPr="00C6052E">
              <w:rPr>
                <w:lang w:val="en-AU"/>
              </w:rPr>
              <w:t xml:space="preserve"> </w:t>
            </w:r>
            <w:r w:rsidRPr="00C6052E">
              <w:rPr>
                <w:lang w:val="en-AU"/>
              </w:rPr>
              <w:t>positions</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destination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choice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students.</w:t>
            </w:r>
          </w:p>
        </w:tc>
        <w:tc>
          <w:tcPr>
            <w:tcW w:w="1020" w:type="dxa"/>
          </w:tcPr>
          <w:p w14:paraId="0711FAA4" w14:textId="77777777" w:rsidR="00EE5BB8" w:rsidRPr="00C6052E" w:rsidRDefault="00EE5BB8" w:rsidP="0063097D">
            <w:pPr>
              <w:pStyle w:val="TableCopy"/>
              <w:jc w:val="right"/>
              <w:rPr>
                <w:lang w:val="en-AU"/>
              </w:rPr>
            </w:pPr>
          </w:p>
        </w:tc>
        <w:tc>
          <w:tcPr>
            <w:tcW w:w="1020" w:type="dxa"/>
            <w:noWrap/>
          </w:tcPr>
          <w:p w14:paraId="57C9202C" w14:textId="77777777" w:rsidR="00EE5BB8" w:rsidRPr="00C6052E" w:rsidRDefault="00EE5BB8" w:rsidP="0063097D">
            <w:pPr>
              <w:pStyle w:val="TableCopy"/>
              <w:jc w:val="right"/>
              <w:rPr>
                <w:lang w:val="en-AU"/>
              </w:rPr>
            </w:pPr>
          </w:p>
        </w:tc>
        <w:tc>
          <w:tcPr>
            <w:tcW w:w="1020" w:type="dxa"/>
            <w:noWrap/>
          </w:tcPr>
          <w:p w14:paraId="59E41378" w14:textId="77777777" w:rsidR="00EE5BB8" w:rsidRPr="00C6052E" w:rsidRDefault="00EE5BB8" w:rsidP="0063097D">
            <w:pPr>
              <w:pStyle w:val="TableCopy"/>
              <w:jc w:val="right"/>
              <w:rPr>
                <w:lang w:val="en-AU"/>
              </w:rPr>
            </w:pPr>
          </w:p>
        </w:tc>
        <w:tc>
          <w:tcPr>
            <w:tcW w:w="1361" w:type="dxa"/>
            <w:noWrap/>
          </w:tcPr>
          <w:p w14:paraId="1DCBDA7B" w14:textId="77777777" w:rsidR="00EE5BB8" w:rsidRPr="00C6052E" w:rsidRDefault="00EE5BB8" w:rsidP="0063097D">
            <w:pPr>
              <w:pStyle w:val="TableCopy"/>
              <w:jc w:val="right"/>
              <w:rPr>
                <w:lang w:val="en-AU"/>
              </w:rPr>
            </w:pPr>
          </w:p>
        </w:tc>
        <w:tc>
          <w:tcPr>
            <w:tcW w:w="795" w:type="dxa"/>
            <w:noWrap/>
          </w:tcPr>
          <w:p w14:paraId="30896C23" w14:textId="77777777" w:rsidR="00EE5BB8" w:rsidRPr="00C6052E" w:rsidRDefault="00EE5BB8" w:rsidP="00A42238">
            <w:pPr>
              <w:pStyle w:val="TableCopy"/>
              <w:jc w:val="right"/>
              <w:rPr>
                <w:lang w:val="en-AU"/>
              </w:rPr>
            </w:pPr>
          </w:p>
        </w:tc>
      </w:tr>
      <w:tr w:rsidR="00EE5BB8" w:rsidRPr="00C6052E" w14:paraId="0417D9B9" w14:textId="77777777" w:rsidTr="0063097D">
        <w:trPr>
          <w:cantSplit/>
        </w:trPr>
        <w:tc>
          <w:tcPr>
            <w:tcW w:w="4531" w:type="dxa"/>
          </w:tcPr>
          <w:p w14:paraId="44654314" w14:textId="77777777" w:rsidR="00EE5BB8" w:rsidRPr="00C6052E" w:rsidRDefault="00EE5BB8" w:rsidP="0063097D">
            <w:pPr>
              <w:pStyle w:val="TableHeading"/>
              <w:rPr>
                <w:lang w:val="en-AU"/>
              </w:rPr>
            </w:pPr>
            <w:r w:rsidRPr="00C6052E">
              <w:rPr>
                <w:lang w:val="en-AU"/>
              </w:rPr>
              <w:t>Quantity</w:t>
            </w:r>
          </w:p>
        </w:tc>
        <w:tc>
          <w:tcPr>
            <w:tcW w:w="1020" w:type="dxa"/>
          </w:tcPr>
          <w:p w14:paraId="7BCB2948" w14:textId="77777777" w:rsidR="00EE5BB8" w:rsidRPr="00C6052E" w:rsidRDefault="00EE5BB8" w:rsidP="0063097D">
            <w:pPr>
              <w:pStyle w:val="TableHeading"/>
              <w:jc w:val="right"/>
              <w:rPr>
                <w:lang w:val="en-AU"/>
              </w:rPr>
            </w:pPr>
          </w:p>
        </w:tc>
        <w:tc>
          <w:tcPr>
            <w:tcW w:w="1020" w:type="dxa"/>
            <w:noWrap/>
          </w:tcPr>
          <w:p w14:paraId="3BFBB940" w14:textId="77777777" w:rsidR="00EE5BB8" w:rsidRPr="00C6052E" w:rsidRDefault="00EE5BB8" w:rsidP="0063097D">
            <w:pPr>
              <w:pStyle w:val="TableHeading"/>
              <w:jc w:val="right"/>
              <w:rPr>
                <w:lang w:val="en-AU"/>
              </w:rPr>
            </w:pPr>
          </w:p>
        </w:tc>
        <w:tc>
          <w:tcPr>
            <w:tcW w:w="1020" w:type="dxa"/>
            <w:noWrap/>
          </w:tcPr>
          <w:p w14:paraId="42FE9D19" w14:textId="77777777" w:rsidR="00EE5BB8" w:rsidRPr="00C6052E" w:rsidRDefault="00EE5BB8" w:rsidP="0063097D">
            <w:pPr>
              <w:pStyle w:val="TableHeading"/>
              <w:jc w:val="right"/>
              <w:rPr>
                <w:lang w:val="en-AU"/>
              </w:rPr>
            </w:pPr>
          </w:p>
        </w:tc>
        <w:tc>
          <w:tcPr>
            <w:tcW w:w="1361" w:type="dxa"/>
            <w:noWrap/>
          </w:tcPr>
          <w:p w14:paraId="3CDDA18C" w14:textId="77777777" w:rsidR="00EE5BB8" w:rsidRPr="00C6052E" w:rsidRDefault="00EE5BB8" w:rsidP="0063097D">
            <w:pPr>
              <w:pStyle w:val="TableHeading"/>
              <w:jc w:val="right"/>
              <w:rPr>
                <w:lang w:val="en-AU"/>
              </w:rPr>
            </w:pPr>
          </w:p>
        </w:tc>
        <w:tc>
          <w:tcPr>
            <w:tcW w:w="795" w:type="dxa"/>
            <w:noWrap/>
          </w:tcPr>
          <w:p w14:paraId="1D8B4D0E" w14:textId="77777777" w:rsidR="00EE5BB8" w:rsidRPr="00C6052E" w:rsidRDefault="00EE5BB8" w:rsidP="00A42238">
            <w:pPr>
              <w:pStyle w:val="TableCopy"/>
              <w:jc w:val="right"/>
              <w:rPr>
                <w:lang w:val="en-AU"/>
              </w:rPr>
            </w:pPr>
          </w:p>
        </w:tc>
      </w:tr>
      <w:tr w:rsidR="00EE5BB8" w:rsidRPr="00C6052E" w14:paraId="3D566667" w14:textId="77777777" w:rsidTr="0063097D">
        <w:trPr>
          <w:cantSplit/>
        </w:trPr>
        <w:tc>
          <w:tcPr>
            <w:tcW w:w="4531" w:type="dxa"/>
            <w:hideMark/>
          </w:tcPr>
          <w:p w14:paraId="65765886" w14:textId="77777777" w:rsidR="00EE5BB8" w:rsidRDefault="00EE5BB8" w:rsidP="0063097D">
            <w:pPr>
              <w:pStyle w:val="TableCopy"/>
              <w:rPr>
                <w:lang w:val="en-AU"/>
              </w:rPr>
            </w:pPr>
            <w:r w:rsidRPr="00C6052E">
              <w:rPr>
                <w:lang w:val="en-AU"/>
              </w:rPr>
              <w:t>Actual</w:t>
            </w:r>
            <w:r w:rsidR="00177848" w:rsidRPr="00C6052E">
              <w:rPr>
                <w:lang w:val="en-AU"/>
              </w:rPr>
              <w:t xml:space="preserve"> </w:t>
            </w:r>
            <w:r w:rsidRPr="00C6052E">
              <w:rPr>
                <w:lang w:val="en-AU"/>
              </w:rPr>
              <w:t>export</w:t>
            </w:r>
            <w:r w:rsidR="00177848" w:rsidRPr="00C6052E">
              <w:rPr>
                <w:lang w:val="en-AU"/>
              </w:rPr>
              <w:t xml:space="preserve"> </w:t>
            </w:r>
            <w:r w:rsidRPr="00C6052E">
              <w:rPr>
                <w:lang w:val="en-AU"/>
              </w:rPr>
              <w:t>sales</w:t>
            </w:r>
            <w:r w:rsidR="00177848" w:rsidRPr="00C6052E">
              <w:rPr>
                <w:lang w:val="en-AU"/>
              </w:rPr>
              <w:t xml:space="preserve"> </w:t>
            </w:r>
            <w:r w:rsidRPr="00C6052E">
              <w:rPr>
                <w:lang w:val="en-AU"/>
              </w:rPr>
              <w:t>generated</w:t>
            </w:r>
            <w:r w:rsidR="00177848" w:rsidRPr="00C6052E">
              <w:rPr>
                <w:lang w:val="en-AU"/>
              </w:rPr>
              <w:t xml:space="preserve"> </w:t>
            </w:r>
            <w:proofErr w:type="gramStart"/>
            <w:r w:rsidRPr="00C6052E">
              <w:rPr>
                <w:lang w:val="en-AU"/>
              </w:rPr>
              <w:t>as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result</w:t>
            </w:r>
            <w:r w:rsidR="00177848" w:rsidRPr="00C6052E">
              <w:rPr>
                <w:lang w:val="en-AU"/>
              </w:rPr>
              <w:t xml:space="preserve"> </w:t>
            </w:r>
            <w:r w:rsidRPr="00C6052E">
              <w:rPr>
                <w:lang w:val="en-AU"/>
              </w:rPr>
              <w:t>of</w:t>
            </w:r>
            <w:proofErr w:type="gramEnd"/>
            <w:r w:rsidR="00177848" w:rsidRPr="00C6052E">
              <w:rPr>
                <w:lang w:val="en-AU"/>
              </w:rPr>
              <w:t xml:space="preserve"> </w:t>
            </w:r>
            <w:r w:rsidRPr="00C6052E">
              <w:rPr>
                <w:lang w:val="en-AU"/>
              </w:rPr>
              <w:t>participation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programs</w:t>
            </w:r>
          </w:p>
          <w:p w14:paraId="22083433" w14:textId="5E8F517B" w:rsidR="00C17A57" w:rsidRPr="00C6052E" w:rsidRDefault="00C17A57" w:rsidP="00C17A57">
            <w:pPr>
              <w:pStyle w:val="Tablenotes-indented"/>
              <w:ind w:left="227" w:firstLine="0"/>
              <w:rPr>
                <w:lang w:val="en-AU"/>
              </w:rPr>
            </w:pPr>
            <w:r w:rsidRPr="00C6052E">
              <w:rPr>
                <w:lang w:val="en-AU"/>
              </w:rPr>
              <w:t xml:space="preserve">Higher result due to the culmination of </w:t>
            </w:r>
            <w:proofErr w:type="gramStart"/>
            <w:r w:rsidRPr="00C6052E">
              <w:rPr>
                <w:lang w:val="en-AU"/>
              </w:rPr>
              <w:t>a number of</w:t>
            </w:r>
            <w:proofErr w:type="gramEnd"/>
            <w:r w:rsidRPr="00C6052E">
              <w:rPr>
                <w:lang w:val="en-AU"/>
              </w:rPr>
              <w:t xml:space="preserve"> trade facilitation activities being realised in the financial year.</w:t>
            </w:r>
          </w:p>
        </w:tc>
        <w:tc>
          <w:tcPr>
            <w:tcW w:w="1020" w:type="dxa"/>
            <w:hideMark/>
          </w:tcPr>
          <w:p w14:paraId="2FC73F87" w14:textId="3BAE99D0" w:rsidR="00EE5BB8" w:rsidRPr="00C6052E" w:rsidRDefault="00EE5BB8" w:rsidP="0063097D">
            <w:pPr>
              <w:pStyle w:val="TableCopy"/>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09DCDDF6" w14:textId="77777777" w:rsidR="00EE5BB8" w:rsidRPr="00C6052E" w:rsidRDefault="00EE5BB8" w:rsidP="0063097D">
            <w:pPr>
              <w:pStyle w:val="TableCopy"/>
              <w:jc w:val="right"/>
              <w:rPr>
                <w:lang w:val="en-AU"/>
              </w:rPr>
            </w:pPr>
            <w:r w:rsidRPr="00C6052E">
              <w:rPr>
                <w:lang w:val="en-AU"/>
              </w:rPr>
              <w:t>834</w:t>
            </w:r>
          </w:p>
        </w:tc>
        <w:tc>
          <w:tcPr>
            <w:tcW w:w="1020" w:type="dxa"/>
            <w:noWrap/>
            <w:hideMark/>
          </w:tcPr>
          <w:p w14:paraId="793BD784" w14:textId="77777777" w:rsidR="00EE5BB8" w:rsidRPr="00C6052E" w:rsidRDefault="00EE5BB8" w:rsidP="0063097D">
            <w:pPr>
              <w:pStyle w:val="TableCopy"/>
              <w:jc w:val="right"/>
              <w:rPr>
                <w:lang w:val="en-AU"/>
              </w:rPr>
            </w:pPr>
            <w:r w:rsidRPr="00C6052E">
              <w:rPr>
                <w:lang w:val="en-AU"/>
              </w:rPr>
              <w:t>550</w:t>
            </w:r>
          </w:p>
        </w:tc>
        <w:tc>
          <w:tcPr>
            <w:tcW w:w="1361" w:type="dxa"/>
            <w:noWrap/>
            <w:hideMark/>
          </w:tcPr>
          <w:p w14:paraId="07C7E927" w14:textId="77777777" w:rsidR="00EE5BB8" w:rsidRPr="00C6052E" w:rsidRDefault="00EE5BB8" w:rsidP="0063097D">
            <w:pPr>
              <w:pStyle w:val="TableCopy"/>
              <w:jc w:val="right"/>
              <w:rPr>
                <w:lang w:val="en-AU"/>
              </w:rPr>
            </w:pPr>
            <w:r w:rsidRPr="00C6052E">
              <w:rPr>
                <w:lang w:val="en-AU"/>
              </w:rPr>
              <w:t>51.6%</w:t>
            </w:r>
          </w:p>
        </w:tc>
        <w:tc>
          <w:tcPr>
            <w:tcW w:w="795" w:type="dxa"/>
            <w:noWrap/>
            <w:hideMark/>
          </w:tcPr>
          <w:p w14:paraId="1B483CEF" w14:textId="77777777" w:rsidR="00EE5BB8" w:rsidRPr="00C6052E" w:rsidRDefault="00EE5BB8" w:rsidP="00A42238">
            <w:pPr>
              <w:pStyle w:val="TableCopy"/>
              <w:jc w:val="right"/>
              <w:rPr>
                <w:lang w:val="en-AU"/>
              </w:rPr>
            </w:pPr>
            <w:r w:rsidRPr="00C6052E">
              <w:rPr>
                <w:lang w:val="en-AU"/>
              </w:rPr>
              <w:t>1</w:t>
            </w:r>
          </w:p>
        </w:tc>
      </w:tr>
      <w:tr w:rsidR="00EE5BB8" w:rsidRPr="00C6052E" w14:paraId="3D75096E" w14:textId="77777777" w:rsidTr="0063097D">
        <w:trPr>
          <w:cantSplit/>
        </w:trPr>
        <w:tc>
          <w:tcPr>
            <w:tcW w:w="4531" w:type="dxa"/>
            <w:hideMark/>
          </w:tcPr>
          <w:p w14:paraId="170E8104" w14:textId="77777777" w:rsidR="00EE5BB8" w:rsidRDefault="00EE5BB8" w:rsidP="0063097D">
            <w:pPr>
              <w:pStyle w:val="TableCopy"/>
              <w:rPr>
                <w:lang w:val="en-AU"/>
              </w:rPr>
            </w:pPr>
            <w:r w:rsidRPr="00C6052E">
              <w:rPr>
                <w:lang w:val="en-AU"/>
              </w:rPr>
              <w:t>Clients</w:t>
            </w:r>
            <w:r w:rsidR="00177848" w:rsidRPr="00C6052E">
              <w:rPr>
                <w:lang w:val="en-AU"/>
              </w:rPr>
              <w:t xml:space="preserve"> </w:t>
            </w:r>
            <w:r w:rsidRPr="00C6052E">
              <w:rPr>
                <w:lang w:val="en-AU"/>
              </w:rPr>
              <w:t>engaged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export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trade</w:t>
            </w:r>
            <w:r w:rsidR="00177848" w:rsidRPr="00C6052E">
              <w:rPr>
                <w:lang w:val="en-AU"/>
              </w:rPr>
              <w:t xml:space="preserve"> </w:t>
            </w:r>
            <w:r w:rsidRPr="00C6052E">
              <w:rPr>
                <w:lang w:val="en-AU"/>
              </w:rPr>
              <w:t>programs</w:t>
            </w:r>
          </w:p>
          <w:p w14:paraId="142C751A" w14:textId="2432333A" w:rsidR="00C17A57" w:rsidRPr="00C6052E" w:rsidRDefault="00C17A57" w:rsidP="00C17A57">
            <w:pPr>
              <w:pStyle w:val="Tablenotes-indented"/>
              <w:ind w:left="227" w:firstLine="0"/>
              <w:rPr>
                <w:lang w:val="en-AU"/>
              </w:rPr>
            </w:pPr>
            <w:r w:rsidRPr="00C6052E">
              <w:rPr>
                <w:lang w:val="en-AU"/>
              </w:rPr>
              <w:t>Higher result due to strong interest in government support initiatives for exporters, particularly market engagement activities.</w:t>
            </w:r>
          </w:p>
        </w:tc>
        <w:tc>
          <w:tcPr>
            <w:tcW w:w="1020" w:type="dxa"/>
            <w:hideMark/>
          </w:tcPr>
          <w:p w14:paraId="089532CD"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5ECA9978" w14:textId="77777777" w:rsidR="00EE5BB8" w:rsidRPr="00C6052E" w:rsidRDefault="00EE5BB8" w:rsidP="0063097D">
            <w:pPr>
              <w:pStyle w:val="TableCopy"/>
              <w:jc w:val="right"/>
              <w:rPr>
                <w:lang w:val="en-AU"/>
              </w:rPr>
            </w:pPr>
            <w:r w:rsidRPr="00C6052E">
              <w:rPr>
                <w:lang w:val="en-AU"/>
              </w:rPr>
              <w:t>2,725</w:t>
            </w:r>
          </w:p>
        </w:tc>
        <w:tc>
          <w:tcPr>
            <w:tcW w:w="1020" w:type="dxa"/>
            <w:noWrap/>
            <w:hideMark/>
          </w:tcPr>
          <w:p w14:paraId="1D6E76E0" w14:textId="77777777" w:rsidR="00EE5BB8" w:rsidRPr="00C6052E" w:rsidRDefault="00EE5BB8" w:rsidP="0063097D">
            <w:pPr>
              <w:pStyle w:val="TableCopy"/>
              <w:jc w:val="right"/>
              <w:rPr>
                <w:lang w:val="en-AU"/>
              </w:rPr>
            </w:pPr>
            <w:r w:rsidRPr="00C6052E">
              <w:rPr>
                <w:lang w:val="en-AU"/>
              </w:rPr>
              <w:t>2,000</w:t>
            </w:r>
          </w:p>
        </w:tc>
        <w:tc>
          <w:tcPr>
            <w:tcW w:w="1361" w:type="dxa"/>
            <w:noWrap/>
            <w:hideMark/>
          </w:tcPr>
          <w:p w14:paraId="31D32087" w14:textId="77777777" w:rsidR="00EE5BB8" w:rsidRPr="00C6052E" w:rsidRDefault="00EE5BB8" w:rsidP="0063097D">
            <w:pPr>
              <w:pStyle w:val="TableCopy"/>
              <w:jc w:val="right"/>
              <w:rPr>
                <w:lang w:val="en-AU"/>
              </w:rPr>
            </w:pPr>
            <w:r w:rsidRPr="00C6052E">
              <w:rPr>
                <w:lang w:val="en-AU"/>
              </w:rPr>
              <w:t>36.3%</w:t>
            </w:r>
          </w:p>
        </w:tc>
        <w:tc>
          <w:tcPr>
            <w:tcW w:w="795" w:type="dxa"/>
            <w:noWrap/>
            <w:hideMark/>
          </w:tcPr>
          <w:p w14:paraId="0B93BAE1" w14:textId="77777777" w:rsidR="00EE5BB8" w:rsidRPr="00C6052E" w:rsidRDefault="00EE5BB8" w:rsidP="00A42238">
            <w:pPr>
              <w:pStyle w:val="TableCopy"/>
              <w:jc w:val="right"/>
              <w:rPr>
                <w:lang w:val="en-AU"/>
              </w:rPr>
            </w:pPr>
            <w:r w:rsidRPr="00C6052E">
              <w:rPr>
                <w:lang w:val="en-AU"/>
              </w:rPr>
              <w:t>1</w:t>
            </w:r>
          </w:p>
        </w:tc>
      </w:tr>
      <w:tr w:rsidR="00EE5BB8" w:rsidRPr="00C6052E" w14:paraId="2E01DE3C" w14:textId="77777777" w:rsidTr="0063097D">
        <w:trPr>
          <w:cantSplit/>
        </w:trPr>
        <w:tc>
          <w:tcPr>
            <w:tcW w:w="4531" w:type="dxa"/>
            <w:hideMark/>
          </w:tcPr>
          <w:p w14:paraId="26D5EB46" w14:textId="77777777" w:rsidR="00EE5BB8" w:rsidRDefault="00EE5BB8" w:rsidP="0063097D">
            <w:pPr>
              <w:pStyle w:val="TableCopy"/>
              <w:rPr>
                <w:lang w:val="en-AU"/>
              </w:rPr>
            </w:pPr>
            <w:r w:rsidRPr="00C6052E">
              <w:rPr>
                <w:lang w:val="en-AU"/>
              </w:rPr>
              <w:lastRenderedPageBreak/>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companies</w:t>
            </w:r>
            <w:r w:rsidR="00177848" w:rsidRPr="00C6052E">
              <w:rPr>
                <w:lang w:val="en-AU"/>
              </w:rPr>
              <w:t xml:space="preserve"> </w:t>
            </w:r>
            <w:r w:rsidRPr="00C6052E">
              <w:rPr>
                <w:lang w:val="en-AU"/>
              </w:rPr>
              <w:t>assisted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Wine</w:t>
            </w:r>
            <w:r w:rsidR="00177848" w:rsidRPr="00C6052E">
              <w:rPr>
                <w:lang w:val="en-AU"/>
              </w:rPr>
              <w:t xml:space="preserve"> </w:t>
            </w:r>
            <w:r w:rsidRPr="00C6052E">
              <w:rPr>
                <w:lang w:val="en-AU"/>
              </w:rPr>
              <w:t>Industry</w:t>
            </w:r>
            <w:r w:rsidR="00177848" w:rsidRPr="00C6052E">
              <w:rPr>
                <w:lang w:val="en-AU"/>
              </w:rPr>
              <w:t xml:space="preserve"> </w:t>
            </w:r>
            <w:r w:rsidRPr="00C6052E">
              <w:rPr>
                <w:lang w:val="en-AU"/>
              </w:rPr>
              <w:t>initiatives</w:t>
            </w:r>
          </w:p>
          <w:p w14:paraId="00418947" w14:textId="585FA4C8" w:rsidR="00C17A57" w:rsidRPr="00C6052E" w:rsidRDefault="00C17A57" w:rsidP="00C17A57">
            <w:pPr>
              <w:pStyle w:val="Tablenotes-indented"/>
              <w:ind w:left="227" w:firstLine="0"/>
              <w:rPr>
                <w:lang w:val="en-AU"/>
              </w:rPr>
            </w:pPr>
            <w:r w:rsidRPr="00C6052E">
              <w:rPr>
                <w:lang w:val="en-AU"/>
              </w:rPr>
              <w:t>Higher result due to strong interest in government support initiatives for exporters, including the Food and Fibre Export Program as part of the Regional Package funding, and the Wine Export Program as part of the extension of the Wine to the World election commitment.</w:t>
            </w:r>
          </w:p>
        </w:tc>
        <w:tc>
          <w:tcPr>
            <w:tcW w:w="1020" w:type="dxa"/>
            <w:hideMark/>
          </w:tcPr>
          <w:p w14:paraId="6D3C1B4B"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35EFF66C" w14:textId="77777777" w:rsidR="00EE5BB8" w:rsidRPr="00C6052E" w:rsidRDefault="00EE5BB8" w:rsidP="0063097D">
            <w:pPr>
              <w:pStyle w:val="TableCopy"/>
              <w:jc w:val="right"/>
              <w:rPr>
                <w:lang w:val="en-AU"/>
              </w:rPr>
            </w:pPr>
            <w:r w:rsidRPr="00C6052E">
              <w:rPr>
                <w:lang w:val="en-AU"/>
              </w:rPr>
              <w:t>237</w:t>
            </w:r>
          </w:p>
        </w:tc>
        <w:tc>
          <w:tcPr>
            <w:tcW w:w="1020" w:type="dxa"/>
            <w:noWrap/>
            <w:hideMark/>
          </w:tcPr>
          <w:p w14:paraId="51CD5DEE" w14:textId="77777777" w:rsidR="00EE5BB8" w:rsidRPr="00C6052E" w:rsidRDefault="00EE5BB8" w:rsidP="0063097D">
            <w:pPr>
              <w:pStyle w:val="TableCopy"/>
              <w:jc w:val="right"/>
              <w:rPr>
                <w:lang w:val="en-AU"/>
              </w:rPr>
            </w:pPr>
            <w:r w:rsidRPr="00C6052E">
              <w:rPr>
                <w:lang w:val="en-AU"/>
              </w:rPr>
              <w:t>60</w:t>
            </w:r>
          </w:p>
        </w:tc>
        <w:tc>
          <w:tcPr>
            <w:tcW w:w="1361" w:type="dxa"/>
            <w:noWrap/>
            <w:hideMark/>
          </w:tcPr>
          <w:p w14:paraId="4E99655A" w14:textId="77777777" w:rsidR="00EE5BB8" w:rsidRPr="00C6052E" w:rsidRDefault="00EE5BB8" w:rsidP="0063097D">
            <w:pPr>
              <w:pStyle w:val="TableCopy"/>
              <w:jc w:val="right"/>
              <w:rPr>
                <w:lang w:val="en-AU"/>
              </w:rPr>
            </w:pPr>
            <w:r w:rsidRPr="00C6052E">
              <w:rPr>
                <w:lang w:val="en-AU"/>
              </w:rPr>
              <w:t>295.0%</w:t>
            </w:r>
          </w:p>
        </w:tc>
        <w:tc>
          <w:tcPr>
            <w:tcW w:w="795" w:type="dxa"/>
            <w:noWrap/>
            <w:hideMark/>
          </w:tcPr>
          <w:p w14:paraId="6DD20B21" w14:textId="77777777" w:rsidR="00EE5BB8" w:rsidRPr="00C6052E" w:rsidRDefault="00EE5BB8" w:rsidP="00A42238">
            <w:pPr>
              <w:pStyle w:val="TableCopy"/>
              <w:jc w:val="right"/>
              <w:rPr>
                <w:lang w:val="en-AU"/>
              </w:rPr>
            </w:pPr>
            <w:r w:rsidRPr="00C6052E">
              <w:rPr>
                <w:lang w:val="en-AU"/>
              </w:rPr>
              <w:t>1</w:t>
            </w:r>
          </w:p>
        </w:tc>
      </w:tr>
      <w:tr w:rsidR="00EE5BB8" w:rsidRPr="00C6052E" w14:paraId="7F112313" w14:textId="77777777" w:rsidTr="0063097D">
        <w:trPr>
          <w:cantSplit/>
        </w:trPr>
        <w:tc>
          <w:tcPr>
            <w:tcW w:w="4531" w:type="dxa"/>
            <w:hideMark/>
          </w:tcPr>
          <w:p w14:paraId="31D1D31E" w14:textId="77777777" w:rsidR="00EE5BB8" w:rsidRDefault="00EE5BB8" w:rsidP="0063097D">
            <w:pPr>
              <w:pStyle w:val="TableCopy"/>
              <w:rPr>
                <w:lang w:val="en-AU"/>
              </w:rPr>
            </w:pPr>
            <w:r w:rsidRPr="00C6052E">
              <w:rPr>
                <w:lang w:val="en-AU"/>
              </w:rPr>
              <w:t>Significant</w:t>
            </w:r>
            <w:r w:rsidR="00177848" w:rsidRPr="00C6052E">
              <w:rPr>
                <w:lang w:val="en-AU"/>
              </w:rPr>
              <w:t xml:space="preserve"> </w:t>
            </w:r>
            <w:r w:rsidRPr="00C6052E">
              <w:rPr>
                <w:lang w:val="en-AU"/>
              </w:rPr>
              <w:t>interactions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agri-food</w:t>
            </w:r>
            <w:r w:rsidR="00177848" w:rsidRPr="00C6052E">
              <w:rPr>
                <w:lang w:val="en-AU"/>
              </w:rPr>
              <w:t xml:space="preserve"> </w:t>
            </w:r>
            <w:r w:rsidRPr="00C6052E">
              <w:rPr>
                <w:lang w:val="en-AU"/>
              </w:rPr>
              <w:t>companies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exporters,</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customers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trading</w:t>
            </w:r>
            <w:r w:rsidR="00177848" w:rsidRPr="00C6052E">
              <w:rPr>
                <w:lang w:val="en-AU"/>
              </w:rPr>
              <w:t xml:space="preserve"> </w:t>
            </w:r>
            <w:r w:rsidRPr="00C6052E">
              <w:rPr>
                <w:lang w:val="en-AU"/>
              </w:rPr>
              <w:t>partners</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formal</w:t>
            </w:r>
            <w:r w:rsidR="00177848" w:rsidRPr="00C6052E">
              <w:rPr>
                <w:lang w:val="en-AU"/>
              </w:rPr>
              <w:t xml:space="preserve"> </w:t>
            </w:r>
            <w:r w:rsidRPr="00C6052E">
              <w:rPr>
                <w:lang w:val="en-AU"/>
              </w:rPr>
              <w:t>meetings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involvement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trade</w:t>
            </w:r>
            <w:r w:rsidR="00177848" w:rsidRPr="00C6052E">
              <w:rPr>
                <w:lang w:val="en-AU"/>
              </w:rPr>
              <w:t xml:space="preserve"> </w:t>
            </w:r>
            <w:r w:rsidRPr="00C6052E">
              <w:rPr>
                <w:lang w:val="en-AU"/>
              </w:rPr>
              <w:t>programs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facilitate</w:t>
            </w:r>
            <w:r w:rsidR="00177848" w:rsidRPr="00C6052E">
              <w:rPr>
                <w:lang w:val="en-AU"/>
              </w:rPr>
              <w:t xml:space="preserve"> </w:t>
            </w:r>
            <w:r w:rsidRPr="00C6052E">
              <w:rPr>
                <w:lang w:val="en-AU"/>
              </w:rPr>
              <w:t>export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outcomes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Victoria</w:t>
            </w:r>
          </w:p>
          <w:p w14:paraId="4C1E0B3C" w14:textId="24E9343F" w:rsidR="00C17A57" w:rsidRPr="00C6052E" w:rsidRDefault="00C17A57" w:rsidP="00C17A57">
            <w:pPr>
              <w:pStyle w:val="Tablenotes-indented"/>
              <w:ind w:left="227" w:firstLine="0"/>
              <w:rPr>
                <w:lang w:val="en-AU"/>
              </w:rPr>
            </w:pPr>
            <w:r w:rsidRPr="00C6052E">
              <w:rPr>
                <w:lang w:val="en-AU"/>
              </w:rPr>
              <w:t>Higher result due to strong interest in government support initiatives for exporters, including the Food and Fibre Export Program as part of the Regional Package funding and Wine Export Program as part of the extension of the Wine to the World election commitment.</w:t>
            </w:r>
          </w:p>
        </w:tc>
        <w:tc>
          <w:tcPr>
            <w:tcW w:w="1020" w:type="dxa"/>
            <w:hideMark/>
          </w:tcPr>
          <w:p w14:paraId="37A1E8EB"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59715D54" w14:textId="77777777" w:rsidR="00EE5BB8" w:rsidRPr="00C6052E" w:rsidRDefault="00EE5BB8" w:rsidP="0063097D">
            <w:pPr>
              <w:pStyle w:val="TableCopy"/>
              <w:jc w:val="right"/>
              <w:rPr>
                <w:lang w:val="en-AU"/>
              </w:rPr>
            </w:pPr>
            <w:r w:rsidRPr="00C6052E">
              <w:rPr>
                <w:lang w:val="en-AU"/>
              </w:rPr>
              <w:t>517</w:t>
            </w:r>
          </w:p>
        </w:tc>
        <w:tc>
          <w:tcPr>
            <w:tcW w:w="1020" w:type="dxa"/>
            <w:noWrap/>
            <w:hideMark/>
          </w:tcPr>
          <w:p w14:paraId="6D16572C" w14:textId="77777777" w:rsidR="00EE5BB8" w:rsidRPr="00C6052E" w:rsidRDefault="00EE5BB8" w:rsidP="0063097D">
            <w:pPr>
              <w:pStyle w:val="TableCopy"/>
              <w:jc w:val="right"/>
              <w:rPr>
                <w:lang w:val="en-AU"/>
              </w:rPr>
            </w:pPr>
            <w:r w:rsidRPr="00C6052E">
              <w:rPr>
                <w:lang w:val="en-AU"/>
              </w:rPr>
              <w:t>250</w:t>
            </w:r>
          </w:p>
        </w:tc>
        <w:tc>
          <w:tcPr>
            <w:tcW w:w="1361" w:type="dxa"/>
            <w:noWrap/>
            <w:hideMark/>
          </w:tcPr>
          <w:p w14:paraId="0D1B3643" w14:textId="77777777" w:rsidR="00EE5BB8" w:rsidRPr="00C6052E" w:rsidRDefault="00EE5BB8" w:rsidP="0063097D">
            <w:pPr>
              <w:pStyle w:val="TableCopy"/>
              <w:jc w:val="right"/>
              <w:rPr>
                <w:lang w:val="en-AU"/>
              </w:rPr>
            </w:pPr>
            <w:r w:rsidRPr="00C6052E">
              <w:rPr>
                <w:lang w:val="en-AU"/>
              </w:rPr>
              <w:t>106.8%</w:t>
            </w:r>
          </w:p>
        </w:tc>
        <w:tc>
          <w:tcPr>
            <w:tcW w:w="795" w:type="dxa"/>
            <w:noWrap/>
            <w:hideMark/>
          </w:tcPr>
          <w:p w14:paraId="67FD64CE" w14:textId="77777777" w:rsidR="00EE5BB8" w:rsidRPr="00C6052E" w:rsidRDefault="00EE5BB8" w:rsidP="00A42238">
            <w:pPr>
              <w:pStyle w:val="TableCopy"/>
              <w:jc w:val="right"/>
              <w:rPr>
                <w:lang w:val="en-AU"/>
              </w:rPr>
            </w:pPr>
            <w:r w:rsidRPr="00C6052E">
              <w:rPr>
                <w:lang w:val="en-AU"/>
              </w:rPr>
              <w:t>1</w:t>
            </w:r>
          </w:p>
        </w:tc>
      </w:tr>
      <w:tr w:rsidR="00EE5BB8" w:rsidRPr="00C6052E" w14:paraId="201FEBE7" w14:textId="77777777" w:rsidTr="0063097D">
        <w:trPr>
          <w:cantSplit/>
        </w:trPr>
        <w:tc>
          <w:tcPr>
            <w:tcW w:w="4531" w:type="dxa"/>
            <w:hideMark/>
          </w:tcPr>
          <w:p w14:paraId="052FDAEF" w14:textId="10FB3008" w:rsidR="00EE5BB8" w:rsidRPr="00C6052E" w:rsidRDefault="00EE5BB8" w:rsidP="0063097D">
            <w:pPr>
              <w:pStyle w:val="TableCopy"/>
              <w:rPr>
                <w:lang w:val="en-AU"/>
              </w:rPr>
            </w:pPr>
            <w:r w:rsidRPr="00C6052E">
              <w:rPr>
                <w:lang w:val="en-AU"/>
              </w:rPr>
              <w:t>Victoria’s</w:t>
            </w:r>
            <w:r w:rsidR="00177848" w:rsidRPr="00C6052E">
              <w:rPr>
                <w:lang w:val="en-AU"/>
              </w:rPr>
              <w:t xml:space="preserve"> </w:t>
            </w: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all</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student</w:t>
            </w:r>
            <w:r w:rsidR="00177848" w:rsidRPr="00C6052E">
              <w:rPr>
                <w:lang w:val="en-AU"/>
              </w:rPr>
              <w:t xml:space="preserve"> </w:t>
            </w:r>
            <w:r w:rsidRPr="00C6052E">
              <w:rPr>
                <w:lang w:val="en-AU"/>
              </w:rPr>
              <w:t>enrolments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Australia</w:t>
            </w:r>
          </w:p>
        </w:tc>
        <w:tc>
          <w:tcPr>
            <w:tcW w:w="1020" w:type="dxa"/>
            <w:hideMark/>
          </w:tcPr>
          <w:p w14:paraId="17EEBC39" w14:textId="196D22D3"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CB78F6E" w14:textId="77777777" w:rsidR="00EE5BB8" w:rsidRPr="00C6052E" w:rsidRDefault="00EE5BB8" w:rsidP="0063097D">
            <w:pPr>
              <w:pStyle w:val="TableCopy"/>
              <w:jc w:val="right"/>
              <w:rPr>
                <w:lang w:val="en-AU"/>
              </w:rPr>
            </w:pPr>
            <w:r w:rsidRPr="00C6052E">
              <w:rPr>
                <w:lang w:val="en-AU"/>
              </w:rPr>
              <w:t>30.1</w:t>
            </w:r>
          </w:p>
        </w:tc>
        <w:tc>
          <w:tcPr>
            <w:tcW w:w="1020" w:type="dxa"/>
            <w:noWrap/>
            <w:hideMark/>
          </w:tcPr>
          <w:p w14:paraId="690635B1" w14:textId="77777777" w:rsidR="00EE5BB8" w:rsidRPr="00C6052E" w:rsidRDefault="00EE5BB8" w:rsidP="0063097D">
            <w:pPr>
              <w:pStyle w:val="TableCopy"/>
              <w:jc w:val="right"/>
              <w:rPr>
                <w:lang w:val="en-AU"/>
              </w:rPr>
            </w:pPr>
            <w:r w:rsidRPr="00C6052E">
              <w:rPr>
                <w:lang w:val="en-AU"/>
              </w:rPr>
              <w:t>31</w:t>
            </w:r>
          </w:p>
        </w:tc>
        <w:tc>
          <w:tcPr>
            <w:tcW w:w="1361" w:type="dxa"/>
            <w:noWrap/>
            <w:hideMark/>
          </w:tcPr>
          <w:p w14:paraId="2E46B320" w14:textId="77777777" w:rsidR="00EE5BB8" w:rsidRPr="00C6052E" w:rsidRDefault="00EE5BB8" w:rsidP="0063097D">
            <w:pPr>
              <w:pStyle w:val="TableCopy"/>
              <w:jc w:val="right"/>
              <w:rPr>
                <w:lang w:val="en-AU"/>
              </w:rPr>
            </w:pPr>
            <w:r w:rsidRPr="00C6052E">
              <w:rPr>
                <w:lang w:val="en-AU"/>
              </w:rPr>
              <w:t>-2.9%</w:t>
            </w:r>
          </w:p>
        </w:tc>
        <w:tc>
          <w:tcPr>
            <w:tcW w:w="795" w:type="dxa"/>
            <w:noWrap/>
            <w:hideMark/>
          </w:tcPr>
          <w:p w14:paraId="695294B6" w14:textId="77777777" w:rsidR="00EE5BB8" w:rsidRPr="00C6052E" w:rsidRDefault="00EE5BB8" w:rsidP="00A42238">
            <w:pPr>
              <w:pStyle w:val="TableCopy"/>
              <w:jc w:val="right"/>
              <w:rPr>
                <w:lang w:val="en-AU"/>
              </w:rPr>
            </w:pPr>
            <w:r w:rsidRPr="00C6052E">
              <w:rPr>
                <w:lang w:val="en-AU"/>
              </w:rPr>
              <w:t>2</w:t>
            </w:r>
          </w:p>
        </w:tc>
      </w:tr>
      <w:tr w:rsidR="00EE5BB8" w:rsidRPr="00C6052E" w14:paraId="1FE4155B" w14:textId="77777777" w:rsidTr="0063097D">
        <w:trPr>
          <w:cantSplit/>
        </w:trPr>
        <w:tc>
          <w:tcPr>
            <w:tcW w:w="4531" w:type="dxa"/>
            <w:hideMark/>
          </w:tcPr>
          <w:p w14:paraId="03A9B1F9" w14:textId="16A61C88" w:rsidR="00EE5BB8" w:rsidRPr="00C6052E" w:rsidRDefault="00EE5BB8" w:rsidP="0063097D">
            <w:pPr>
              <w:pStyle w:val="TableCopy"/>
              <w:rPr>
                <w:lang w:val="en-AU"/>
              </w:rPr>
            </w:pPr>
            <w:r w:rsidRPr="00C6052E">
              <w:rPr>
                <w:lang w:val="en-AU"/>
              </w:rPr>
              <w:t>Visits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Global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website</w:t>
            </w:r>
          </w:p>
        </w:tc>
        <w:tc>
          <w:tcPr>
            <w:tcW w:w="1020" w:type="dxa"/>
            <w:hideMark/>
          </w:tcPr>
          <w:p w14:paraId="201D41A6"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1D6C4CE2" w14:textId="77777777" w:rsidR="00EE5BB8" w:rsidRPr="00C6052E" w:rsidRDefault="00EE5BB8" w:rsidP="0063097D">
            <w:pPr>
              <w:pStyle w:val="TableCopy"/>
              <w:jc w:val="right"/>
              <w:rPr>
                <w:lang w:val="en-AU"/>
              </w:rPr>
            </w:pPr>
            <w:r w:rsidRPr="00C6052E">
              <w:rPr>
                <w:lang w:val="en-AU"/>
              </w:rPr>
              <w:t>101,443</w:t>
            </w:r>
          </w:p>
        </w:tc>
        <w:tc>
          <w:tcPr>
            <w:tcW w:w="1020" w:type="dxa"/>
            <w:noWrap/>
            <w:hideMark/>
          </w:tcPr>
          <w:p w14:paraId="5ECE29D4" w14:textId="77777777" w:rsidR="00EE5BB8" w:rsidRPr="00C6052E" w:rsidRDefault="00EE5BB8" w:rsidP="0063097D">
            <w:pPr>
              <w:pStyle w:val="TableCopy"/>
              <w:jc w:val="right"/>
              <w:rPr>
                <w:lang w:val="en-AU"/>
              </w:rPr>
            </w:pPr>
            <w:r w:rsidRPr="00C6052E">
              <w:rPr>
                <w:lang w:val="en-AU"/>
              </w:rPr>
              <w:t>100,000</w:t>
            </w:r>
          </w:p>
        </w:tc>
        <w:tc>
          <w:tcPr>
            <w:tcW w:w="1361" w:type="dxa"/>
            <w:noWrap/>
            <w:hideMark/>
          </w:tcPr>
          <w:p w14:paraId="26279EE8" w14:textId="77777777" w:rsidR="00EE5BB8" w:rsidRPr="00C6052E" w:rsidRDefault="00EE5BB8" w:rsidP="0063097D">
            <w:pPr>
              <w:pStyle w:val="TableCopy"/>
              <w:jc w:val="right"/>
              <w:rPr>
                <w:lang w:val="en-AU"/>
              </w:rPr>
            </w:pPr>
            <w:r w:rsidRPr="00C6052E">
              <w:rPr>
                <w:lang w:val="en-AU"/>
              </w:rPr>
              <w:t>1.4%</w:t>
            </w:r>
          </w:p>
        </w:tc>
        <w:tc>
          <w:tcPr>
            <w:tcW w:w="795" w:type="dxa"/>
            <w:noWrap/>
            <w:hideMark/>
          </w:tcPr>
          <w:p w14:paraId="5907EB8B" w14:textId="77777777" w:rsidR="00EE5BB8" w:rsidRPr="00C6052E" w:rsidRDefault="00EE5BB8" w:rsidP="00A42238">
            <w:pPr>
              <w:pStyle w:val="TableCopy"/>
              <w:jc w:val="right"/>
              <w:rPr>
                <w:lang w:val="en-AU"/>
              </w:rPr>
            </w:pPr>
            <w:r w:rsidRPr="00C6052E">
              <w:rPr>
                <w:lang w:val="en-AU"/>
              </w:rPr>
              <w:t>1</w:t>
            </w:r>
          </w:p>
        </w:tc>
      </w:tr>
      <w:tr w:rsidR="00EE5BB8" w:rsidRPr="00C6052E" w14:paraId="2B9C6670" w14:textId="77777777" w:rsidTr="0063097D">
        <w:trPr>
          <w:cantSplit/>
        </w:trPr>
        <w:tc>
          <w:tcPr>
            <w:tcW w:w="4531" w:type="dxa"/>
          </w:tcPr>
          <w:p w14:paraId="0C140014" w14:textId="77777777" w:rsidR="00EE5BB8" w:rsidRPr="00C6052E" w:rsidRDefault="00EE5BB8" w:rsidP="0063097D">
            <w:pPr>
              <w:pStyle w:val="TableHeading"/>
              <w:rPr>
                <w:lang w:val="en-AU"/>
              </w:rPr>
            </w:pPr>
            <w:r w:rsidRPr="00C6052E">
              <w:rPr>
                <w:lang w:val="en-AU"/>
              </w:rPr>
              <w:t>Quality</w:t>
            </w:r>
          </w:p>
        </w:tc>
        <w:tc>
          <w:tcPr>
            <w:tcW w:w="1020" w:type="dxa"/>
          </w:tcPr>
          <w:p w14:paraId="7653C5B2" w14:textId="77777777" w:rsidR="00EE5BB8" w:rsidRPr="00C6052E" w:rsidRDefault="00EE5BB8" w:rsidP="0063097D">
            <w:pPr>
              <w:pStyle w:val="TableHeading"/>
              <w:jc w:val="right"/>
              <w:rPr>
                <w:lang w:val="en-AU"/>
              </w:rPr>
            </w:pPr>
          </w:p>
        </w:tc>
        <w:tc>
          <w:tcPr>
            <w:tcW w:w="1020" w:type="dxa"/>
            <w:noWrap/>
          </w:tcPr>
          <w:p w14:paraId="06D433FB" w14:textId="77777777" w:rsidR="00EE5BB8" w:rsidRPr="00C6052E" w:rsidRDefault="00EE5BB8" w:rsidP="0063097D">
            <w:pPr>
              <w:pStyle w:val="TableHeading"/>
              <w:jc w:val="right"/>
              <w:rPr>
                <w:lang w:val="en-AU"/>
              </w:rPr>
            </w:pPr>
          </w:p>
        </w:tc>
        <w:tc>
          <w:tcPr>
            <w:tcW w:w="1020" w:type="dxa"/>
            <w:noWrap/>
          </w:tcPr>
          <w:p w14:paraId="15DAD078" w14:textId="77777777" w:rsidR="00EE5BB8" w:rsidRPr="00C6052E" w:rsidRDefault="00EE5BB8" w:rsidP="0063097D">
            <w:pPr>
              <w:pStyle w:val="TableHeading"/>
              <w:jc w:val="right"/>
              <w:rPr>
                <w:lang w:val="en-AU"/>
              </w:rPr>
            </w:pPr>
          </w:p>
        </w:tc>
        <w:tc>
          <w:tcPr>
            <w:tcW w:w="1361" w:type="dxa"/>
            <w:noWrap/>
          </w:tcPr>
          <w:p w14:paraId="067C4C7C" w14:textId="77777777" w:rsidR="00EE5BB8" w:rsidRPr="00C6052E" w:rsidRDefault="00EE5BB8" w:rsidP="0063097D">
            <w:pPr>
              <w:pStyle w:val="TableHeading"/>
              <w:jc w:val="right"/>
              <w:rPr>
                <w:lang w:val="en-AU"/>
              </w:rPr>
            </w:pPr>
          </w:p>
        </w:tc>
        <w:tc>
          <w:tcPr>
            <w:tcW w:w="795" w:type="dxa"/>
            <w:noWrap/>
          </w:tcPr>
          <w:p w14:paraId="698EF00F" w14:textId="77777777" w:rsidR="00EE5BB8" w:rsidRPr="00C6052E" w:rsidRDefault="00EE5BB8" w:rsidP="00A42238">
            <w:pPr>
              <w:pStyle w:val="TableCopy"/>
              <w:jc w:val="right"/>
              <w:rPr>
                <w:lang w:val="en-AU"/>
              </w:rPr>
            </w:pPr>
          </w:p>
        </w:tc>
      </w:tr>
      <w:tr w:rsidR="00EE5BB8" w:rsidRPr="00C6052E" w14:paraId="3634A96F" w14:textId="77777777" w:rsidTr="0063097D">
        <w:trPr>
          <w:cantSplit/>
        </w:trPr>
        <w:tc>
          <w:tcPr>
            <w:tcW w:w="4531" w:type="dxa"/>
            <w:hideMark/>
          </w:tcPr>
          <w:p w14:paraId="31F53BAD" w14:textId="77777777" w:rsidR="00EE5BB8" w:rsidRDefault="00EE5BB8" w:rsidP="0063097D">
            <w:pPr>
              <w:pStyle w:val="TableCopy"/>
              <w:rPr>
                <w:lang w:val="en-AU"/>
              </w:rPr>
            </w:pPr>
            <w:r w:rsidRPr="00C6052E">
              <w:rPr>
                <w:lang w:val="en-AU"/>
              </w:rPr>
              <w:t>Client</w:t>
            </w:r>
            <w:r w:rsidR="00177848" w:rsidRPr="00C6052E">
              <w:rPr>
                <w:lang w:val="en-AU"/>
              </w:rPr>
              <w:t xml:space="preserve"> </w:t>
            </w:r>
            <w:r w:rsidRPr="00C6052E">
              <w:rPr>
                <w:lang w:val="en-AU"/>
              </w:rPr>
              <w:t>satisfaction</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export</w:t>
            </w:r>
            <w:r w:rsidR="00177848" w:rsidRPr="00C6052E">
              <w:rPr>
                <w:lang w:val="en-AU"/>
              </w:rPr>
              <w:t xml:space="preserve"> </w:t>
            </w:r>
            <w:r w:rsidRPr="00C6052E">
              <w:rPr>
                <w:lang w:val="en-AU"/>
              </w:rPr>
              <w:t>assistance</w:t>
            </w:r>
            <w:r w:rsidR="00177848" w:rsidRPr="00C6052E">
              <w:rPr>
                <w:lang w:val="en-AU"/>
              </w:rPr>
              <w:t xml:space="preserve"> </w:t>
            </w:r>
            <w:r w:rsidRPr="00C6052E">
              <w:rPr>
                <w:lang w:val="en-AU"/>
              </w:rPr>
              <w:t>offered</w:t>
            </w:r>
          </w:p>
          <w:p w14:paraId="2A129B40" w14:textId="588F8FB1" w:rsidR="00C17A57" w:rsidRPr="00C6052E" w:rsidRDefault="00C17A57" w:rsidP="00C17A57">
            <w:pPr>
              <w:pStyle w:val="Tablenotes-indented"/>
              <w:ind w:left="227" w:firstLine="0"/>
              <w:rPr>
                <w:lang w:val="en-AU"/>
              </w:rPr>
            </w:pPr>
            <w:r w:rsidRPr="00C6052E">
              <w:rPr>
                <w:lang w:val="en-AU"/>
              </w:rPr>
              <w:t>Higher result due to the continued focus on program delivery improvements to enhance client experience.</w:t>
            </w:r>
          </w:p>
        </w:tc>
        <w:tc>
          <w:tcPr>
            <w:tcW w:w="1020" w:type="dxa"/>
            <w:hideMark/>
          </w:tcPr>
          <w:p w14:paraId="26DAA172" w14:textId="702FE1C5"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2C7058EC" w14:textId="77777777" w:rsidR="00EE5BB8" w:rsidRPr="00C6052E" w:rsidRDefault="00EE5BB8" w:rsidP="0063097D">
            <w:pPr>
              <w:pStyle w:val="TableCopy"/>
              <w:jc w:val="right"/>
              <w:rPr>
                <w:lang w:val="en-AU"/>
              </w:rPr>
            </w:pPr>
            <w:r w:rsidRPr="00C6052E">
              <w:rPr>
                <w:lang w:val="en-AU"/>
              </w:rPr>
              <w:t>97</w:t>
            </w:r>
          </w:p>
        </w:tc>
        <w:tc>
          <w:tcPr>
            <w:tcW w:w="1020" w:type="dxa"/>
            <w:noWrap/>
            <w:hideMark/>
          </w:tcPr>
          <w:p w14:paraId="6D102CA6" w14:textId="77777777" w:rsidR="00EE5BB8" w:rsidRPr="00C6052E" w:rsidRDefault="00EE5BB8" w:rsidP="0063097D">
            <w:pPr>
              <w:pStyle w:val="TableCopy"/>
              <w:jc w:val="right"/>
              <w:rPr>
                <w:lang w:val="en-AU"/>
              </w:rPr>
            </w:pPr>
            <w:r w:rsidRPr="00C6052E">
              <w:rPr>
                <w:lang w:val="en-AU"/>
              </w:rPr>
              <w:t>90</w:t>
            </w:r>
          </w:p>
        </w:tc>
        <w:tc>
          <w:tcPr>
            <w:tcW w:w="1361" w:type="dxa"/>
            <w:noWrap/>
            <w:hideMark/>
          </w:tcPr>
          <w:p w14:paraId="208DD11F" w14:textId="77777777" w:rsidR="00EE5BB8" w:rsidRPr="00C6052E" w:rsidRDefault="00EE5BB8" w:rsidP="0063097D">
            <w:pPr>
              <w:pStyle w:val="TableCopy"/>
              <w:jc w:val="right"/>
              <w:rPr>
                <w:lang w:val="en-AU"/>
              </w:rPr>
            </w:pPr>
            <w:r w:rsidRPr="00C6052E">
              <w:rPr>
                <w:lang w:val="en-AU"/>
              </w:rPr>
              <w:t>7.8%</w:t>
            </w:r>
          </w:p>
        </w:tc>
        <w:tc>
          <w:tcPr>
            <w:tcW w:w="795" w:type="dxa"/>
            <w:noWrap/>
            <w:hideMark/>
          </w:tcPr>
          <w:p w14:paraId="7B9C4CA1" w14:textId="77777777" w:rsidR="00EE5BB8" w:rsidRPr="00C6052E" w:rsidRDefault="00EE5BB8" w:rsidP="00A42238">
            <w:pPr>
              <w:pStyle w:val="TableCopy"/>
              <w:jc w:val="right"/>
              <w:rPr>
                <w:lang w:val="en-AU"/>
              </w:rPr>
            </w:pPr>
            <w:r w:rsidRPr="00C6052E">
              <w:rPr>
                <w:lang w:val="en-AU"/>
              </w:rPr>
              <w:t>1</w:t>
            </w:r>
          </w:p>
        </w:tc>
      </w:tr>
      <w:tr w:rsidR="00EE5BB8" w:rsidRPr="00C6052E" w14:paraId="09302779" w14:textId="77777777" w:rsidTr="0063097D">
        <w:trPr>
          <w:cantSplit/>
        </w:trPr>
        <w:tc>
          <w:tcPr>
            <w:tcW w:w="4531" w:type="dxa"/>
            <w:hideMark/>
          </w:tcPr>
          <w:p w14:paraId="088E0ADF" w14:textId="77777777" w:rsidR="00EE5BB8" w:rsidRDefault="00EE5BB8" w:rsidP="0063097D">
            <w:pPr>
              <w:pStyle w:val="TableCopy"/>
              <w:rPr>
                <w:lang w:val="en-AU"/>
              </w:rPr>
            </w:pPr>
            <w:r w:rsidRPr="00C6052E">
              <w:rPr>
                <w:lang w:val="en-AU"/>
              </w:rPr>
              <w:t>International</w:t>
            </w:r>
            <w:r w:rsidR="00177848" w:rsidRPr="00C6052E">
              <w:rPr>
                <w:lang w:val="en-AU"/>
              </w:rPr>
              <w:t xml:space="preserve"> </w:t>
            </w:r>
            <w:r w:rsidRPr="00C6052E">
              <w:rPr>
                <w:lang w:val="en-AU"/>
              </w:rPr>
              <w:t>student</w:t>
            </w:r>
            <w:r w:rsidR="00177848" w:rsidRPr="00C6052E">
              <w:rPr>
                <w:lang w:val="en-AU"/>
              </w:rPr>
              <w:t xml:space="preserve"> </w:t>
            </w:r>
            <w:r w:rsidRPr="00C6052E">
              <w:rPr>
                <w:lang w:val="en-AU"/>
              </w:rPr>
              <w:t>satisfaction</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Study</w:t>
            </w:r>
            <w:r w:rsidR="00177848" w:rsidRPr="00C6052E">
              <w:rPr>
                <w:lang w:val="en-AU"/>
              </w:rPr>
              <w:t xml:space="preserve"> </w:t>
            </w:r>
            <w:r w:rsidRPr="00C6052E">
              <w:rPr>
                <w:lang w:val="en-AU"/>
              </w:rPr>
              <w:t>Melbourne</w:t>
            </w:r>
            <w:r w:rsidR="00177848" w:rsidRPr="00C6052E">
              <w:rPr>
                <w:lang w:val="en-AU"/>
              </w:rPr>
              <w:t xml:space="preserve"> </w:t>
            </w:r>
            <w:r w:rsidRPr="00C6052E">
              <w:rPr>
                <w:lang w:val="en-AU"/>
              </w:rPr>
              <w:t>student</w:t>
            </w:r>
            <w:r w:rsidR="00177848" w:rsidRPr="00C6052E">
              <w:rPr>
                <w:lang w:val="en-AU"/>
              </w:rPr>
              <w:t xml:space="preserve"> </w:t>
            </w:r>
            <w:r w:rsidRPr="00C6052E">
              <w:rPr>
                <w:lang w:val="en-AU"/>
              </w:rPr>
              <w:t>programs</w:t>
            </w:r>
          </w:p>
          <w:p w14:paraId="1C16D970" w14:textId="0B50E9A2" w:rsidR="00C17A57" w:rsidRPr="00C6052E" w:rsidRDefault="00C17A57" w:rsidP="00C17A57">
            <w:pPr>
              <w:pStyle w:val="Tablenotes-indented"/>
              <w:ind w:left="227" w:firstLine="0"/>
              <w:rPr>
                <w:lang w:val="en-AU"/>
              </w:rPr>
            </w:pPr>
            <w:r w:rsidRPr="00C6052E">
              <w:rPr>
                <w:lang w:val="en-AU"/>
              </w:rPr>
              <w:t>Higher result due to improved program variety with a focus on inclusion, employability, career development and leadership, which has been well received by international students.</w:t>
            </w:r>
          </w:p>
        </w:tc>
        <w:tc>
          <w:tcPr>
            <w:tcW w:w="1020" w:type="dxa"/>
            <w:hideMark/>
          </w:tcPr>
          <w:p w14:paraId="33A064B8" w14:textId="04A37F15"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2B44C82D" w14:textId="77777777" w:rsidR="00EE5BB8" w:rsidRPr="00C6052E" w:rsidRDefault="00EE5BB8" w:rsidP="0063097D">
            <w:pPr>
              <w:pStyle w:val="TableCopy"/>
              <w:jc w:val="right"/>
              <w:rPr>
                <w:lang w:val="en-AU"/>
              </w:rPr>
            </w:pPr>
            <w:r w:rsidRPr="00C6052E">
              <w:rPr>
                <w:lang w:val="en-AU"/>
              </w:rPr>
              <w:t>93</w:t>
            </w:r>
          </w:p>
        </w:tc>
        <w:tc>
          <w:tcPr>
            <w:tcW w:w="1020" w:type="dxa"/>
            <w:noWrap/>
            <w:hideMark/>
          </w:tcPr>
          <w:p w14:paraId="08C03E51" w14:textId="77777777" w:rsidR="00EE5BB8" w:rsidRPr="00C6052E" w:rsidRDefault="00EE5BB8" w:rsidP="0063097D">
            <w:pPr>
              <w:pStyle w:val="TableCopy"/>
              <w:jc w:val="right"/>
              <w:rPr>
                <w:lang w:val="en-AU"/>
              </w:rPr>
            </w:pPr>
            <w:r w:rsidRPr="00C6052E">
              <w:rPr>
                <w:lang w:val="en-AU"/>
              </w:rPr>
              <w:t>80</w:t>
            </w:r>
          </w:p>
        </w:tc>
        <w:tc>
          <w:tcPr>
            <w:tcW w:w="1361" w:type="dxa"/>
            <w:noWrap/>
            <w:hideMark/>
          </w:tcPr>
          <w:p w14:paraId="52236657" w14:textId="77777777" w:rsidR="00EE5BB8" w:rsidRPr="00C6052E" w:rsidRDefault="00EE5BB8" w:rsidP="0063097D">
            <w:pPr>
              <w:pStyle w:val="TableCopy"/>
              <w:jc w:val="right"/>
              <w:rPr>
                <w:lang w:val="en-AU"/>
              </w:rPr>
            </w:pPr>
            <w:r w:rsidRPr="00C6052E">
              <w:rPr>
                <w:lang w:val="en-AU"/>
              </w:rPr>
              <w:t>16.3%</w:t>
            </w:r>
          </w:p>
        </w:tc>
        <w:tc>
          <w:tcPr>
            <w:tcW w:w="795" w:type="dxa"/>
            <w:noWrap/>
            <w:hideMark/>
          </w:tcPr>
          <w:p w14:paraId="331A0B4C" w14:textId="77777777" w:rsidR="00EE5BB8" w:rsidRPr="00C6052E" w:rsidRDefault="00EE5BB8" w:rsidP="00A42238">
            <w:pPr>
              <w:pStyle w:val="TableCopy"/>
              <w:jc w:val="right"/>
              <w:rPr>
                <w:lang w:val="en-AU"/>
              </w:rPr>
            </w:pPr>
            <w:r w:rsidRPr="00C6052E">
              <w:rPr>
                <w:lang w:val="en-AU"/>
              </w:rPr>
              <w:t>1</w:t>
            </w:r>
          </w:p>
        </w:tc>
      </w:tr>
      <w:tr w:rsidR="00EE5BB8" w:rsidRPr="00C6052E" w14:paraId="5C778BAD" w14:textId="77777777" w:rsidTr="0063097D">
        <w:trPr>
          <w:cantSplit/>
        </w:trPr>
        <w:tc>
          <w:tcPr>
            <w:tcW w:w="4531" w:type="dxa"/>
          </w:tcPr>
          <w:p w14:paraId="33C1795C" w14:textId="77777777" w:rsidR="00EE5BB8" w:rsidRPr="00C6052E" w:rsidRDefault="00EE5BB8" w:rsidP="0063097D">
            <w:pPr>
              <w:pStyle w:val="TableHeading"/>
              <w:rPr>
                <w:lang w:val="en-AU"/>
              </w:rPr>
            </w:pPr>
            <w:r w:rsidRPr="00C6052E">
              <w:rPr>
                <w:lang w:val="en-AU"/>
              </w:rPr>
              <w:lastRenderedPageBreak/>
              <w:t>Cost</w:t>
            </w:r>
          </w:p>
        </w:tc>
        <w:tc>
          <w:tcPr>
            <w:tcW w:w="1020" w:type="dxa"/>
          </w:tcPr>
          <w:p w14:paraId="20597BB7" w14:textId="77777777" w:rsidR="00EE5BB8" w:rsidRPr="00C6052E" w:rsidRDefault="00EE5BB8" w:rsidP="0063097D">
            <w:pPr>
              <w:pStyle w:val="TableHeading"/>
              <w:jc w:val="right"/>
              <w:rPr>
                <w:lang w:val="en-AU"/>
              </w:rPr>
            </w:pPr>
          </w:p>
        </w:tc>
        <w:tc>
          <w:tcPr>
            <w:tcW w:w="1020" w:type="dxa"/>
            <w:noWrap/>
          </w:tcPr>
          <w:p w14:paraId="23EBE549" w14:textId="77777777" w:rsidR="00EE5BB8" w:rsidRPr="00C6052E" w:rsidRDefault="00EE5BB8" w:rsidP="0063097D">
            <w:pPr>
              <w:pStyle w:val="TableHeading"/>
              <w:jc w:val="right"/>
              <w:rPr>
                <w:lang w:val="en-AU"/>
              </w:rPr>
            </w:pPr>
          </w:p>
        </w:tc>
        <w:tc>
          <w:tcPr>
            <w:tcW w:w="1020" w:type="dxa"/>
            <w:noWrap/>
          </w:tcPr>
          <w:p w14:paraId="2BC7F823" w14:textId="77777777" w:rsidR="00EE5BB8" w:rsidRPr="00C6052E" w:rsidRDefault="00EE5BB8" w:rsidP="0063097D">
            <w:pPr>
              <w:pStyle w:val="TableHeading"/>
              <w:jc w:val="right"/>
              <w:rPr>
                <w:lang w:val="en-AU"/>
              </w:rPr>
            </w:pPr>
          </w:p>
        </w:tc>
        <w:tc>
          <w:tcPr>
            <w:tcW w:w="1361" w:type="dxa"/>
            <w:noWrap/>
          </w:tcPr>
          <w:p w14:paraId="31872FA8" w14:textId="77777777" w:rsidR="00EE5BB8" w:rsidRPr="00C6052E" w:rsidRDefault="00EE5BB8" w:rsidP="0063097D">
            <w:pPr>
              <w:pStyle w:val="TableHeading"/>
              <w:jc w:val="right"/>
              <w:rPr>
                <w:lang w:val="en-AU"/>
              </w:rPr>
            </w:pPr>
          </w:p>
        </w:tc>
        <w:tc>
          <w:tcPr>
            <w:tcW w:w="795" w:type="dxa"/>
            <w:noWrap/>
          </w:tcPr>
          <w:p w14:paraId="2A3C0AD0" w14:textId="77777777" w:rsidR="00EE5BB8" w:rsidRPr="00C6052E" w:rsidRDefault="00EE5BB8" w:rsidP="00A42238">
            <w:pPr>
              <w:pStyle w:val="TableCopy"/>
              <w:jc w:val="right"/>
              <w:rPr>
                <w:lang w:val="en-AU"/>
              </w:rPr>
            </w:pPr>
          </w:p>
        </w:tc>
      </w:tr>
      <w:tr w:rsidR="00EE5BB8" w:rsidRPr="00C6052E" w14:paraId="18E57B8D" w14:textId="77777777" w:rsidTr="0063097D">
        <w:trPr>
          <w:cantSplit/>
        </w:trPr>
        <w:tc>
          <w:tcPr>
            <w:tcW w:w="4531" w:type="dxa"/>
            <w:hideMark/>
          </w:tcPr>
          <w:p w14:paraId="6858D763" w14:textId="77777777" w:rsidR="00EE5BB8" w:rsidRDefault="00EE5BB8" w:rsidP="00880FCA">
            <w:pPr>
              <w:pStyle w:val="Tabletotal"/>
              <w:keepNext/>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p w14:paraId="71365BF0" w14:textId="00FB0BA1" w:rsidR="00C17A57" w:rsidRPr="00C6052E" w:rsidRDefault="00C17A57" w:rsidP="00C17A57">
            <w:pPr>
              <w:pStyle w:val="Tablenotes-indented"/>
              <w:ind w:left="227" w:firstLine="0"/>
              <w:rPr>
                <w:lang w:val="en-AU"/>
              </w:rPr>
            </w:pPr>
            <w:r w:rsidRPr="00C6052E">
              <w:rPr>
                <w:lang w:val="en-AU"/>
              </w:rPr>
              <w:t>The 2024–25 result is higher than the 2024–25 budget mainly due to additional funding provided through the Economic Growth Statement and expenditure on trade fairs and missions.</w:t>
            </w:r>
          </w:p>
        </w:tc>
        <w:tc>
          <w:tcPr>
            <w:tcW w:w="1020" w:type="dxa"/>
            <w:hideMark/>
          </w:tcPr>
          <w:p w14:paraId="4D71FC33" w14:textId="51392246" w:rsidR="00EE5BB8" w:rsidRPr="00C6052E" w:rsidRDefault="00EE5BB8" w:rsidP="00880FCA">
            <w:pPr>
              <w:pStyle w:val="Tabletotal"/>
              <w:keepNext/>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28E50DAA" w14:textId="77777777" w:rsidR="00EE5BB8" w:rsidRPr="00C6052E" w:rsidRDefault="00EE5BB8" w:rsidP="00880FCA">
            <w:pPr>
              <w:pStyle w:val="Tabletotal"/>
              <w:keepNext/>
              <w:jc w:val="right"/>
              <w:rPr>
                <w:lang w:val="en-AU"/>
              </w:rPr>
            </w:pPr>
            <w:r w:rsidRPr="00C6052E">
              <w:rPr>
                <w:lang w:val="en-AU"/>
              </w:rPr>
              <w:t>67.7</w:t>
            </w:r>
          </w:p>
        </w:tc>
        <w:tc>
          <w:tcPr>
            <w:tcW w:w="1020" w:type="dxa"/>
            <w:noWrap/>
            <w:hideMark/>
          </w:tcPr>
          <w:p w14:paraId="764A0420" w14:textId="3DDB79EF" w:rsidR="00EE5BB8" w:rsidRPr="00C6052E" w:rsidRDefault="00EE5BB8" w:rsidP="00880FCA">
            <w:pPr>
              <w:pStyle w:val="Tabletotal"/>
              <w:keepNext/>
              <w:jc w:val="right"/>
              <w:rPr>
                <w:lang w:val="en-AU"/>
              </w:rPr>
            </w:pPr>
            <w:r w:rsidRPr="00C6052E">
              <w:rPr>
                <w:lang w:val="en-AU"/>
              </w:rPr>
              <w:t>58.9</w:t>
            </w:r>
            <w:r w:rsidR="00177848" w:rsidRPr="00C6052E">
              <w:rPr>
                <w:lang w:val="en-AU"/>
              </w:rPr>
              <w:t xml:space="preserve"> </w:t>
            </w:r>
          </w:p>
        </w:tc>
        <w:tc>
          <w:tcPr>
            <w:tcW w:w="1361" w:type="dxa"/>
            <w:noWrap/>
            <w:hideMark/>
          </w:tcPr>
          <w:p w14:paraId="108D49DF" w14:textId="77777777" w:rsidR="00EE5BB8" w:rsidRPr="00C6052E" w:rsidRDefault="00EE5BB8" w:rsidP="00880FCA">
            <w:pPr>
              <w:pStyle w:val="Tabletotal"/>
              <w:keepNext/>
              <w:jc w:val="right"/>
              <w:rPr>
                <w:lang w:val="en-AU"/>
              </w:rPr>
            </w:pPr>
            <w:r w:rsidRPr="00C6052E">
              <w:rPr>
                <w:lang w:val="en-AU"/>
              </w:rPr>
              <w:t>15.0%</w:t>
            </w:r>
          </w:p>
        </w:tc>
        <w:tc>
          <w:tcPr>
            <w:tcW w:w="795" w:type="dxa"/>
            <w:noWrap/>
            <w:hideMark/>
          </w:tcPr>
          <w:p w14:paraId="1757A86F" w14:textId="77777777" w:rsidR="00EE5BB8" w:rsidRPr="00C6052E" w:rsidRDefault="00EE5BB8" w:rsidP="00880FCA">
            <w:pPr>
              <w:pStyle w:val="Tabletotal"/>
              <w:keepNext/>
              <w:jc w:val="right"/>
              <w:rPr>
                <w:lang w:val="en-AU"/>
              </w:rPr>
            </w:pPr>
            <w:r w:rsidRPr="00C6052E">
              <w:rPr>
                <w:lang w:val="en-AU"/>
              </w:rPr>
              <w:t>3</w:t>
            </w:r>
          </w:p>
        </w:tc>
      </w:tr>
    </w:tbl>
    <w:p w14:paraId="54CAD7E7" w14:textId="29B0B90F" w:rsidR="00EE5BB8" w:rsidRPr="00C6052E" w:rsidRDefault="00EE5BB8" w:rsidP="00EE5BB8">
      <w:pPr>
        <w:pStyle w:val="Tablenotes"/>
        <w:spacing w:after="240"/>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04C9A62B" w14:textId="319A6781" w:rsidR="00EE5BB8" w:rsidRPr="00C6052E" w:rsidRDefault="00EE5BB8" w:rsidP="00EE5BB8">
      <w:pPr>
        <w:pStyle w:val="Heading3"/>
      </w:pPr>
      <w:r w:rsidRPr="00C6052E">
        <w:t>Objective</w:t>
      </w:r>
      <w:r w:rsidR="00177848" w:rsidRPr="00C6052E">
        <w:t xml:space="preserve"> </w:t>
      </w:r>
      <w:r w:rsidRPr="00C6052E">
        <w:t>4:</w:t>
      </w:r>
      <w:r w:rsidR="00177848" w:rsidRPr="00C6052E">
        <w:t xml:space="preserve"> </w:t>
      </w:r>
      <w:bookmarkEnd w:id="5"/>
      <w:r w:rsidRPr="00C6052E">
        <w:t>Build</w:t>
      </w:r>
      <w:r w:rsidR="00177848" w:rsidRPr="00C6052E">
        <w:t xml:space="preserve"> </w:t>
      </w:r>
      <w:r w:rsidRPr="00C6052E">
        <w:t>prosperous</w:t>
      </w:r>
      <w:r w:rsidR="00177848" w:rsidRPr="00C6052E">
        <w:t xml:space="preserve"> </w:t>
      </w:r>
      <w:r w:rsidRPr="00C6052E">
        <w:t>and</w:t>
      </w:r>
      <w:r w:rsidR="00177848" w:rsidRPr="00C6052E">
        <w:t xml:space="preserve"> </w:t>
      </w:r>
      <w:r w:rsidRPr="00C6052E">
        <w:t>liveable</w:t>
      </w:r>
      <w:r w:rsidR="00177848" w:rsidRPr="00C6052E">
        <w:t xml:space="preserve"> </w:t>
      </w:r>
      <w:r w:rsidRPr="00C6052E">
        <w:t>regions,</w:t>
      </w:r>
      <w:r w:rsidR="00177848" w:rsidRPr="00C6052E">
        <w:t xml:space="preserve"> </w:t>
      </w:r>
      <w:r w:rsidRPr="00C6052E">
        <w:t>and</w:t>
      </w:r>
      <w:r w:rsidR="00177848" w:rsidRPr="00C6052E">
        <w:t xml:space="preserve"> </w:t>
      </w:r>
      <w:r w:rsidRPr="00C6052E">
        <w:t>manage</w:t>
      </w:r>
      <w:r w:rsidR="00177848" w:rsidRPr="00C6052E">
        <w:t xml:space="preserve"> </w:t>
      </w:r>
      <w:r w:rsidRPr="00C6052E">
        <w:t>and</w:t>
      </w:r>
      <w:r w:rsidR="00177848" w:rsidRPr="00C6052E">
        <w:t xml:space="preserve"> </w:t>
      </w:r>
      <w:r w:rsidRPr="00C6052E">
        <w:t>promote</w:t>
      </w:r>
      <w:r w:rsidR="00177848" w:rsidRPr="00C6052E">
        <w:t xml:space="preserve"> </w:t>
      </w:r>
      <w:r w:rsidRPr="00C6052E">
        <w:t>outdoor</w:t>
      </w:r>
      <w:r w:rsidR="00177848" w:rsidRPr="00C6052E">
        <w:t xml:space="preserve"> </w:t>
      </w:r>
      <w:r w:rsidRPr="00C6052E">
        <w:t>recreation</w:t>
      </w:r>
    </w:p>
    <w:p w14:paraId="46F86CA7" w14:textId="2AD80677" w:rsidR="00EE5BB8" w:rsidRPr="00C6052E" w:rsidRDefault="00EE5BB8" w:rsidP="00EE5BB8">
      <w:pPr>
        <w:keepLines/>
      </w:pPr>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ensure</w:t>
      </w:r>
      <w:r w:rsidR="00177848" w:rsidRPr="00C6052E">
        <w:t xml:space="preserve"> </w:t>
      </w:r>
      <w:r w:rsidRPr="00C6052E">
        <w:t>that</w:t>
      </w:r>
      <w:r w:rsidR="00177848" w:rsidRPr="00C6052E">
        <w:t xml:space="preserve"> </w:t>
      </w:r>
      <w:r w:rsidRPr="00C6052E">
        <w:t>Victoria’s</w:t>
      </w:r>
      <w:r w:rsidR="00177848" w:rsidRPr="00C6052E">
        <w:t xml:space="preserve"> </w:t>
      </w:r>
      <w:r w:rsidRPr="00C6052E">
        <w:t>regions</w:t>
      </w:r>
      <w:r w:rsidR="00177848" w:rsidRPr="00C6052E">
        <w:t xml:space="preserve"> </w:t>
      </w:r>
      <w:r w:rsidRPr="00C6052E">
        <w:t>are</w:t>
      </w:r>
      <w:r w:rsidR="00177848" w:rsidRPr="00C6052E">
        <w:t xml:space="preserve"> </w:t>
      </w:r>
      <w:r w:rsidRPr="00C6052E">
        <w:t>places</w:t>
      </w:r>
      <w:r w:rsidR="00177848" w:rsidRPr="00C6052E">
        <w:t xml:space="preserve"> </w:t>
      </w:r>
      <w:r w:rsidRPr="00C6052E">
        <w:t>where</w:t>
      </w:r>
      <w:r w:rsidR="00177848" w:rsidRPr="00C6052E">
        <w:t xml:space="preserve"> </w:t>
      </w:r>
      <w:r w:rsidRPr="00C6052E">
        <w:t>all</w:t>
      </w:r>
      <w:r w:rsidR="00177848" w:rsidRPr="00C6052E">
        <w:t xml:space="preserve"> </w:t>
      </w:r>
      <w:r w:rsidRPr="00C6052E">
        <w:t>Victorians</w:t>
      </w:r>
      <w:r w:rsidR="00177848" w:rsidRPr="00C6052E">
        <w:t xml:space="preserve"> </w:t>
      </w:r>
      <w:r w:rsidRPr="00C6052E">
        <w:t>have</w:t>
      </w:r>
      <w:r w:rsidR="00177848" w:rsidRPr="00C6052E">
        <w:t xml:space="preserve"> </w:t>
      </w:r>
      <w:r w:rsidRPr="00C6052E">
        <w:t>an</w:t>
      </w:r>
      <w:r w:rsidR="00177848" w:rsidRPr="00C6052E">
        <w:t xml:space="preserve"> </w:t>
      </w:r>
      <w:r w:rsidRPr="00C6052E">
        <w:t>opportunity</w:t>
      </w:r>
      <w:r w:rsidR="00177848" w:rsidRPr="00C6052E">
        <w:t xml:space="preserve"> </w:t>
      </w:r>
      <w:r w:rsidRPr="00C6052E">
        <w:t>to</w:t>
      </w:r>
      <w:r w:rsidR="00177848" w:rsidRPr="00C6052E">
        <w:t xml:space="preserve"> </w:t>
      </w:r>
      <w:r w:rsidRPr="00C6052E">
        <w:t>participate</w:t>
      </w:r>
      <w:r w:rsidR="00177848" w:rsidRPr="00C6052E">
        <w:t xml:space="preserve"> </w:t>
      </w:r>
      <w:r w:rsidRPr="00C6052E">
        <w:t>in</w:t>
      </w:r>
      <w:r w:rsidR="00177848" w:rsidRPr="00C6052E">
        <w:t xml:space="preserve"> </w:t>
      </w:r>
      <w:r w:rsidRPr="00C6052E">
        <w:t>economies</w:t>
      </w:r>
      <w:r w:rsidR="00177848" w:rsidRPr="00C6052E">
        <w:t xml:space="preserve"> </w:t>
      </w:r>
      <w:r w:rsidRPr="00C6052E">
        <w:t>and</w:t>
      </w:r>
      <w:r w:rsidR="00177848" w:rsidRPr="00C6052E">
        <w:t xml:space="preserve"> </w:t>
      </w:r>
      <w:r w:rsidRPr="00C6052E">
        <w:t>communities</w:t>
      </w:r>
      <w:r w:rsidR="00177848" w:rsidRPr="00C6052E">
        <w:t xml:space="preserve"> </w:t>
      </w:r>
      <w:r w:rsidRPr="00C6052E">
        <w:t>that</w:t>
      </w:r>
      <w:r w:rsidR="00177848" w:rsidRPr="00C6052E">
        <w:t xml:space="preserve"> </w:t>
      </w:r>
      <w:r w:rsidRPr="00C6052E">
        <w:t>are</w:t>
      </w:r>
      <w:r w:rsidR="00177848" w:rsidRPr="00C6052E">
        <w:t xml:space="preserve"> </w:t>
      </w:r>
      <w:r w:rsidRPr="00C6052E">
        <w:t>prosperous,</w:t>
      </w:r>
      <w:r w:rsidR="00177848" w:rsidRPr="00C6052E">
        <w:t xml:space="preserve"> </w:t>
      </w:r>
      <w:r w:rsidRPr="00C6052E">
        <w:t>vibrant</w:t>
      </w:r>
      <w:r w:rsidR="00177848" w:rsidRPr="00C6052E">
        <w:t xml:space="preserve"> </w:t>
      </w:r>
      <w:r w:rsidRPr="00C6052E">
        <w:t>and</w:t>
      </w:r>
      <w:r w:rsidR="00177848" w:rsidRPr="00C6052E">
        <w:t xml:space="preserve"> </w:t>
      </w:r>
      <w:r w:rsidRPr="00C6052E">
        <w:t>diverse.</w:t>
      </w:r>
      <w:r w:rsidR="00177848" w:rsidRPr="00C6052E">
        <w:t xml:space="preserve"> </w:t>
      </w:r>
      <w:r w:rsidRPr="00C6052E">
        <w:t>This</w:t>
      </w:r>
      <w:r w:rsidR="00177848" w:rsidRPr="00C6052E">
        <w:t xml:space="preserve"> </w:t>
      </w:r>
      <w:r w:rsidRPr="00C6052E">
        <w:t>objective</w:t>
      </w:r>
      <w:r w:rsidR="00177848" w:rsidRPr="00C6052E">
        <w:t xml:space="preserve"> </w:t>
      </w:r>
      <w:r w:rsidRPr="00C6052E">
        <w:t>also</w:t>
      </w:r>
      <w:r w:rsidR="00177848" w:rsidRPr="00C6052E">
        <w:t xml:space="preserve"> </w:t>
      </w:r>
      <w:r w:rsidRPr="00C6052E">
        <w:t>supports</w:t>
      </w:r>
      <w:r w:rsidR="00177848" w:rsidRPr="00C6052E">
        <w:t xml:space="preserve"> </w:t>
      </w:r>
      <w:r w:rsidRPr="00C6052E">
        <w:t>the</w:t>
      </w:r>
      <w:r w:rsidR="00177848" w:rsidRPr="00C6052E">
        <w:t xml:space="preserve"> </w:t>
      </w:r>
      <w:r w:rsidRPr="00C6052E">
        <w:t>development</w:t>
      </w:r>
      <w:r w:rsidR="00177848" w:rsidRPr="00C6052E">
        <w:t xml:space="preserve"> </w:t>
      </w:r>
      <w:r w:rsidRPr="00C6052E">
        <w:t>of</w:t>
      </w:r>
      <w:r w:rsidR="00177848" w:rsidRPr="00C6052E">
        <w:t xml:space="preserve"> </w:t>
      </w:r>
      <w:r w:rsidRPr="00C6052E">
        <w:t>sustainable</w:t>
      </w:r>
      <w:r w:rsidR="00177848" w:rsidRPr="00C6052E">
        <w:t xml:space="preserve"> </w:t>
      </w:r>
      <w:r w:rsidRPr="00C6052E">
        <w:t>game</w:t>
      </w:r>
      <w:r w:rsidR="00177848" w:rsidRPr="00C6052E">
        <w:t xml:space="preserve"> </w:t>
      </w:r>
      <w:r w:rsidRPr="00C6052E">
        <w:t>hunting,</w:t>
      </w:r>
      <w:r w:rsidR="00177848" w:rsidRPr="00C6052E">
        <w:t xml:space="preserve"> </w:t>
      </w:r>
      <w:r w:rsidRPr="00C6052E">
        <w:t>fishing</w:t>
      </w:r>
      <w:r w:rsidR="00177848" w:rsidRPr="00C6052E">
        <w:t xml:space="preserve"> </w:t>
      </w:r>
      <w:r w:rsidRPr="00C6052E">
        <w:t>and</w:t>
      </w:r>
      <w:r w:rsidR="00177848" w:rsidRPr="00C6052E">
        <w:t xml:space="preserve"> </w:t>
      </w:r>
      <w:r w:rsidRPr="00C6052E">
        <w:t>aquaculture</w:t>
      </w:r>
      <w:r w:rsidR="00177848" w:rsidRPr="00C6052E">
        <w:t xml:space="preserve"> </w:t>
      </w:r>
      <w:r w:rsidRPr="00C6052E">
        <w:t>activities</w:t>
      </w:r>
      <w:r w:rsidR="00177848" w:rsidRPr="00C6052E">
        <w:t xml:space="preserve"> </w:t>
      </w:r>
      <w:r w:rsidRPr="00C6052E">
        <w:t>in</w:t>
      </w:r>
      <w:r w:rsidR="00177848" w:rsidRPr="00C6052E">
        <w:t xml:space="preserve"> </w:t>
      </w:r>
      <w:r w:rsidRPr="00C6052E">
        <w:t>Victoria</w:t>
      </w:r>
      <w:r w:rsidR="00177848" w:rsidRPr="00C6052E">
        <w:t xml:space="preserve"> </w:t>
      </w:r>
      <w:r w:rsidRPr="00C6052E">
        <w:t>and</w:t>
      </w:r>
      <w:r w:rsidR="00177848" w:rsidRPr="00C6052E">
        <w:t xml:space="preserve"> </w:t>
      </w:r>
      <w:r w:rsidRPr="00C6052E">
        <w:t>the</w:t>
      </w:r>
      <w:r w:rsidR="00177848" w:rsidRPr="00C6052E">
        <w:t xml:space="preserve"> </w:t>
      </w:r>
      <w:r w:rsidRPr="00C6052E">
        <w:t>delivery</w:t>
      </w:r>
      <w:r w:rsidR="00177848" w:rsidRPr="00C6052E">
        <w:t xml:space="preserve"> </w:t>
      </w:r>
      <w:r w:rsidRPr="00C6052E">
        <w:t>of</w:t>
      </w:r>
      <w:r w:rsidR="00177848" w:rsidRPr="00C6052E">
        <w:t xml:space="preserve"> </w:t>
      </w:r>
      <w:r w:rsidRPr="00C6052E">
        <w:t>improved</w:t>
      </w:r>
      <w:r w:rsidR="00177848" w:rsidRPr="00C6052E">
        <w:t xml:space="preserve"> </w:t>
      </w:r>
      <w:r w:rsidRPr="00C6052E">
        <w:t>recreational</w:t>
      </w:r>
      <w:r w:rsidR="00177848" w:rsidRPr="00C6052E">
        <w:t xml:space="preserve"> </w:t>
      </w:r>
      <w:r w:rsidRPr="00C6052E">
        <w:t>fishing</w:t>
      </w:r>
      <w:r w:rsidR="00177848" w:rsidRPr="00C6052E">
        <w:t xml:space="preserve"> </w:t>
      </w:r>
      <w:r w:rsidRPr="00C6052E">
        <w:t>and</w:t>
      </w:r>
      <w:r w:rsidR="00177848" w:rsidRPr="00C6052E">
        <w:t xml:space="preserve"> </w:t>
      </w:r>
      <w:r w:rsidRPr="00C6052E">
        <w:t>boating</w:t>
      </w:r>
      <w:r w:rsidR="00177848" w:rsidRPr="00C6052E">
        <w:t xml:space="preserve"> </w:t>
      </w:r>
      <w:r w:rsidRPr="00C6052E">
        <w:t>services</w:t>
      </w:r>
      <w:r w:rsidR="00177848" w:rsidRPr="00C6052E">
        <w:t xml:space="preserve"> </w:t>
      </w:r>
      <w:r w:rsidRPr="00C6052E">
        <w:t>and</w:t>
      </w:r>
      <w:r w:rsidR="00177848" w:rsidRPr="00C6052E">
        <w:t xml:space="preserve"> </w:t>
      </w:r>
      <w:r w:rsidRPr="00C6052E">
        <w:t>facilities.</w:t>
      </w:r>
    </w:p>
    <w:p w14:paraId="436D22E0" w14:textId="2FC46D43" w:rsidR="00EE5BB8" w:rsidRPr="00C6052E" w:rsidRDefault="00EE5BB8" w:rsidP="00EE5BB8">
      <w:pPr>
        <w:pStyle w:val="Heading4"/>
      </w:pPr>
      <w:r w:rsidRPr="00C6052E">
        <w:t>Progress</w:t>
      </w:r>
      <w:r w:rsidR="00177848" w:rsidRPr="00C6052E">
        <w:t xml:space="preserve"> </w:t>
      </w:r>
      <w:r w:rsidRPr="00C6052E">
        <w:t>towards</w:t>
      </w:r>
      <w:r w:rsidR="00177848" w:rsidRPr="00C6052E">
        <w:t xml:space="preserve"> </w:t>
      </w:r>
      <w:r w:rsidRPr="00C6052E">
        <w:t>achieving</w:t>
      </w:r>
      <w:r w:rsidR="00177848" w:rsidRPr="00C6052E">
        <w:t xml:space="preserve"> </w:t>
      </w:r>
      <w:r w:rsidRPr="00C6052E">
        <w:t>this</w:t>
      </w:r>
      <w:r w:rsidR="00177848" w:rsidRPr="00C6052E">
        <w:t xml:space="preserve"> </w:t>
      </w:r>
      <w:r w:rsidRPr="00C6052E">
        <w:t>objective</w:t>
      </w:r>
    </w:p>
    <w:p w14:paraId="4CDFCDE8" w14:textId="6F1DF52A" w:rsidR="00EE5BB8" w:rsidRPr="00C6052E" w:rsidRDefault="00EE5BB8" w:rsidP="0028635E">
      <w:pPr>
        <w:pStyle w:val="Normalbeforebullets"/>
      </w:pPr>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reported</w:t>
      </w:r>
      <w:r w:rsidR="00177848" w:rsidRPr="00C6052E">
        <w:t xml:space="preserve"> </w:t>
      </w:r>
      <w:r w:rsidRPr="00C6052E">
        <w:t>progress</w:t>
      </w:r>
      <w:r w:rsidR="00177848" w:rsidRPr="00C6052E">
        <w:t xml:space="preserve"> </w:t>
      </w:r>
      <w:r w:rsidRPr="00C6052E">
        <w:t>against</w:t>
      </w:r>
      <w:r w:rsidR="00177848" w:rsidRPr="00C6052E">
        <w:t xml:space="preserve"> </w:t>
      </w:r>
      <w:r w:rsidRPr="00C6052E">
        <w:t>this</w:t>
      </w:r>
      <w:r w:rsidR="00177848" w:rsidRPr="00C6052E">
        <w:t xml:space="preserve"> </w:t>
      </w:r>
      <w:r w:rsidRPr="00C6052E">
        <w:t>objective</w:t>
      </w:r>
      <w:r w:rsidR="00177848" w:rsidRPr="00C6052E">
        <w:t xml:space="preserve"> </w:t>
      </w:r>
      <w:r w:rsidRPr="00C6052E">
        <w:t>using</w:t>
      </w:r>
      <w:r w:rsidR="00177848" w:rsidRPr="00C6052E">
        <w:t xml:space="preserve"> </w:t>
      </w:r>
      <w:r w:rsidRPr="00C6052E">
        <w:t>the</w:t>
      </w:r>
      <w:r w:rsidR="00177848" w:rsidRPr="00C6052E">
        <w:t xml:space="preserve"> </w:t>
      </w:r>
      <w:r w:rsidRPr="00C6052E">
        <w:t>following</w:t>
      </w:r>
      <w:r w:rsidR="00177848" w:rsidRPr="00C6052E">
        <w:t xml:space="preserve"> </w:t>
      </w:r>
      <w:r w:rsidRPr="00C6052E">
        <w:t>objective</w:t>
      </w:r>
      <w:r w:rsidR="00177848" w:rsidRPr="00C6052E">
        <w:t xml:space="preserve"> </w:t>
      </w:r>
      <w:r w:rsidRPr="00C6052E">
        <w:t>indicators</w:t>
      </w:r>
      <w:r w:rsidR="00177848" w:rsidRPr="00C6052E">
        <w:t xml:space="preserve"> </w:t>
      </w:r>
      <w:r w:rsidRPr="00C6052E">
        <w:t>and</w:t>
      </w:r>
      <w:r w:rsidR="00177848" w:rsidRPr="00C6052E">
        <w:t xml:space="preserve"> </w:t>
      </w:r>
      <w:r w:rsidRPr="00C6052E">
        <w:t>outputs:</w:t>
      </w:r>
    </w:p>
    <w:p w14:paraId="40EB11A7" w14:textId="7678134D" w:rsidR="00EE5BB8" w:rsidRPr="00C6052E" w:rsidRDefault="00EE5BB8" w:rsidP="00EE5BB8">
      <w:pPr>
        <w:pStyle w:val="Heading5"/>
        <w:numPr>
          <w:ilvl w:val="0"/>
          <w:numId w:val="0"/>
        </w:numPr>
      </w:pPr>
      <w:r w:rsidRPr="00C6052E">
        <w:t>Objective</w:t>
      </w:r>
      <w:r w:rsidR="00177848" w:rsidRPr="00C6052E">
        <w:t xml:space="preserve"> </w:t>
      </w:r>
      <w:r w:rsidRPr="00C6052E">
        <w:t>Indicators</w:t>
      </w:r>
    </w:p>
    <w:p w14:paraId="1510FB61" w14:textId="129AC9A1" w:rsidR="00EE5BB8" w:rsidRPr="00C6052E" w:rsidRDefault="00EE5BB8" w:rsidP="00EE5BB8">
      <w:pPr>
        <w:pStyle w:val="Bullet1"/>
        <w:numPr>
          <w:ilvl w:val="0"/>
          <w:numId w:val="1"/>
        </w:numPr>
        <w:spacing w:line="278" w:lineRule="auto"/>
        <w:ind w:left="284" w:hanging="284"/>
        <w:rPr>
          <w:lang w:val="en-AU"/>
        </w:rPr>
      </w:pPr>
      <w:r w:rsidRPr="00C6052E">
        <w:rPr>
          <w:lang w:val="en-AU"/>
        </w:rPr>
        <w:t>Jobs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secured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p>
    <w:p w14:paraId="47886532" w14:textId="5E2F0BD9" w:rsidR="00EE5BB8" w:rsidRPr="00C6052E" w:rsidRDefault="00EE5BB8" w:rsidP="00EE5BB8">
      <w:pPr>
        <w:pStyle w:val="Bullet1"/>
        <w:numPr>
          <w:ilvl w:val="0"/>
          <w:numId w:val="1"/>
        </w:numPr>
        <w:spacing w:line="278" w:lineRule="auto"/>
        <w:ind w:left="284" w:hanging="284"/>
        <w:rPr>
          <w:lang w:val="en-AU"/>
        </w:rPr>
      </w:pPr>
      <w:r w:rsidRPr="00C6052E">
        <w:rPr>
          <w:lang w:val="en-AU"/>
        </w:rPr>
        <w:t>Projects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activities</w:t>
      </w:r>
      <w:r w:rsidR="00177848" w:rsidRPr="00C6052E">
        <w:rPr>
          <w:lang w:val="en-AU"/>
        </w:rPr>
        <w:t xml:space="preserve"> </w:t>
      </w:r>
      <w:r w:rsidRPr="00C6052E">
        <w:rPr>
          <w:lang w:val="en-AU"/>
        </w:rPr>
        <w:t>delivered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community</w:t>
      </w:r>
      <w:r w:rsidR="00177848" w:rsidRPr="00C6052E">
        <w:rPr>
          <w:lang w:val="en-AU"/>
        </w:rPr>
        <w:t xml:space="preserve"> </w:t>
      </w:r>
      <w:r w:rsidRPr="00C6052E">
        <w:rPr>
          <w:lang w:val="en-AU"/>
        </w:rPr>
        <w:t>outcomes</w:t>
      </w:r>
    </w:p>
    <w:p w14:paraId="569F0867" w14:textId="5F07200C" w:rsidR="00EE5BB8" w:rsidRPr="00C6052E" w:rsidRDefault="00EE5BB8" w:rsidP="00EE5BB8">
      <w:pPr>
        <w:pStyle w:val="Bullet1"/>
        <w:numPr>
          <w:ilvl w:val="0"/>
          <w:numId w:val="1"/>
        </w:numPr>
        <w:spacing w:line="278" w:lineRule="auto"/>
        <w:ind w:left="284" w:hanging="284"/>
        <w:rPr>
          <w:lang w:val="en-AU"/>
        </w:rPr>
      </w:pPr>
      <w:r w:rsidRPr="00C6052E">
        <w:rPr>
          <w:lang w:val="en-AU"/>
        </w:rPr>
        <w:t>Sustainability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assessed</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stocks</w:t>
      </w:r>
    </w:p>
    <w:p w14:paraId="2E123E12" w14:textId="04A2B976" w:rsidR="00EE5BB8" w:rsidRPr="00C6052E" w:rsidRDefault="00EE5BB8" w:rsidP="00EE5BB8">
      <w:pPr>
        <w:pStyle w:val="Bullet1last"/>
        <w:numPr>
          <w:ilvl w:val="0"/>
          <w:numId w:val="1"/>
        </w:numPr>
        <w:spacing w:line="278" w:lineRule="auto"/>
        <w:ind w:left="284" w:hanging="284"/>
        <w:rPr>
          <w:lang w:val="en-AU"/>
        </w:rPr>
      </w:pPr>
      <w:r w:rsidRPr="00C6052E">
        <w:rPr>
          <w:lang w:val="en-AU"/>
        </w:rPr>
        <w:t>Improved</w:t>
      </w:r>
      <w:r w:rsidR="00177848" w:rsidRPr="00C6052E">
        <w:rPr>
          <w:lang w:val="en-AU"/>
        </w:rPr>
        <w:t xml:space="preserve"> </w:t>
      </w:r>
      <w:r w:rsidRPr="00C6052E">
        <w:rPr>
          <w:lang w:val="en-AU"/>
        </w:rPr>
        <w:t>recreational</w:t>
      </w:r>
      <w:r w:rsidR="00177848" w:rsidRPr="00C6052E">
        <w:rPr>
          <w:lang w:val="en-AU"/>
        </w:rPr>
        <w:t xml:space="preserve"> </w:t>
      </w:r>
      <w:r w:rsidRPr="00C6052E">
        <w:rPr>
          <w:lang w:val="en-AU"/>
        </w:rPr>
        <w:t>fishing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boating</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facilities</w:t>
      </w:r>
    </w:p>
    <w:p w14:paraId="0CE40C8A" w14:textId="77777777" w:rsidR="00EE5BB8" w:rsidRPr="00C6052E" w:rsidRDefault="00EE5BB8" w:rsidP="00EE5BB8">
      <w:pPr>
        <w:pStyle w:val="Heading5"/>
        <w:numPr>
          <w:ilvl w:val="0"/>
          <w:numId w:val="0"/>
        </w:numPr>
      </w:pPr>
      <w:r w:rsidRPr="00C6052E">
        <w:t>Outputs</w:t>
      </w:r>
    </w:p>
    <w:p w14:paraId="23C1AF00" w14:textId="105B34D3" w:rsidR="00EE5BB8" w:rsidRPr="00C6052E" w:rsidRDefault="00EE5BB8" w:rsidP="00EE5BB8">
      <w:pPr>
        <w:pStyle w:val="Bullet1"/>
        <w:numPr>
          <w:ilvl w:val="0"/>
          <w:numId w:val="1"/>
        </w:numPr>
        <w:spacing w:line="278" w:lineRule="auto"/>
        <w:ind w:left="284" w:hanging="284"/>
        <w:rPr>
          <w:lang w:val="en-AU"/>
        </w:rPr>
      </w:pPr>
      <w:r w:rsidRPr="00C6052E">
        <w:rPr>
          <w:lang w:val="en-AU"/>
        </w:rPr>
        <w:t>Fishing,</w:t>
      </w:r>
      <w:r w:rsidR="00177848" w:rsidRPr="00C6052E">
        <w:rPr>
          <w:lang w:val="en-AU"/>
        </w:rPr>
        <w:t xml:space="preserve"> </w:t>
      </w:r>
      <w:r w:rsidRPr="00C6052E">
        <w:rPr>
          <w:lang w:val="en-AU"/>
        </w:rPr>
        <w:t>Boating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Game</w:t>
      </w:r>
      <w:r w:rsidR="00177848" w:rsidRPr="00C6052E">
        <w:rPr>
          <w:lang w:val="en-AU"/>
        </w:rPr>
        <w:t xml:space="preserve"> </w:t>
      </w:r>
      <w:r w:rsidRPr="00C6052E">
        <w:rPr>
          <w:lang w:val="en-AU"/>
        </w:rPr>
        <w:t>Management</w:t>
      </w:r>
    </w:p>
    <w:p w14:paraId="58635490" w14:textId="07E71B33" w:rsidR="00EE5BB8" w:rsidRPr="00C6052E" w:rsidRDefault="00EE5BB8" w:rsidP="00EE5BB8">
      <w:pPr>
        <w:pStyle w:val="Bullet1last"/>
        <w:numPr>
          <w:ilvl w:val="0"/>
          <w:numId w:val="1"/>
        </w:numPr>
        <w:spacing w:line="278" w:lineRule="auto"/>
        <w:ind w:left="284" w:hanging="284"/>
        <w:rPr>
          <w:lang w:val="en-AU"/>
        </w:rPr>
      </w:pPr>
      <w:r w:rsidRPr="00C6052E">
        <w:rPr>
          <w:lang w:val="en-AU"/>
        </w:rPr>
        <w:t>Regional</w:t>
      </w:r>
      <w:r w:rsidR="00177848" w:rsidRPr="00C6052E">
        <w:rPr>
          <w:lang w:val="en-AU"/>
        </w:rPr>
        <w:t xml:space="preserve"> </w:t>
      </w:r>
      <w:r w:rsidRPr="00C6052E">
        <w:rPr>
          <w:lang w:val="en-AU"/>
        </w:rPr>
        <w:t>Development</w:t>
      </w:r>
    </w:p>
    <w:p w14:paraId="75AFEFAD" w14:textId="1B610A97" w:rsidR="00EE5BB8" w:rsidRPr="00C6052E" w:rsidRDefault="00EE5BB8" w:rsidP="00EE5BB8">
      <w:pPr>
        <w:pStyle w:val="Heading3"/>
      </w:pPr>
      <w:bookmarkStart w:id="22" w:name="_Toc152067222"/>
      <w:r w:rsidRPr="00C6052E">
        <w:lastRenderedPageBreak/>
        <w:t>Indicator:</w:t>
      </w:r>
      <w:r w:rsidR="00177848" w:rsidRPr="00C6052E">
        <w:t xml:space="preserve"> </w:t>
      </w:r>
      <w:r w:rsidRPr="00C6052E">
        <w:t>Jobs</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secured</w:t>
      </w:r>
      <w:r w:rsidR="00177848" w:rsidRPr="00C6052E">
        <w:t xml:space="preserve"> </w:t>
      </w:r>
      <w:r w:rsidRPr="00C6052E">
        <w:t>through</w:t>
      </w:r>
      <w:r w:rsidR="00177848" w:rsidRPr="00C6052E">
        <w:t xml:space="preserve"> </w:t>
      </w:r>
      <w:r w:rsidRPr="00C6052E">
        <w:t>Government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bookmarkEnd w:id="22"/>
    </w:p>
    <w:p w14:paraId="798AB81B" w14:textId="470D4075" w:rsidR="00EE5BB8" w:rsidRPr="00C6052E" w:rsidRDefault="00EE5BB8" w:rsidP="00EE5BB8">
      <w:pPr>
        <w:pStyle w:val="TableHeading"/>
      </w:pPr>
      <w:r w:rsidRPr="00C6052E">
        <w:t>Table</w:t>
      </w:r>
      <w:r w:rsidR="00177848" w:rsidRPr="00C6052E">
        <w:t xml:space="preserve"> </w:t>
      </w:r>
      <w:r w:rsidRPr="00C6052E">
        <w:t>10:</w:t>
      </w:r>
      <w:r w:rsidR="00177848" w:rsidRPr="00C6052E">
        <w:t xml:space="preserve"> </w:t>
      </w:r>
      <w:r w:rsidRPr="00C6052E">
        <w:t>Jobs</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secured</w:t>
      </w:r>
      <w:r w:rsidR="00177848" w:rsidRPr="00C6052E">
        <w:t xml:space="preserve"> </w:t>
      </w:r>
      <w:r w:rsidRPr="00C6052E">
        <w:t>through</w:t>
      </w:r>
      <w:r w:rsidR="00177848" w:rsidRPr="00C6052E">
        <w:t xml:space="preserve"> </w:t>
      </w:r>
      <w:r w:rsidRPr="00C6052E">
        <w:t>Government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p>
    <w:tbl>
      <w:tblPr>
        <w:tblStyle w:val="TableGrid"/>
        <w:tblW w:w="9634" w:type="dxa"/>
        <w:tblLayout w:type="fixed"/>
        <w:tblLook w:val="0620" w:firstRow="1" w:lastRow="0" w:firstColumn="0" w:lastColumn="0" w:noHBand="1" w:noVBand="1"/>
      </w:tblPr>
      <w:tblGrid>
        <w:gridCol w:w="5245"/>
        <w:gridCol w:w="1097"/>
        <w:gridCol w:w="1097"/>
        <w:gridCol w:w="1097"/>
        <w:gridCol w:w="1098"/>
      </w:tblGrid>
      <w:tr w:rsidR="00EE5BB8" w:rsidRPr="00C6052E" w14:paraId="419AE36B" w14:textId="77777777" w:rsidTr="0063097D">
        <w:tc>
          <w:tcPr>
            <w:tcW w:w="5245" w:type="dxa"/>
          </w:tcPr>
          <w:p w14:paraId="59C5D22D" w14:textId="5AD457D0" w:rsidR="00EE5BB8" w:rsidRPr="00C6052E" w:rsidRDefault="00EE5BB8" w:rsidP="0063097D">
            <w:pPr>
              <w:pStyle w:val="TableColumnHeading"/>
              <w:rPr>
                <w:lang w:val="en-AU"/>
              </w:rPr>
            </w:pPr>
            <w:bookmarkStart w:id="23" w:name="TableColumnHeadings_18"/>
            <w:bookmarkEnd w:id="23"/>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97" w:type="dxa"/>
          </w:tcPr>
          <w:p w14:paraId="151CF79E" w14:textId="77777777" w:rsidR="00EE5BB8" w:rsidRPr="00C6052E" w:rsidRDefault="00EE5BB8" w:rsidP="0063097D">
            <w:pPr>
              <w:pStyle w:val="TableColumnHeading"/>
              <w:jc w:val="right"/>
              <w:rPr>
                <w:lang w:val="en-AU"/>
              </w:rPr>
            </w:pPr>
            <w:r w:rsidRPr="00C6052E">
              <w:rPr>
                <w:lang w:val="en-AU"/>
              </w:rPr>
              <w:t>2021–22</w:t>
            </w:r>
          </w:p>
        </w:tc>
        <w:tc>
          <w:tcPr>
            <w:tcW w:w="1097" w:type="dxa"/>
          </w:tcPr>
          <w:p w14:paraId="13543820" w14:textId="77777777" w:rsidR="00EE5BB8" w:rsidRPr="00C6052E" w:rsidRDefault="00EE5BB8" w:rsidP="0063097D">
            <w:pPr>
              <w:pStyle w:val="TableColumnHeading"/>
              <w:jc w:val="right"/>
              <w:rPr>
                <w:lang w:val="en-AU"/>
              </w:rPr>
            </w:pPr>
            <w:r w:rsidRPr="00C6052E">
              <w:rPr>
                <w:lang w:val="en-AU"/>
              </w:rPr>
              <w:t>2022–23</w:t>
            </w:r>
          </w:p>
        </w:tc>
        <w:tc>
          <w:tcPr>
            <w:tcW w:w="1097" w:type="dxa"/>
          </w:tcPr>
          <w:p w14:paraId="20F9E14B" w14:textId="77777777" w:rsidR="00EE5BB8" w:rsidRPr="00C6052E" w:rsidRDefault="00EE5BB8" w:rsidP="0063097D">
            <w:pPr>
              <w:pStyle w:val="TableColumnHeading"/>
              <w:jc w:val="right"/>
              <w:rPr>
                <w:lang w:val="en-AU"/>
              </w:rPr>
            </w:pPr>
            <w:r w:rsidRPr="00C6052E">
              <w:rPr>
                <w:lang w:val="en-AU"/>
              </w:rPr>
              <w:t>2023–24</w:t>
            </w:r>
          </w:p>
        </w:tc>
        <w:tc>
          <w:tcPr>
            <w:tcW w:w="1098" w:type="dxa"/>
          </w:tcPr>
          <w:p w14:paraId="2D44C088"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499FCA60" w14:textId="77777777" w:rsidTr="0063097D">
        <w:tc>
          <w:tcPr>
            <w:tcW w:w="5245" w:type="dxa"/>
          </w:tcPr>
          <w:p w14:paraId="6E135AAF" w14:textId="2E136B35" w:rsidR="00EE5BB8" w:rsidRPr="00C6052E" w:rsidRDefault="00EE5BB8" w:rsidP="0063097D">
            <w:pPr>
              <w:pStyle w:val="TableCopy"/>
              <w:rPr>
                <w:lang w:val="en-AU"/>
              </w:rPr>
            </w:pPr>
            <w:r w:rsidRPr="00C6052E">
              <w:rPr>
                <w:lang w:val="en-AU"/>
              </w:rPr>
              <w:t>Jobs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resulting</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r w:rsidR="00177848" w:rsidRPr="00C6052E">
              <w:rPr>
                <w:lang w:val="en-AU"/>
              </w:rPr>
              <w:t xml:space="preserve"> </w:t>
            </w:r>
            <w:r w:rsidRPr="00C6052E">
              <w:rPr>
                <w:lang w:val="en-AU"/>
              </w:rPr>
              <w:t>(number)</w:t>
            </w:r>
          </w:p>
        </w:tc>
        <w:tc>
          <w:tcPr>
            <w:tcW w:w="1097" w:type="dxa"/>
          </w:tcPr>
          <w:p w14:paraId="778ACB1B" w14:textId="77777777" w:rsidR="00EE5BB8" w:rsidRPr="00C6052E" w:rsidRDefault="00EE5BB8" w:rsidP="0063097D">
            <w:pPr>
              <w:pStyle w:val="TableCopy"/>
              <w:jc w:val="right"/>
              <w:rPr>
                <w:lang w:val="en-AU"/>
              </w:rPr>
            </w:pPr>
            <w:r w:rsidRPr="00C6052E">
              <w:rPr>
                <w:lang w:val="en-AU"/>
              </w:rPr>
              <w:t>2,427</w:t>
            </w:r>
          </w:p>
        </w:tc>
        <w:tc>
          <w:tcPr>
            <w:tcW w:w="1097" w:type="dxa"/>
          </w:tcPr>
          <w:p w14:paraId="229EBB6E" w14:textId="77777777" w:rsidR="00EE5BB8" w:rsidRPr="00C6052E" w:rsidRDefault="00EE5BB8" w:rsidP="0063097D">
            <w:pPr>
              <w:pStyle w:val="TableCopy"/>
              <w:jc w:val="right"/>
              <w:rPr>
                <w:lang w:val="en-AU"/>
              </w:rPr>
            </w:pPr>
            <w:r w:rsidRPr="00C6052E">
              <w:rPr>
                <w:lang w:val="en-AU"/>
              </w:rPr>
              <w:t>1,017</w:t>
            </w:r>
          </w:p>
        </w:tc>
        <w:tc>
          <w:tcPr>
            <w:tcW w:w="1097" w:type="dxa"/>
          </w:tcPr>
          <w:p w14:paraId="3E891EBD" w14:textId="5C1019A7" w:rsidR="00EE5BB8" w:rsidRPr="00C6052E" w:rsidRDefault="00EE5BB8" w:rsidP="0063097D">
            <w:pPr>
              <w:pStyle w:val="TableCopy"/>
              <w:jc w:val="right"/>
              <w:rPr>
                <w:lang w:val="en-AU"/>
              </w:rPr>
            </w:pPr>
            <w:r w:rsidRPr="00C6052E">
              <w:rPr>
                <w:lang w:val="en-AU"/>
              </w:rPr>
              <w:t>1,554</w:t>
            </w:r>
            <w:r w:rsidR="00177848" w:rsidRPr="00C6052E">
              <w:rPr>
                <w:rFonts w:cs="Cambria"/>
                <w:lang w:val="en-AU"/>
              </w:rPr>
              <w:t xml:space="preserve"> </w:t>
            </w:r>
          </w:p>
        </w:tc>
        <w:tc>
          <w:tcPr>
            <w:tcW w:w="1098" w:type="dxa"/>
          </w:tcPr>
          <w:p w14:paraId="2D6CFFD8" w14:textId="77777777" w:rsidR="00EE5BB8" w:rsidRPr="00C6052E" w:rsidRDefault="00EE5BB8" w:rsidP="0063097D">
            <w:pPr>
              <w:pStyle w:val="TableCopy"/>
              <w:jc w:val="right"/>
              <w:rPr>
                <w:lang w:val="en-AU"/>
              </w:rPr>
            </w:pPr>
            <w:r w:rsidRPr="00C6052E">
              <w:rPr>
                <w:lang w:val="en-AU"/>
              </w:rPr>
              <w:t>428</w:t>
            </w:r>
          </w:p>
        </w:tc>
      </w:tr>
      <w:tr w:rsidR="00EE5BB8" w:rsidRPr="00C6052E" w14:paraId="56E5D3D5" w14:textId="77777777" w:rsidTr="0063097D">
        <w:tc>
          <w:tcPr>
            <w:tcW w:w="5245" w:type="dxa"/>
          </w:tcPr>
          <w:p w14:paraId="1223949A" w14:textId="180425DE" w:rsidR="00EE5BB8" w:rsidRPr="00C6052E" w:rsidRDefault="00EE5BB8" w:rsidP="0063097D">
            <w:pPr>
              <w:pStyle w:val="TableCopy"/>
              <w:rPr>
                <w:lang w:val="en-AU"/>
              </w:rPr>
            </w:pPr>
            <w:r w:rsidRPr="00C6052E">
              <w:rPr>
                <w:lang w:val="en-AU"/>
              </w:rPr>
              <w:t>New</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resulting</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r w:rsidR="00177848" w:rsidRPr="00C6052E">
              <w:rPr>
                <w:lang w:val="en-AU"/>
              </w:rPr>
              <w:t xml:space="preserve"> </w:t>
            </w:r>
            <w:r w:rsidRPr="00C6052E">
              <w:rPr>
                <w:lang w:val="en-AU"/>
              </w:rPr>
              <w:t>($</w:t>
            </w:r>
            <w:r w:rsidR="00177848" w:rsidRPr="00C6052E">
              <w:rPr>
                <w:lang w:val="en-AU"/>
              </w:rPr>
              <w:t xml:space="preserve"> </w:t>
            </w:r>
            <w:r w:rsidRPr="00C6052E">
              <w:rPr>
                <w:lang w:val="en-AU"/>
              </w:rPr>
              <w:t>million)</w:t>
            </w:r>
          </w:p>
        </w:tc>
        <w:tc>
          <w:tcPr>
            <w:tcW w:w="1097" w:type="dxa"/>
          </w:tcPr>
          <w:p w14:paraId="7A08959C" w14:textId="77777777" w:rsidR="00EE5BB8" w:rsidRPr="00C6052E" w:rsidRDefault="00EE5BB8" w:rsidP="0063097D">
            <w:pPr>
              <w:pStyle w:val="TableCopy"/>
              <w:jc w:val="right"/>
              <w:rPr>
                <w:lang w:val="en-AU"/>
              </w:rPr>
            </w:pPr>
            <w:r w:rsidRPr="00C6052E">
              <w:rPr>
                <w:lang w:val="en-AU"/>
              </w:rPr>
              <w:t>1,410</w:t>
            </w:r>
          </w:p>
        </w:tc>
        <w:tc>
          <w:tcPr>
            <w:tcW w:w="1097" w:type="dxa"/>
          </w:tcPr>
          <w:p w14:paraId="36606E52" w14:textId="77777777" w:rsidR="00EE5BB8" w:rsidRPr="00C6052E" w:rsidRDefault="00EE5BB8" w:rsidP="0063097D">
            <w:pPr>
              <w:pStyle w:val="TableCopy"/>
              <w:jc w:val="right"/>
              <w:rPr>
                <w:lang w:val="en-AU"/>
              </w:rPr>
            </w:pPr>
            <w:r w:rsidRPr="00C6052E">
              <w:rPr>
                <w:lang w:val="en-AU"/>
              </w:rPr>
              <w:t>682</w:t>
            </w:r>
          </w:p>
        </w:tc>
        <w:tc>
          <w:tcPr>
            <w:tcW w:w="1097" w:type="dxa"/>
          </w:tcPr>
          <w:p w14:paraId="2C7501F4" w14:textId="5717B4E7" w:rsidR="00EE5BB8" w:rsidRPr="00C6052E" w:rsidRDefault="00EE5BB8" w:rsidP="0063097D">
            <w:pPr>
              <w:pStyle w:val="TableCopy"/>
              <w:jc w:val="right"/>
              <w:rPr>
                <w:lang w:val="en-AU"/>
              </w:rPr>
            </w:pPr>
            <w:r w:rsidRPr="00C6052E">
              <w:rPr>
                <w:lang w:val="en-AU"/>
              </w:rPr>
              <w:t>598.4</w:t>
            </w:r>
            <w:r w:rsidR="00177848" w:rsidRPr="00C6052E">
              <w:rPr>
                <w:rFonts w:cs="Cambria"/>
                <w:lang w:val="en-AU"/>
              </w:rPr>
              <w:t xml:space="preserve"> </w:t>
            </w:r>
          </w:p>
        </w:tc>
        <w:tc>
          <w:tcPr>
            <w:tcW w:w="1098" w:type="dxa"/>
          </w:tcPr>
          <w:p w14:paraId="1FD8B008" w14:textId="77777777" w:rsidR="00EE5BB8" w:rsidRPr="00C6052E" w:rsidRDefault="00EE5BB8" w:rsidP="0063097D">
            <w:pPr>
              <w:pStyle w:val="TableCopy"/>
              <w:jc w:val="right"/>
              <w:rPr>
                <w:lang w:val="en-AU"/>
              </w:rPr>
            </w:pPr>
            <w:r w:rsidRPr="00C6052E">
              <w:rPr>
                <w:lang w:val="en-AU"/>
              </w:rPr>
              <w:t>403</w:t>
            </w:r>
          </w:p>
        </w:tc>
      </w:tr>
    </w:tbl>
    <w:p w14:paraId="49FC83AC" w14:textId="77777777" w:rsidR="00EE5BB8" w:rsidRPr="00C6052E" w:rsidRDefault="00EE5BB8" w:rsidP="00EE5BB8"/>
    <w:p w14:paraId="77542989" w14:textId="6F1F3BEA" w:rsidR="00EE5BB8" w:rsidRPr="00C6052E" w:rsidRDefault="00EE5BB8" w:rsidP="00EE5BB8">
      <w:pPr>
        <w:pStyle w:val="TableHeading"/>
      </w:pPr>
      <w:r w:rsidRPr="00C6052E">
        <w:t>Figure</w:t>
      </w:r>
      <w:r w:rsidR="00177848" w:rsidRPr="00C6052E">
        <w:t xml:space="preserve"> </w:t>
      </w:r>
      <w:r w:rsidRPr="00C6052E">
        <w:t>9:</w:t>
      </w:r>
      <w:r w:rsidR="00177848" w:rsidRPr="00C6052E">
        <w:t xml:space="preserve"> </w:t>
      </w:r>
      <w:r w:rsidRPr="00C6052E">
        <w:t>Jobs</w:t>
      </w:r>
      <w:r w:rsidR="00177848" w:rsidRPr="00C6052E">
        <w:t xml:space="preserve"> </w:t>
      </w:r>
      <w:r w:rsidRPr="00C6052E">
        <w:t>in</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resulting</w:t>
      </w:r>
      <w:r w:rsidR="00177848" w:rsidRPr="00C6052E">
        <w:t xml:space="preserve"> </w:t>
      </w:r>
      <w:r w:rsidRPr="00C6052E">
        <w:t>from</w:t>
      </w:r>
      <w:r w:rsidR="00177848" w:rsidRPr="00C6052E">
        <w:t xml:space="preserve"> </w:t>
      </w:r>
      <w:r w:rsidRPr="00C6052E">
        <w:t>government</w:t>
      </w:r>
      <w:r w:rsidR="00177848" w:rsidRPr="00C6052E">
        <w:t xml:space="preserve"> </w:t>
      </w:r>
      <w:r w:rsidRPr="00C6052E">
        <w:t>investment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p>
    <w:p w14:paraId="72CA549E" w14:textId="77777777" w:rsidR="00EE5BB8" w:rsidRPr="00C6052E" w:rsidRDefault="00EE5BB8" w:rsidP="00EE5BB8">
      <w:pPr>
        <w:pStyle w:val="Graph"/>
        <w:rPr>
          <w:noProof w:val="0"/>
        </w:rPr>
      </w:pPr>
      <w:r w:rsidRPr="00C6052E">
        <w:rPr>
          <w:sz w:val="16"/>
          <w:szCs w:val="16"/>
        </w:rPr>
        <w:drawing>
          <wp:inline distT="0" distB="0" distL="0" distR="0" wp14:anchorId="4FDDF59A" wp14:editId="1F5A2046">
            <wp:extent cx="4050000" cy="2700000"/>
            <wp:effectExtent l="0" t="0" r="0" b="0"/>
            <wp:docPr id="761270256" name="Chart 1" descr="Line graph showing data from Table 10: Jobs and investment secured through Government facilitation services and assistance (above).">
              <a:extLst xmlns:a="http://schemas.openxmlformats.org/drawingml/2006/main">
                <a:ext uri="{FF2B5EF4-FFF2-40B4-BE49-F238E27FC236}">
                  <a16:creationId xmlns:a16="http://schemas.microsoft.com/office/drawing/2014/main" id="{00000000-0008-0000-0600-00000A000000}"/>
                </a:ext>
                <a:ext uri="{147F2762-F138-4A5C-976F-8EAC2B608ADB}">
                  <a16:predDERef xmlns:a16="http://schemas.microsoft.com/office/drawing/2014/main" pred="{00000000-0008-0000-06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1D284F" w14:textId="00F2637B" w:rsidR="00EE5BB8" w:rsidRPr="00C6052E" w:rsidRDefault="00EE5BB8" w:rsidP="00EE5BB8">
      <w:pPr>
        <w:pStyle w:val="TableHeading"/>
      </w:pPr>
      <w:r w:rsidRPr="00C6052E">
        <w:t>Figure</w:t>
      </w:r>
      <w:r w:rsidR="00177848" w:rsidRPr="00C6052E">
        <w:t xml:space="preserve"> </w:t>
      </w:r>
      <w:r w:rsidRPr="00C6052E">
        <w:t>10:</w:t>
      </w:r>
      <w:r w:rsidR="00177848" w:rsidRPr="00C6052E">
        <w:t xml:space="preserve"> </w:t>
      </w:r>
      <w:r w:rsidRPr="00C6052E">
        <w:t>New</w:t>
      </w:r>
      <w:r w:rsidR="00177848" w:rsidRPr="00C6052E">
        <w:t xml:space="preserve"> </w:t>
      </w:r>
      <w:r w:rsidRPr="00C6052E">
        <w:t>investment</w:t>
      </w:r>
      <w:r w:rsidR="00177848" w:rsidRPr="00C6052E">
        <w:t xml:space="preserve"> </w:t>
      </w:r>
      <w:r w:rsidRPr="00C6052E">
        <w:t>in</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resulting</w:t>
      </w:r>
      <w:r w:rsidR="00177848" w:rsidRPr="00C6052E">
        <w:t xml:space="preserve"> </w:t>
      </w:r>
      <w:r w:rsidRPr="00C6052E">
        <w:t>from</w:t>
      </w:r>
      <w:r w:rsidR="00177848" w:rsidRPr="00C6052E">
        <w:t xml:space="preserve"> </w:t>
      </w:r>
      <w:r w:rsidRPr="00C6052E">
        <w:t>government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p>
    <w:p w14:paraId="14A042BB" w14:textId="77777777" w:rsidR="00EE5BB8" w:rsidRPr="00C6052E" w:rsidRDefault="00EE5BB8" w:rsidP="00EE5BB8">
      <w:pPr>
        <w:pStyle w:val="Graph"/>
        <w:rPr>
          <w:noProof w:val="0"/>
        </w:rPr>
      </w:pPr>
      <w:r w:rsidRPr="00C6052E">
        <w:drawing>
          <wp:inline distT="0" distB="0" distL="0" distR="0" wp14:anchorId="2E2CDCEC" wp14:editId="03DC1934">
            <wp:extent cx="4050000" cy="2700000"/>
            <wp:effectExtent l="0" t="0" r="0" b="0"/>
            <wp:docPr id="1800969893" name="Chart 1" descr="Line graph showing data from Table 10: Jobs and investment secured through Government facilitation services and assistance (above).">
              <a:extLst xmlns:a="http://schemas.openxmlformats.org/drawingml/2006/main">
                <a:ext uri="{FF2B5EF4-FFF2-40B4-BE49-F238E27FC236}">
                  <a16:creationId xmlns:a16="http://schemas.microsoft.com/office/drawing/2014/main" id="{00000000-0008-0000-06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2CC637" w14:textId="5803F204" w:rsidR="00EE5BB8" w:rsidRPr="00C6052E" w:rsidRDefault="00EE5BB8" w:rsidP="00EE5BB8">
      <w:r w:rsidRPr="00C6052E">
        <w:lastRenderedPageBreak/>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continued</w:t>
      </w:r>
      <w:r w:rsidR="00177848" w:rsidRPr="00C6052E">
        <w:t xml:space="preserve"> </w:t>
      </w:r>
      <w:r w:rsidRPr="00C6052E">
        <w:t>to</w:t>
      </w:r>
      <w:r w:rsidR="00177848" w:rsidRPr="00C6052E">
        <w:t xml:space="preserve"> </w:t>
      </w:r>
      <w:r w:rsidRPr="00C6052E">
        <w:t>secure</w:t>
      </w:r>
      <w:r w:rsidR="00177848" w:rsidRPr="00C6052E">
        <w:t xml:space="preserve"> </w:t>
      </w:r>
      <w:r w:rsidRPr="00C6052E">
        <w:t>jobs</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in</w:t>
      </w:r>
      <w:r w:rsidR="00177848" w:rsidRPr="00C6052E">
        <w:t xml:space="preserve"> </w:t>
      </w:r>
      <w:r w:rsidRPr="00C6052E">
        <w:t>rural</w:t>
      </w:r>
      <w:r w:rsidR="00177848" w:rsidRPr="00C6052E">
        <w:t xml:space="preserve"> </w:t>
      </w:r>
      <w:r w:rsidRPr="00C6052E">
        <w:t>and</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through</w:t>
      </w:r>
      <w:r w:rsidR="00177848" w:rsidRPr="00C6052E">
        <w:t xml:space="preserve"> </w:t>
      </w:r>
      <w:r w:rsidRPr="00C6052E">
        <w:t>government</w:t>
      </w:r>
      <w:r w:rsidR="00177848" w:rsidRPr="00C6052E">
        <w:t xml:space="preserve"> </w:t>
      </w:r>
      <w:r w:rsidRPr="00C6052E">
        <w:t>facilitation</w:t>
      </w:r>
      <w:r w:rsidR="00177848" w:rsidRPr="00C6052E">
        <w:t xml:space="preserve"> </w:t>
      </w:r>
      <w:r w:rsidRPr="00C6052E">
        <w:t>services</w:t>
      </w:r>
      <w:r w:rsidR="00177848" w:rsidRPr="00C6052E">
        <w:t xml:space="preserve"> </w:t>
      </w:r>
      <w:r w:rsidRPr="00C6052E">
        <w:t>and</w:t>
      </w:r>
      <w:r w:rsidR="00177848" w:rsidRPr="00C6052E">
        <w:t xml:space="preserve"> </w:t>
      </w:r>
      <w:r w:rsidRPr="00C6052E">
        <w:t>assistance.</w:t>
      </w:r>
      <w:r w:rsidR="00177848" w:rsidRPr="00C6052E">
        <w:t xml:space="preserve"> </w:t>
      </w:r>
    </w:p>
    <w:p w14:paraId="47BD145B" w14:textId="1401BC9F" w:rsidR="00EE5BB8" w:rsidRPr="00C6052E" w:rsidRDefault="00EE5BB8" w:rsidP="00EE5BB8">
      <w:pPr>
        <w:rPr>
          <w:spacing w:val="-2"/>
        </w:rPr>
      </w:pPr>
      <w:r w:rsidRPr="00C6052E">
        <w:rPr>
          <w:spacing w:val="-2"/>
        </w:rPr>
        <w:t>In</w:t>
      </w:r>
      <w:r w:rsidR="00177848" w:rsidRPr="00C6052E">
        <w:rPr>
          <w:spacing w:val="-2"/>
        </w:rPr>
        <w:t xml:space="preserve"> </w:t>
      </w:r>
      <w:r w:rsidRPr="00C6052E">
        <w:rPr>
          <w:spacing w:val="-2"/>
        </w:rPr>
        <w:t>2024–25,</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department</w:t>
      </w:r>
      <w:r w:rsidR="00177848" w:rsidRPr="00C6052E">
        <w:rPr>
          <w:spacing w:val="-2"/>
        </w:rPr>
        <w:t xml:space="preserve"> </w:t>
      </w:r>
      <w:r w:rsidRPr="00C6052E">
        <w:rPr>
          <w:spacing w:val="-2"/>
        </w:rPr>
        <w:t>facilitated</w:t>
      </w:r>
      <w:r w:rsidR="00177848" w:rsidRPr="00C6052E">
        <w:rPr>
          <w:spacing w:val="-2"/>
        </w:rPr>
        <w:t xml:space="preserve"> </w:t>
      </w:r>
      <w:r w:rsidRPr="00C6052E">
        <w:rPr>
          <w:spacing w:val="-2"/>
        </w:rPr>
        <w:t>creation</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428</w:t>
      </w:r>
      <w:r w:rsidR="00177848" w:rsidRPr="00C6052E">
        <w:rPr>
          <w:spacing w:val="-2"/>
        </w:rPr>
        <w:t xml:space="preserve"> </w:t>
      </w:r>
      <w:r w:rsidRPr="00C6052E">
        <w:rPr>
          <w:spacing w:val="-2"/>
        </w:rPr>
        <w:t>jobs</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regional</w:t>
      </w:r>
      <w:r w:rsidR="00177848" w:rsidRPr="00C6052E">
        <w:rPr>
          <w:spacing w:val="-2"/>
        </w:rPr>
        <w:t xml:space="preserve"> </w:t>
      </w:r>
      <w:r w:rsidRPr="00C6052E">
        <w:rPr>
          <w:spacing w:val="-2"/>
        </w:rPr>
        <w:t>Victoria.</w:t>
      </w:r>
      <w:r w:rsidR="00177848" w:rsidRPr="00C6052E">
        <w:rPr>
          <w:spacing w:val="-2"/>
        </w:rPr>
        <w:t xml:space="preserve"> </w:t>
      </w:r>
      <w:r w:rsidRPr="00C6052E">
        <w:rPr>
          <w:spacing w:val="-2"/>
        </w:rPr>
        <w:t>This</w:t>
      </w:r>
      <w:r w:rsidR="00177848" w:rsidRPr="00C6052E">
        <w:rPr>
          <w:spacing w:val="-2"/>
        </w:rPr>
        <w:t xml:space="preserve"> </w:t>
      </w:r>
      <w:r w:rsidRPr="00C6052E">
        <w:rPr>
          <w:spacing w:val="-2"/>
        </w:rPr>
        <w:t>was</w:t>
      </w:r>
      <w:r w:rsidR="00177848" w:rsidRPr="00C6052E">
        <w:rPr>
          <w:spacing w:val="-2"/>
        </w:rPr>
        <w:t xml:space="preserve"> </w:t>
      </w:r>
      <w:r w:rsidRPr="00C6052E">
        <w:rPr>
          <w:spacing w:val="-2"/>
        </w:rPr>
        <w:t>mostly</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result</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a</w:t>
      </w:r>
      <w:r w:rsidR="00177848" w:rsidRPr="00C6052E">
        <w:rPr>
          <w:spacing w:val="-2"/>
        </w:rPr>
        <w:t xml:space="preserve"> </w:t>
      </w:r>
      <w:r w:rsidRPr="00C6052E">
        <w:rPr>
          <w:spacing w:val="-2"/>
        </w:rPr>
        <w:t>larger-than-anticipated</w:t>
      </w:r>
      <w:r w:rsidR="00177848" w:rsidRPr="00C6052E">
        <w:rPr>
          <w:spacing w:val="-2"/>
        </w:rPr>
        <w:t xml:space="preserve"> </w:t>
      </w:r>
      <w:r w:rsidRPr="00C6052E">
        <w:rPr>
          <w:spacing w:val="-2"/>
        </w:rPr>
        <w:t>number</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jobs</w:t>
      </w:r>
      <w:r w:rsidR="00177848" w:rsidRPr="00C6052E">
        <w:rPr>
          <w:spacing w:val="-2"/>
        </w:rPr>
        <w:t xml:space="preserve"> </w:t>
      </w:r>
      <w:r w:rsidRPr="00C6052E">
        <w:rPr>
          <w:spacing w:val="-2"/>
        </w:rPr>
        <w:t>created</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regional</w:t>
      </w:r>
      <w:r w:rsidR="00177848" w:rsidRPr="00C6052E">
        <w:rPr>
          <w:spacing w:val="-2"/>
        </w:rPr>
        <w:t xml:space="preserve"> </w:t>
      </w:r>
      <w:r w:rsidRPr="00C6052E">
        <w:rPr>
          <w:spacing w:val="-2"/>
        </w:rPr>
        <w:t>Victoria</w:t>
      </w:r>
      <w:r w:rsidR="00177848" w:rsidRPr="00C6052E">
        <w:rPr>
          <w:spacing w:val="-2"/>
        </w:rPr>
        <w:t xml:space="preserve"> </w:t>
      </w:r>
      <w:r w:rsidRPr="00C6052E">
        <w:rPr>
          <w:spacing w:val="-2"/>
        </w:rPr>
        <w:t>through</w:t>
      </w:r>
      <w:r w:rsidR="00177848" w:rsidRPr="00C6052E">
        <w:rPr>
          <w:spacing w:val="-2"/>
        </w:rPr>
        <w:t xml:space="preserve"> </w:t>
      </w:r>
      <w:r w:rsidRPr="00C6052E">
        <w:rPr>
          <w:spacing w:val="-2"/>
        </w:rPr>
        <w:t>programs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facilitation</w:t>
      </w:r>
      <w:r w:rsidR="00177848" w:rsidRPr="00C6052E">
        <w:rPr>
          <w:spacing w:val="-2"/>
        </w:rPr>
        <w:t xml:space="preserve"> </w:t>
      </w:r>
      <w:r w:rsidRPr="00C6052E">
        <w:rPr>
          <w:spacing w:val="-2"/>
        </w:rPr>
        <w:t>across</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department.</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2024–25</w:t>
      </w:r>
      <w:r w:rsidR="00177848" w:rsidRPr="00C6052E">
        <w:rPr>
          <w:spacing w:val="-2"/>
        </w:rPr>
        <w:t xml:space="preserve"> </w:t>
      </w:r>
      <w:r w:rsidRPr="00C6052E">
        <w:rPr>
          <w:spacing w:val="-2"/>
        </w:rPr>
        <w:t>outcome</w:t>
      </w:r>
      <w:r w:rsidR="00177848" w:rsidRPr="00C6052E">
        <w:rPr>
          <w:spacing w:val="-2"/>
        </w:rPr>
        <w:t xml:space="preserve"> </w:t>
      </w:r>
      <w:r w:rsidRPr="00C6052E">
        <w:rPr>
          <w:spacing w:val="-2"/>
        </w:rPr>
        <w:t>was</w:t>
      </w:r>
      <w:r w:rsidR="00177848" w:rsidRPr="00C6052E">
        <w:rPr>
          <w:spacing w:val="-2"/>
        </w:rPr>
        <w:t xml:space="preserve"> </w:t>
      </w:r>
      <w:r w:rsidRPr="00C6052E">
        <w:rPr>
          <w:spacing w:val="-2"/>
        </w:rPr>
        <w:t>a</w:t>
      </w:r>
      <w:r w:rsidR="00177848" w:rsidRPr="00C6052E">
        <w:rPr>
          <w:spacing w:val="-2"/>
        </w:rPr>
        <w:t xml:space="preserve"> </w:t>
      </w:r>
      <w:r w:rsidRPr="00C6052E">
        <w:rPr>
          <w:spacing w:val="-2"/>
        </w:rPr>
        <w:t>reduction</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72%</w:t>
      </w:r>
      <w:r w:rsidR="00177848" w:rsidRPr="00C6052E">
        <w:rPr>
          <w:spacing w:val="-2"/>
        </w:rPr>
        <w:t xml:space="preserve"> </w:t>
      </w:r>
      <w:r w:rsidRPr="00C6052E">
        <w:rPr>
          <w:spacing w:val="-2"/>
        </w:rPr>
        <w:t>against</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2023–24</w:t>
      </w:r>
      <w:r w:rsidR="00177848" w:rsidRPr="00C6052E">
        <w:rPr>
          <w:spacing w:val="-2"/>
        </w:rPr>
        <w:t xml:space="preserve"> </w:t>
      </w:r>
      <w:r w:rsidRPr="00C6052E">
        <w:rPr>
          <w:spacing w:val="-2"/>
        </w:rPr>
        <w:t>outcome</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1,554.</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number</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new</w:t>
      </w:r>
      <w:r w:rsidR="00177848" w:rsidRPr="00C6052E">
        <w:rPr>
          <w:spacing w:val="-2"/>
        </w:rPr>
        <w:t xml:space="preserve"> </w:t>
      </w:r>
      <w:r w:rsidRPr="00C6052E">
        <w:rPr>
          <w:spacing w:val="-2"/>
        </w:rPr>
        <w:t>jobs</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regional</w:t>
      </w:r>
      <w:r w:rsidR="00177848" w:rsidRPr="00C6052E">
        <w:rPr>
          <w:spacing w:val="-2"/>
        </w:rPr>
        <w:t xml:space="preserve"> </w:t>
      </w:r>
      <w:r w:rsidRPr="00C6052E">
        <w:rPr>
          <w:spacing w:val="-2"/>
        </w:rPr>
        <w:t>Victoria</w:t>
      </w:r>
      <w:r w:rsidR="00177848" w:rsidRPr="00C6052E">
        <w:rPr>
          <w:spacing w:val="-2"/>
        </w:rPr>
        <w:t xml:space="preserve"> </w:t>
      </w:r>
      <w:r w:rsidRPr="00C6052E">
        <w:rPr>
          <w:spacing w:val="-2"/>
        </w:rPr>
        <w:t>facilitated</w:t>
      </w:r>
      <w:r w:rsidR="00177848" w:rsidRPr="00C6052E">
        <w:rPr>
          <w:spacing w:val="-2"/>
        </w:rPr>
        <w:t xml:space="preserve"> </w:t>
      </w:r>
      <w:r w:rsidRPr="00C6052E">
        <w:rPr>
          <w:spacing w:val="-2"/>
        </w:rPr>
        <w:t>by</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department</w:t>
      </w:r>
      <w:r w:rsidR="00177848" w:rsidRPr="00C6052E">
        <w:rPr>
          <w:spacing w:val="-2"/>
        </w:rPr>
        <w:t xml:space="preserve"> </w:t>
      </w:r>
      <w:r w:rsidRPr="00C6052E">
        <w:rPr>
          <w:spacing w:val="-2"/>
        </w:rPr>
        <w:t>each</w:t>
      </w:r>
      <w:r w:rsidR="00177848" w:rsidRPr="00C6052E">
        <w:rPr>
          <w:spacing w:val="-2"/>
        </w:rPr>
        <w:t xml:space="preserve"> </w:t>
      </w:r>
      <w:r w:rsidRPr="00C6052E">
        <w:rPr>
          <w:spacing w:val="-2"/>
        </w:rPr>
        <w:t>year</w:t>
      </w:r>
      <w:r w:rsidR="00177848" w:rsidRPr="00C6052E">
        <w:rPr>
          <w:spacing w:val="-2"/>
        </w:rPr>
        <w:t xml:space="preserve"> </w:t>
      </w:r>
      <w:r w:rsidRPr="00C6052E">
        <w:rPr>
          <w:spacing w:val="-2"/>
        </w:rPr>
        <w:t>is</w:t>
      </w:r>
      <w:r w:rsidR="00177848" w:rsidRPr="00C6052E">
        <w:rPr>
          <w:spacing w:val="-2"/>
        </w:rPr>
        <w:t xml:space="preserve"> </w:t>
      </w:r>
      <w:r w:rsidRPr="00C6052E">
        <w:rPr>
          <w:spacing w:val="-2"/>
        </w:rPr>
        <w:t>highly</w:t>
      </w:r>
      <w:r w:rsidR="00177848" w:rsidRPr="00C6052E">
        <w:rPr>
          <w:spacing w:val="-2"/>
        </w:rPr>
        <w:t xml:space="preserve"> </w:t>
      </w:r>
      <w:r w:rsidRPr="00C6052E">
        <w:rPr>
          <w:spacing w:val="-2"/>
        </w:rPr>
        <w:t>dependent</w:t>
      </w:r>
      <w:r w:rsidR="00177848" w:rsidRPr="00C6052E">
        <w:rPr>
          <w:spacing w:val="-2"/>
        </w:rPr>
        <w:t xml:space="preserve"> </w:t>
      </w:r>
      <w:r w:rsidRPr="00C6052E">
        <w:rPr>
          <w:spacing w:val="-2"/>
        </w:rPr>
        <w:t>on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number</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projects,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scope</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nature</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programs</w:t>
      </w:r>
      <w:r w:rsidR="00177848" w:rsidRPr="00C6052E">
        <w:rPr>
          <w:spacing w:val="-2"/>
        </w:rPr>
        <w:t xml:space="preserve"> </w:t>
      </w:r>
      <w:r w:rsidRPr="00C6052E">
        <w:rPr>
          <w:spacing w:val="-2"/>
        </w:rPr>
        <w:t>that</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department</w:t>
      </w:r>
      <w:r w:rsidR="00177848" w:rsidRPr="00C6052E">
        <w:rPr>
          <w:spacing w:val="-2"/>
        </w:rPr>
        <w:t xml:space="preserve"> </w:t>
      </w:r>
      <w:r w:rsidRPr="00C6052E">
        <w:rPr>
          <w:spacing w:val="-2"/>
        </w:rPr>
        <w:t>is</w:t>
      </w:r>
      <w:r w:rsidR="00177848" w:rsidRPr="00C6052E">
        <w:rPr>
          <w:spacing w:val="-2"/>
        </w:rPr>
        <w:t xml:space="preserve"> </w:t>
      </w:r>
      <w:r w:rsidRPr="00C6052E">
        <w:rPr>
          <w:spacing w:val="-2"/>
        </w:rPr>
        <w:t>tasked</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deliver</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that</w:t>
      </w:r>
      <w:r w:rsidR="00177848" w:rsidRPr="00C6052E">
        <w:rPr>
          <w:spacing w:val="-2"/>
        </w:rPr>
        <w:t xml:space="preserve"> </w:t>
      </w:r>
      <w:r w:rsidRPr="00C6052E">
        <w:rPr>
          <w:spacing w:val="-2"/>
        </w:rPr>
        <w:t>financial</w:t>
      </w:r>
      <w:r w:rsidR="00177848" w:rsidRPr="00C6052E">
        <w:rPr>
          <w:spacing w:val="-2"/>
        </w:rPr>
        <w:t xml:space="preserve"> </w:t>
      </w:r>
      <w:r w:rsidRPr="00C6052E">
        <w:rPr>
          <w:spacing w:val="-2"/>
        </w:rPr>
        <w:t>year.</w:t>
      </w:r>
      <w:r w:rsidR="00177848" w:rsidRPr="00C6052E">
        <w:rPr>
          <w:spacing w:val="-2"/>
        </w:rPr>
        <w:t xml:space="preserve"> </w:t>
      </w:r>
    </w:p>
    <w:p w14:paraId="3BC2C1DF" w14:textId="65AFC2B5" w:rsidR="00EE5BB8" w:rsidRPr="00C6052E" w:rsidRDefault="00EE5BB8" w:rsidP="00EE5BB8">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facilitated</w:t>
      </w:r>
      <w:r w:rsidR="00177848" w:rsidRPr="00C6052E">
        <w:t xml:space="preserve"> </w:t>
      </w:r>
      <w:r w:rsidRPr="00C6052E">
        <w:t>$403</w:t>
      </w:r>
      <w:r w:rsidR="00177848" w:rsidRPr="00C6052E">
        <w:t xml:space="preserve"> </w:t>
      </w:r>
      <w:r w:rsidRPr="00C6052E">
        <w:t>million</w:t>
      </w:r>
      <w:r w:rsidR="00177848" w:rsidRPr="00C6052E">
        <w:t xml:space="preserve"> </w:t>
      </w:r>
      <w:r w:rsidRPr="00C6052E">
        <w:t>of</w:t>
      </w:r>
      <w:r w:rsidR="00177848" w:rsidRPr="00C6052E">
        <w:t xml:space="preserve"> </w:t>
      </w:r>
      <w:r w:rsidRPr="00C6052E">
        <w:t>new</w:t>
      </w:r>
      <w:r w:rsidR="00177848" w:rsidRPr="00C6052E">
        <w:t xml:space="preserve"> </w:t>
      </w:r>
      <w:r w:rsidRPr="00C6052E">
        <w:t>investment</w:t>
      </w:r>
      <w:r w:rsidR="00177848" w:rsidRPr="00C6052E">
        <w:t xml:space="preserve"> </w:t>
      </w:r>
      <w:r w:rsidRPr="00C6052E">
        <w:t>in</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This</w:t>
      </w:r>
      <w:r w:rsidR="00177848" w:rsidRPr="00C6052E">
        <w:t xml:space="preserve"> </w:t>
      </w:r>
      <w:r w:rsidRPr="00C6052E">
        <w:t>was</w:t>
      </w:r>
      <w:r w:rsidR="00177848" w:rsidRPr="00C6052E">
        <w:t xml:space="preserve"> </w:t>
      </w:r>
      <w:r w:rsidRPr="00C6052E">
        <w:t>mostly</w:t>
      </w:r>
      <w:r w:rsidR="00177848" w:rsidRPr="00C6052E">
        <w:t xml:space="preserve"> </w:t>
      </w:r>
      <w:r w:rsidRPr="00C6052E">
        <w:t>due</w:t>
      </w:r>
      <w:r w:rsidR="00177848" w:rsidRPr="00C6052E">
        <w:t xml:space="preserve"> </w:t>
      </w:r>
      <w:r w:rsidRPr="00C6052E">
        <w:t>to</w:t>
      </w:r>
      <w:r w:rsidR="00177848" w:rsidRPr="00C6052E">
        <w:t xml:space="preserve"> </w:t>
      </w:r>
      <w:r w:rsidRPr="00C6052E">
        <w:t>larger</w:t>
      </w:r>
      <w:r w:rsidR="00177848" w:rsidRPr="00C6052E">
        <w:t xml:space="preserve"> </w:t>
      </w:r>
      <w:r w:rsidRPr="00C6052E">
        <w:t>than</w:t>
      </w:r>
      <w:r w:rsidR="00177848" w:rsidRPr="00C6052E">
        <w:t xml:space="preserve"> </w:t>
      </w:r>
      <w:r w:rsidRPr="00C6052E">
        <w:t>anticipated</w:t>
      </w:r>
      <w:r w:rsidR="00177848" w:rsidRPr="00C6052E">
        <w:t xml:space="preserve"> </w:t>
      </w:r>
      <w:r w:rsidRPr="00C6052E">
        <w:t>capital</w:t>
      </w:r>
      <w:r w:rsidR="00177848" w:rsidRPr="00C6052E">
        <w:t xml:space="preserve"> </w:t>
      </w:r>
      <w:r w:rsidRPr="00C6052E">
        <w:t>investment</w:t>
      </w:r>
      <w:r w:rsidR="00177848" w:rsidRPr="00C6052E">
        <w:t xml:space="preserve"> </w:t>
      </w:r>
      <w:r w:rsidRPr="00C6052E">
        <w:t>in</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through</w:t>
      </w:r>
      <w:r w:rsidR="00177848" w:rsidRPr="00C6052E">
        <w:t xml:space="preserve"> </w:t>
      </w:r>
      <w:r w:rsidRPr="00C6052E">
        <w:t>programs</w:t>
      </w:r>
      <w:r w:rsidR="00177848" w:rsidRPr="00C6052E">
        <w:t xml:space="preserve"> </w:t>
      </w:r>
      <w:r w:rsidRPr="00C6052E">
        <w:t>and</w:t>
      </w:r>
      <w:r w:rsidR="00177848" w:rsidRPr="00C6052E">
        <w:t xml:space="preserve"> </w:t>
      </w:r>
      <w:r w:rsidRPr="00C6052E">
        <w:t>facilitation</w:t>
      </w:r>
      <w:r w:rsidR="00177848" w:rsidRPr="00C6052E">
        <w:t xml:space="preserve"> </w:t>
      </w:r>
      <w:r w:rsidRPr="00C6052E">
        <w:t>across</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The</w:t>
      </w:r>
      <w:r w:rsidR="00177848" w:rsidRPr="00C6052E">
        <w:t xml:space="preserve"> </w:t>
      </w:r>
      <w:r w:rsidRPr="00C6052E">
        <w:t>2024–25</w:t>
      </w:r>
      <w:r w:rsidR="00177848" w:rsidRPr="00C6052E">
        <w:t xml:space="preserve"> </w:t>
      </w:r>
      <w:r w:rsidRPr="00C6052E">
        <w:t>outcome</w:t>
      </w:r>
      <w:r w:rsidR="00177848" w:rsidRPr="00C6052E">
        <w:t xml:space="preserve"> </w:t>
      </w:r>
      <w:r w:rsidRPr="00C6052E">
        <w:t>was</w:t>
      </w:r>
      <w:r w:rsidR="00177848" w:rsidRPr="00C6052E">
        <w:t xml:space="preserve"> </w:t>
      </w:r>
      <w:r w:rsidRPr="00C6052E">
        <w:t>a</w:t>
      </w:r>
      <w:r w:rsidR="00177848" w:rsidRPr="00C6052E">
        <w:t xml:space="preserve"> </w:t>
      </w:r>
      <w:r w:rsidRPr="00C6052E">
        <w:t>reduction</w:t>
      </w:r>
      <w:r w:rsidR="00177848" w:rsidRPr="00C6052E">
        <w:t xml:space="preserve"> </w:t>
      </w:r>
      <w:r w:rsidRPr="00C6052E">
        <w:t>of</w:t>
      </w:r>
      <w:r w:rsidR="00177848" w:rsidRPr="00C6052E">
        <w:t xml:space="preserve"> </w:t>
      </w:r>
      <w:r w:rsidRPr="00C6052E">
        <w:t>33%</w:t>
      </w:r>
      <w:r w:rsidR="00177848" w:rsidRPr="00C6052E">
        <w:t xml:space="preserve"> </w:t>
      </w:r>
      <w:r w:rsidRPr="00C6052E">
        <w:t>against</w:t>
      </w:r>
      <w:r w:rsidR="00177848" w:rsidRPr="00C6052E">
        <w:t xml:space="preserve"> </w:t>
      </w:r>
      <w:r w:rsidRPr="00C6052E">
        <w:t>the</w:t>
      </w:r>
      <w:r w:rsidR="00177848" w:rsidRPr="00C6052E">
        <w:t xml:space="preserve"> </w:t>
      </w:r>
      <w:r w:rsidRPr="00C6052E">
        <w:t>2023–24</w:t>
      </w:r>
      <w:r w:rsidR="00177848" w:rsidRPr="00C6052E">
        <w:t xml:space="preserve"> </w:t>
      </w:r>
      <w:r w:rsidRPr="00C6052E">
        <w:t>outcome</w:t>
      </w:r>
      <w:r w:rsidR="00177848" w:rsidRPr="00C6052E">
        <w:t xml:space="preserve"> </w:t>
      </w:r>
      <w:r w:rsidRPr="00C6052E">
        <w:t>of</w:t>
      </w:r>
      <w:r w:rsidR="00177848" w:rsidRPr="00C6052E">
        <w:t xml:space="preserve"> </w:t>
      </w:r>
      <w:r w:rsidRPr="00C6052E">
        <w:t>$598.4</w:t>
      </w:r>
      <w:r w:rsidR="00177848" w:rsidRPr="00C6052E">
        <w:t xml:space="preserve"> </w:t>
      </w:r>
      <w:r w:rsidRPr="00C6052E">
        <w:t>million.</w:t>
      </w:r>
      <w:r w:rsidR="00177848" w:rsidRPr="00C6052E">
        <w:t xml:space="preserve"> </w:t>
      </w:r>
      <w:r w:rsidRPr="00C6052E">
        <w:t>The</w:t>
      </w:r>
      <w:r w:rsidR="00177848" w:rsidRPr="00C6052E">
        <w:t xml:space="preserve"> </w:t>
      </w:r>
      <w:r w:rsidRPr="00C6052E">
        <w:t>amount</w:t>
      </w:r>
      <w:r w:rsidR="00177848" w:rsidRPr="00C6052E">
        <w:t xml:space="preserve"> </w:t>
      </w:r>
      <w:r w:rsidRPr="00C6052E">
        <w:t>of</w:t>
      </w:r>
      <w:r w:rsidR="00177848" w:rsidRPr="00C6052E">
        <w:t xml:space="preserve"> </w:t>
      </w:r>
      <w:r w:rsidRPr="00C6052E">
        <w:t>investment</w:t>
      </w:r>
      <w:r w:rsidR="00177848" w:rsidRPr="00C6052E">
        <w:t xml:space="preserve"> </w:t>
      </w:r>
      <w:r w:rsidRPr="00C6052E">
        <w:t>that</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facilitates</w:t>
      </w:r>
      <w:r w:rsidR="00177848" w:rsidRPr="00C6052E">
        <w:t xml:space="preserve"> </w:t>
      </w:r>
      <w:r w:rsidRPr="00C6052E">
        <w:t>each</w:t>
      </w:r>
      <w:r w:rsidR="00177848" w:rsidRPr="00C6052E">
        <w:t xml:space="preserve"> </w:t>
      </w:r>
      <w:r w:rsidRPr="00C6052E">
        <w:t>year</w:t>
      </w:r>
      <w:r w:rsidR="00177848" w:rsidRPr="00C6052E">
        <w:t xml:space="preserve"> </w:t>
      </w:r>
      <w:r w:rsidRPr="00C6052E">
        <w:t>is</w:t>
      </w:r>
      <w:r w:rsidR="00177848" w:rsidRPr="00C6052E">
        <w:t xml:space="preserve"> </w:t>
      </w:r>
      <w:r w:rsidRPr="00C6052E">
        <w:t>impacted</w:t>
      </w:r>
      <w:r w:rsidR="00177848" w:rsidRPr="00C6052E">
        <w:t xml:space="preserve"> </w:t>
      </w:r>
      <w:r w:rsidRPr="00C6052E">
        <w:t>by</w:t>
      </w:r>
      <w:r w:rsidR="00177848" w:rsidRPr="00C6052E">
        <w:t xml:space="preserve"> </w:t>
      </w:r>
      <w:r w:rsidRPr="00C6052E">
        <w:t>the</w:t>
      </w:r>
      <w:r w:rsidR="00177848" w:rsidRPr="00C6052E">
        <w:t xml:space="preserve"> </w:t>
      </w:r>
      <w:r w:rsidRPr="00C6052E">
        <w:t>scope</w:t>
      </w:r>
      <w:r w:rsidR="00177848" w:rsidRPr="00C6052E">
        <w:t xml:space="preserve"> </w:t>
      </w:r>
      <w:r w:rsidRPr="00C6052E">
        <w:t>and</w:t>
      </w:r>
      <w:r w:rsidR="00177848" w:rsidRPr="00C6052E">
        <w:t xml:space="preserve"> </w:t>
      </w:r>
      <w:r w:rsidRPr="00C6052E">
        <w:t>nature</w:t>
      </w:r>
      <w:r w:rsidR="00177848" w:rsidRPr="00C6052E">
        <w:t xml:space="preserve"> </w:t>
      </w:r>
      <w:r w:rsidRPr="00C6052E">
        <w:t>of</w:t>
      </w:r>
      <w:r w:rsidR="00177848" w:rsidRPr="00C6052E">
        <w:t xml:space="preserve"> </w:t>
      </w:r>
      <w:r w:rsidRPr="00C6052E">
        <w:t>programs</w:t>
      </w:r>
      <w:r w:rsidR="00177848" w:rsidRPr="00C6052E">
        <w:t xml:space="preserve"> </w:t>
      </w:r>
      <w:r w:rsidRPr="00C6052E">
        <w:t>it</w:t>
      </w:r>
      <w:r w:rsidR="00177848" w:rsidRPr="00C6052E">
        <w:t xml:space="preserve"> </w:t>
      </w:r>
      <w:r w:rsidRPr="00C6052E">
        <w:t>is</w:t>
      </w:r>
      <w:r w:rsidR="00177848" w:rsidRPr="00C6052E">
        <w:t xml:space="preserve"> </w:t>
      </w:r>
      <w:r w:rsidRPr="00C6052E">
        <w:t>set</w:t>
      </w:r>
      <w:r w:rsidR="00177848" w:rsidRPr="00C6052E">
        <w:t xml:space="preserve"> </w:t>
      </w:r>
      <w:r w:rsidRPr="00C6052E">
        <w:t>to</w:t>
      </w:r>
      <w:r w:rsidR="00177848" w:rsidRPr="00C6052E">
        <w:t xml:space="preserve"> </w:t>
      </w:r>
      <w:r w:rsidRPr="00C6052E">
        <w:t>deliver.</w:t>
      </w:r>
      <w:r w:rsidR="00177848" w:rsidRPr="00C6052E">
        <w:t xml:space="preserve"> </w:t>
      </w:r>
      <w:r w:rsidRPr="00C6052E">
        <w:t>Investment</w:t>
      </w:r>
      <w:r w:rsidR="00177848" w:rsidRPr="00C6052E">
        <w:t xml:space="preserve"> </w:t>
      </w:r>
      <w:r w:rsidRPr="00C6052E">
        <w:t>facilitation</w:t>
      </w:r>
      <w:r w:rsidR="00177848" w:rsidRPr="00C6052E">
        <w:t xml:space="preserve"> </w:t>
      </w:r>
      <w:r w:rsidRPr="00C6052E">
        <w:t>is</w:t>
      </w:r>
      <w:r w:rsidR="00177848" w:rsidRPr="00C6052E">
        <w:t xml:space="preserve"> </w:t>
      </w:r>
      <w:r w:rsidRPr="00C6052E">
        <w:t>particularly</w:t>
      </w:r>
      <w:r w:rsidR="00177848" w:rsidRPr="00C6052E">
        <w:t xml:space="preserve"> </w:t>
      </w:r>
      <w:r w:rsidRPr="00C6052E">
        <w:t>impacted</w:t>
      </w:r>
      <w:r w:rsidR="00177848" w:rsidRPr="00C6052E">
        <w:t xml:space="preserve"> </w:t>
      </w:r>
      <w:r w:rsidRPr="00C6052E">
        <w:t>by</w:t>
      </w:r>
      <w:r w:rsidR="00177848" w:rsidRPr="00C6052E">
        <w:t xml:space="preserve"> </w:t>
      </w:r>
      <w:r w:rsidRPr="00C6052E">
        <w:t>market</w:t>
      </w:r>
      <w:r w:rsidR="00177848" w:rsidRPr="00C6052E">
        <w:t xml:space="preserve"> </w:t>
      </w:r>
      <w:r w:rsidRPr="00C6052E">
        <w:t>conditions</w:t>
      </w:r>
      <w:r w:rsidR="00177848" w:rsidRPr="00C6052E">
        <w:t xml:space="preserve"> </w:t>
      </w:r>
      <w:r w:rsidRPr="00C6052E">
        <w:t>for</w:t>
      </w:r>
      <w:r w:rsidR="00177848" w:rsidRPr="00C6052E">
        <w:t xml:space="preserve"> </w:t>
      </w:r>
      <w:r w:rsidRPr="00C6052E">
        <w:t>private</w:t>
      </w:r>
      <w:r w:rsidR="00177848" w:rsidRPr="00C6052E">
        <w:t xml:space="preserve"> </w:t>
      </w:r>
      <w:r w:rsidRPr="00C6052E">
        <w:t>sector</w:t>
      </w:r>
      <w:r w:rsidR="00177848" w:rsidRPr="00C6052E">
        <w:t xml:space="preserve"> </w:t>
      </w:r>
      <w:r w:rsidRPr="00C6052E">
        <w:t>investment</w:t>
      </w:r>
      <w:r w:rsidR="00177848" w:rsidRPr="00C6052E">
        <w:t xml:space="preserve"> </w:t>
      </w:r>
      <w:r w:rsidRPr="00C6052E">
        <w:t>in</w:t>
      </w:r>
      <w:r w:rsidR="00177848" w:rsidRPr="00C6052E">
        <w:t xml:space="preserve"> </w:t>
      </w:r>
      <w:r w:rsidRPr="00C6052E">
        <w:t>regional</w:t>
      </w:r>
      <w:r w:rsidR="00177848" w:rsidRPr="00C6052E">
        <w:t xml:space="preserve"> </w:t>
      </w:r>
      <w:r w:rsidRPr="00C6052E">
        <w:t>Victoria.</w:t>
      </w:r>
      <w:r w:rsidR="00177848" w:rsidRPr="00C6052E">
        <w:t xml:space="preserve"> </w:t>
      </w:r>
    </w:p>
    <w:p w14:paraId="3994678C" w14:textId="28ADCF56" w:rsidR="00EE5BB8" w:rsidRPr="00C6052E" w:rsidRDefault="00EE5BB8" w:rsidP="00EE5BB8">
      <w:pPr>
        <w:pStyle w:val="Heading3"/>
      </w:pPr>
      <w:bookmarkStart w:id="24" w:name="_Toc152067223"/>
      <w:r w:rsidRPr="00C6052E">
        <w:t>Indicator:</w:t>
      </w:r>
      <w:r w:rsidR="00177848" w:rsidRPr="00C6052E">
        <w:t xml:space="preserve"> </w:t>
      </w:r>
      <w:r w:rsidRPr="00C6052E">
        <w:t>Projects</w:t>
      </w:r>
      <w:r w:rsidR="00177848" w:rsidRPr="00C6052E">
        <w:t xml:space="preserve"> </w:t>
      </w:r>
      <w:r w:rsidRPr="00C6052E">
        <w:t>and</w:t>
      </w:r>
      <w:r w:rsidR="00177848" w:rsidRPr="00C6052E">
        <w:t xml:space="preserve"> </w:t>
      </w:r>
      <w:r w:rsidRPr="00C6052E">
        <w:t>activities</w:t>
      </w:r>
      <w:r w:rsidR="00177848" w:rsidRPr="00C6052E">
        <w:t xml:space="preserve"> </w:t>
      </w:r>
      <w:r w:rsidRPr="00C6052E">
        <w:t>delivered</w:t>
      </w:r>
      <w:r w:rsidR="00177848" w:rsidRPr="00C6052E">
        <w:t xml:space="preserve"> </w:t>
      </w:r>
      <w:r w:rsidRPr="00C6052E">
        <w:t>to</w:t>
      </w:r>
      <w:r w:rsidR="00177848" w:rsidRPr="00C6052E">
        <w:t xml:space="preserve"> </w:t>
      </w:r>
      <w:r w:rsidRPr="00C6052E">
        <w:t>support</w:t>
      </w:r>
      <w:r w:rsidR="00177848" w:rsidRPr="00C6052E">
        <w:t xml:space="preserve"> </w:t>
      </w:r>
      <w:r w:rsidRPr="00C6052E">
        <w:t>economic</w:t>
      </w:r>
      <w:r w:rsidR="00177848" w:rsidRPr="00C6052E">
        <w:t xml:space="preserve"> </w:t>
      </w:r>
      <w:r w:rsidRPr="00C6052E">
        <w:t>and</w:t>
      </w:r>
      <w:r w:rsidR="00177848" w:rsidRPr="00C6052E">
        <w:t xml:space="preserve"> </w:t>
      </w:r>
      <w:r w:rsidRPr="00C6052E">
        <w:t>community</w:t>
      </w:r>
      <w:r w:rsidR="00177848" w:rsidRPr="00C6052E">
        <w:t xml:space="preserve"> </w:t>
      </w:r>
      <w:r w:rsidRPr="00C6052E">
        <w:t>outcomes</w:t>
      </w:r>
      <w:bookmarkEnd w:id="24"/>
    </w:p>
    <w:p w14:paraId="0D55300B" w14:textId="449B9893" w:rsidR="00EE5BB8" w:rsidRPr="00C6052E" w:rsidRDefault="00EE5BB8" w:rsidP="00EE5BB8">
      <w:pPr>
        <w:pStyle w:val="TableHeading"/>
      </w:pPr>
      <w:r w:rsidRPr="00C6052E">
        <w:t>Table</w:t>
      </w:r>
      <w:r w:rsidR="00177848" w:rsidRPr="00C6052E">
        <w:t xml:space="preserve"> </w:t>
      </w:r>
      <w:r w:rsidRPr="00C6052E">
        <w:t>11:</w:t>
      </w:r>
      <w:r w:rsidR="00177848" w:rsidRPr="00C6052E">
        <w:t xml:space="preserve"> </w:t>
      </w:r>
      <w:r w:rsidRPr="00C6052E">
        <w:t>Projects</w:t>
      </w:r>
      <w:r w:rsidR="00177848" w:rsidRPr="00C6052E">
        <w:t xml:space="preserve"> </w:t>
      </w:r>
      <w:r w:rsidRPr="00C6052E">
        <w:t>and</w:t>
      </w:r>
      <w:r w:rsidR="00177848" w:rsidRPr="00C6052E">
        <w:t xml:space="preserve"> </w:t>
      </w:r>
      <w:r w:rsidRPr="00C6052E">
        <w:t>activities</w:t>
      </w:r>
      <w:r w:rsidR="00177848" w:rsidRPr="00C6052E">
        <w:t xml:space="preserve"> </w:t>
      </w:r>
      <w:r w:rsidRPr="00C6052E">
        <w:t>delivered</w:t>
      </w:r>
      <w:r w:rsidR="00177848" w:rsidRPr="00C6052E">
        <w:t xml:space="preserve"> </w:t>
      </w:r>
      <w:r w:rsidRPr="00C6052E">
        <w:t>to</w:t>
      </w:r>
      <w:r w:rsidR="00177848" w:rsidRPr="00C6052E">
        <w:t xml:space="preserve"> </w:t>
      </w:r>
      <w:r w:rsidRPr="00C6052E">
        <w:t>support</w:t>
      </w:r>
      <w:r w:rsidR="00177848" w:rsidRPr="00C6052E">
        <w:t xml:space="preserve"> </w:t>
      </w:r>
      <w:r w:rsidRPr="00C6052E">
        <w:t>economic</w:t>
      </w:r>
      <w:r w:rsidR="00177848" w:rsidRPr="00C6052E">
        <w:t xml:space="preserve"> </w:t>
      </w:r>
      <w:r w:rsidRPr="00C6052E">
        <w:t>and</w:t>
      </w:r>
      <w:r w:rsidR="00177848" w:rsidRPr="00C6052E">
        <w:t xml:space="preserve"> </w:t>
      </w:r>
      <w:r w:rsidRPr="00C6052E">
        <w:t>community</w:t>
      </w:r>
      <w:r w:rsidR="00177848" w:rsidRPr="00C6052E">
        <w:t xml:space="preserve"> </w:t>
      </w:r>
      <w:r w:rsidRPr="00C6052E">
        <w:t>outcomes</w:t>
      </w:r>
    </w:p>
    <w:tbl>
      <w:tblPr>
        <w:tblStyle w:val="TableGrid"/>
        <w:tblW w:w="9634" w:type="dxa"/>
        <w:tblLayout w:type="fixed"/>
        <w:tblLook w:val="0020" w:firstRow="1" w:lastRow="0" w:firstColumn="0" w:lastColumn="0" w:noHBand="0" w:noVBand="0"/>
      </w:tblPr>
      <w:tblGrid>
        <w:gridCol w:w="5102"/>
        <w:gridCol w:w="1133"/>
        <w:gridCol w:w="1133"/>
        <w:gridCol w:w="1133"/>
        <w:gridCol w:w="1133"/>
      </w:tblGrid>
      <w:tr w:rsidR="00EE5BB8" w:rsidRPr="00C6052E" w14:paraId="7CF5D084" w14:textId="77777777" w:rsidTr="0063097D">
        <w:tc>
          <w:tcPr>
            <w:tcW w:w="5102" w:type="dxa"/>
          </w:tcPr>
          <w:p w14:paraId="1820C2BB" w14:textId="3A33AD5E" w:rsidR="00EE5BB8" w:rsidRPr="00C6052E" w:rsidRDefault="00EE5BB8" w:rsidP="0063097D">
            <w:pPr>
              <w:pStyle w:val="TableColumnHeading"/>
              <w:rPr>
                <w:lang w:val="en-AU"/>
              </w:rPr>
            </w:pPr>
            <w:bookmarkStart w:id="25" w:name="TableColumnHeadings_19"/>
            <w:bookmarkEnd w:id="25"/>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133" w:type="dxa"/>
          </w:tcPr>
          <w:p w14:paraId="3BDB4445" w14:textId="77777777" w:rsidR="00EE5BB8" w:rsidRPr="00C6052E" w:rsidRDefault="00EE5BB8" w:rsidP="0063097D">
            <w:pPr>
              <w:pStyle w:val="TableColumnHeading"/>
              <w:jc w:val="right"/>
              <w:rPr>
                <w:lang w:val="en-AU"/>
              </w:rPr>
            </w:pPr>
            <w:r w:rsidRPr="00C6052E">
              <w:rPr>
                <w:lang w:val="en-AU"/>
              </w:rPr>
              <w:t>2021–22</w:t>
            </w:r>
          </w:p>
        </w:tc>
        <w:tc>
          <w:tcPr>
            <w:tcW w:w="1133" w:type="dxa"/>
          </w:tcPr>
          <w:p w14:paraId="65D6D7B7" w14:textId="77777777" w:rsidR="00EE5BB8" w:rsidRPr="00C6052E" w:rsidRDefault="00EE5BB8" w:rsidP="0063097D">
            <w:pPr>
              <w:pStyle w:val="TableColumnHeading"/>
              <w:jc w:val="right"/>
              <w:rPr>
                <w:lang w:val="en-AU"/>
              </w:rPr>
            </w:pPr>
            <w:r w:rsidRPr="00C6052E">
              <w:rPr>
                <w:lang w:val="en-AU"/>
              </w:rPr>
              <w:t>2022–23</w:t>
            </w:r>
          </w:p>
        </w:tc>
        <w:tc>
          <w:tcPr>
            <w:tcW w:w="1133" w:type="dxa"/>
          </w:tcPr>
          <w:p w14:paraId="7E1E80B6" w14:textId="77777777" w:rsidR="00EE5BB8" w:rsidRPr="00C6052E" w:rsidRDefault="00EE5BB8" w:rsidP="0063097D">
            <w:pPr>
              <w:pStyle w:val="TableColumnHeading"/>
              <w:jc w:val="right"/>
              <w:rPr>
                <w:lang w:val="en-AU"/>
              </w:rPr>
            </w:pPr>
            <w:r w:rsidRPr="00C6052E">
              <w:rPr>
                <w:lang w:val="en-AU"/>
              </w:rPr>
              <w:t>2023–24</w:t>
            </w:r>
          </w:p>
        </w:tc>
        <w:tc>
          <w:tcPr>
            <w:tcW w:w="1133" w:type="dxa"/>
          </w:tcPr>
          <w:p w14:paraId="733CC245"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523970FE" w14:textId="77777777" w:rsidTr="0063097D">
        <w:tc>
          <w:tcPr>
            <w:tcW w:w="5102" w:type="dxa"/>
          </w:tcPr>
          <w:p w14:paraId="7D4D571A" w14:textId="1B563FBD" w:rsidR="00EE5BB8" w:rsidRPr="00C6052E" w:rsidRDefault="00EE5BB8" w:rsidP="0063097D">
            <w:pPr>
              <w:pStyle w:val="TableCopy"/>
              <w:rPr>
                <w:lang w:val="en-AU"/>
              </w:rPr>
            </w:pPr>
            <w:r w:rsidRPr="00C6052E">
              <w:rPr>
                <w:lang w:val="en-AU"/>
              </w:rPr>
              <w:t>Regional</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service</w:t>
            </w:r>
            <w:r w:rsidR="00177848" w:rsidRPr="00C6052E">
              <w:rPr>
                <w:lang w:val="en-AU"/>
              </w:rPr>
              <w:t xml:space="preserve"> </w:t>
            </w:r>
            <w:r w:rsidRPr="00C6052E">
              <w:rPr>
                <w:lang w:val="en-AU"/>
              </w:rPr>
              <w:t>delivery</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(number)</w:t>
            </w:r>
          </w:p>
        </w:tc>
        <w:tc>
          <w:tcPr>
            <w:tcW w:w="1133" w:type="dxa"/>
          </w:tcPr>
          <w:p w14:paraId="1B138A17" w14:textId="77777777" w:rsidR="00EE5BB8" w:rsidRPr="00C6052E" w:rsidRDefault="00EE5BB8" w:rsidP="0063097D">
            <w:pPr>
              <w:pStyle w:val="TableCopy"/>
              <w:jc w:val="right"/>
              <w:rPr>
                <w:lang w:val="en-AU"/>
              </w:rPr>
            </w:pPr>
            <w:r w:rsidRPr="00C6052E">
              <w:rPr>
                <w:lang w:val="en-AU"/>
              </w:rPr>
              <w:t>297</w:t>
            </w:r>
          </w:p>
        </w:tc>
        <w:tc>
          <w:tcPr>
            <w:tcW w:w="1133" w:type="dxa"/>
          </w:tcPr>
          <w:p w14:paraId="57A561C1" w14:textId="77777777" w:rsidR="00EE5BB8" w:rsidRPr="00C6052E" w:rsidRDefault="00EE5BB8" w:rsidP="0063097D">
            <w:pPr>
              <w:pStyle w:val="TableCopy"/>
              <w:jc w:val="right"/>
              <w:rPr>
                <w:lang w:val="en-AU"/>
              </w:rPr>
            </w:pPr>
            <w:r w:rsidRPr="00C6052E">
              <w:rPr>
                <w:lang w:val="en-AU"/>
              </w:rPr>
              <w:t>225</w:t>
            </w:r>
          </w:p>
        </w:tc>
        <w:tc>
          <w:tcPr>
            <w:tcW w:w="1133" w:type="dxa"/>
          </w:tcPr>
          <w:p w14:paraId="7EA41B4D" w14:textId="33F536F1" w:rsidR="00EE5BB8" w:rsidRPr="00C6052E" w:rsidRDefault="00EE5BB8" w:rsidP="0063097D">
            <w:pPr>
              <w:pStyle w:val="TableCopy"/>
              <w:jc w:val="right"/>
              <w:rPr>
                <w:lang w:val="en-AU"/>
              </w:rPr>
            </w:pPr>
            <w:r w:rsidRPr="00C6052E">
              <w:rPr>
                <w:lang w:val="en-AU"/>
              </w:rPr>
              <w:t>205</w:t>
            </w:r>
            <w:r w:rsidR="00177848" w:rsidRPr="00C6052E">
              <w:rPr>
                <w:rFonts w:cs="Cambria"/>
                <w:lang w:val="en-AU"/>
              </w:rPr>
              <w:t xml:space="preserve"> </w:t>
            </w:r>
          </w:p>
        </w:tc>
        <w:tc>
          <w:tcPr>
            <w:tcW w:w="1133" w:type="dxa"/>
          </w:tcPr>
          <w:p w14:paraId="78B85247" w14:textId="77777777" w:rsidR="00EE5BB8" w:rsidRPr="00C6052E" w:rsidRDefault="00EE5BB8" w:rsidP="0063097D">
            <w:pPr>
              <w:pStyle w:val="TableCopy"/>
              <w:jc w:val="right"/>
              <w:rPr>
                <w:lang w:val="en-AU"/>
              </w:rPr>
            </w:pPr>
            <w:r w:rsidRPr="00C6052E">
              <w:rPr>
                <w:lang w:val="en-AU"/>
              </w:rPr>
              <w:t>262</w:t>
            </w:r>
          </w:p>
        </w:tc>
      </w:tr>
    </w:tbl>
    <w:p w14:paraId="00B09C37" w14:textId="77777777" w:rsidR="00EE5BB8" w:rsidRPr="00C6052E" w:rsidRDefault="00EE5BB8" w:rsidP="00EE5BB8"/>
    <w:p w14:paraId="12659897" w14:textId="22D0BD6C" w:rsidR="00EE5BB8" w:rsidRPr="00C6052E" w:rsidRDefault="00EE5BB8" w:rsidP="00EE5BB8">
      <w:pPr>
        <w:pStyle w:val="TableHeading"/>
      </w:pPr>
      <w:r w:rsidRPr="00C6052E">
        <w:t>Figure</w:t>
      </w:r>
      <w:r w:rsidR="00177848" w:rsidRPr="00C6052E">
        <w:t xml:space="preserve"> </w:t>
      </w:r>
      <w:r w:rsidRPr="00C6052E">
        <w:t>11:</w:t>
      </w:r>
      <w:r w:rsidR="00177848" w:rsidRPr="00C6052E">
        <w:t xml:space="preserve"> </w:t>
      </w:r>
      <w:r w:rsidRPr="00C6052E">
        <w:t>Regional</w:t>
      </w:r>
      <w:r w:rsidR="00177848" w:rsidRPr="00C6052E">
        <w:t xml:space="preserve"> </w:t>
      </w:r>
      <w:r w:rsidRPr="00C6052E">
        <w:t>economic</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service</w:t>
      </w:r>
      <w:r w:rsidR="00177848" w:rsidRPr="00C6052E">
        <w:t xml:space="preserve"> </w:t>
      </w:r>
      <w:r w:rsidRPr="00C6052E">
        <w:t>delivery</w:t>
      </w:r>
      <w:r w:rsidR="00177848" w:rsidRPr="00C6052E">
        <w:t xml:space="preserve"> </w:t>
      </w:r>
      <w:r w:rsidRPr="00C6052E">
        <w:t>projects</w:t>
      </w:r>
      <w:r w:rsidR="00177848" w:rsidRPr="00C6052E">
        <w:t xml:space="preserve"> </w:t>
      </w:r>
      <w:r w:rsidRPr="00C6052E">
        <w:t>supported</w:t>
      </w:r>
    </w:p>
    <w:p w14:paraId="5E9B8B95" w14:textId="77777777" w:rsidR="00EE5BB8" w:rsidRPr="00C6052E" w:rsidRDefault="00EE5BB8" w:rsidP="00EE5BB8">
      <w:pPr>
        <w:pStyle w:val="Graph"/>
        <w:rPr>
          <w:noProof w:val="0"/>
        </w:rPr>
      </w:pPr>
      <w:r w:rsidRPr="00C6052E">
        <w:drawing>
          <wp:inline distT="0" distB="0" distL="0" distR="0" wp14:anchorId="23621F06" wp14:editId="03F9F106">
            <wp:extent cx="4050000" cy="2700000"/>
            <wp:effectExtent l="0" t="0" r="0" b="0"/>
            <wp:docPr id="165632744" name="Chart 1" descr="Line graph showing data from Table 11: Projects and activities delivered to support economic and community outcomes (above).">
              <a:extLst xmlns:a="http://schemas.openxmlformats.org/drawingml/2006/main">
                <a:ext uri="{FF2B5EF4-FFF2-40B4-BE49-F238E27FC236}">
                  <a16:creationId xmlns:a16="http://schemas.microsoft.com/office/drawing/2014/main" id="{769A9732-97A1-40E2-A2C7-DDD9308E6CF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46B759" w14:textId="0C3E6007" w:rsidR="00EE5BB8" w:rsidRPr="00C6052E" w:rsidRDefault="00EE5BB8" w:rsidP="00EE5BB8">
      <w:r w:rsidRPr="00C6052E">
        <w:lastRenderedPageBreak/>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continued</w:t>
      </w:r>
      <w:r w:rsidR="00177848" w:rsidRPr="00C6052E">
        <w:t xml:space="preserve"> </w:t>
      </w:r>
      <w:r w:rsidRPr="00C6052E">
        <w:t>to</w:t>
      </w:r>
      <w:r w:rsidR="00177848" w:rsidRPr="00C6052E">
        <w:t xml:space="preserve"> </w:t>
      </w:r>
      <w:r w:rsidRPr="00C6052E">
        <w:t>support</w:t>
      </w:r>
      <w:r w:rsidR="00177848" w:rsidRPr="00C6052E">
        <w:t xml:space="preserve"> </w:t>
      </w:r>
      <w:r w:rsidRPr="00C6052E">
        <w:t>economic</w:t>
      </w:r>
      <w:r w:rsidR="00177848" w:rsidRPr="00C6052E">
        <w:t xml:space="preserve"> </w:t>
      </w:r>
      <w:r w:rsidRPr="00C6052E">
        <w:t>and</w:t>
      </w:r>
      <w:r w:rsidR="00177848" w:rsidRPr="00C6052E">
        <w:t xml:space="preserve"> </w:t>
      </w:r>
      <w:r w:rsidRPr="00C6052E">
        <w:t>community</w:t>
      </w:r>
      <w:r w:rsidR="00177848" w:rsidRPr="00C6052E">
        <w:t xml:space="preserve"> </w:t>
      </w:r>
      <w:r w:rsidRPr="00C6052E">
        <w:t>outcomes</w:t>
      </w:r>
      <w:r w:rsidR="00177848" w:rsidRPr="00C6052E">
        <w:t xml:space="preserve"> </w:t>
      </w:r>
      <w:r w:rsidRPr="00C6052E">
        <w:t>in</w:t>
      </w:r>
      <w:r w:rsidR="00177848" w:rsidRPr="00C6052E">
        <w:t xml:space="preserve"> </w:t>
      </w:r>
      <w:r w:rsidRPr="00C6052E">
        <w:t>rural</w:t>
      </w:r>
      <w:r w:rsidR="00177848" w:rsidRPr="00C6052E">
        <w:t xml:space="preserve"> </w:t>
      </w:r>
      <w:r w:rsidRPr="00C6052E">
        <w:t>and</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through</w:t>
      </w:r>
      <w:r w:rsidR="00177848" w:rsidRPr="00C6052E">
        <w:t xml:space="preserve"> </w:t>
      </w:r>
      <w:r w:rsidRPr="00C6052E">
        <w:t>the</w:t>
      </w:r>
      <w:r w:rsidR="00177848" w:rsidRPr="00C6052E">
        <w:t xml:space="preserve"> </w:t>
      </w:r>
      <w:r w:rsidRPr="00C6052E">
        <w:t>Regional</w:t>
      </w:r>
      <w:r w:rsidR="00177848" w:rsidRPr="00C6052E">
        <w:t xml:space="preserve"> </w:t>
      </w:r>
      <w:r w:rsidRPr="00C6052E">
        <w:t>Development</w:t>
      </w:r>
      <w:r w:rsidR="00177848" w:rsidRPr="00C6052E">
        <w:t xml:space="preserve"> </w:t>
      </w:r>
      <w:r w:rsidRPr="00C6052E">
        <w:t>output.</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achieved</w:t>
      </w:r>
      <w:r w:rsidR="00177848" w:rsidRPr="00C6052E">
        <w:t xml:space="preserve"> </w:t>
      </w:r>
      <w:r w:rsidRPr="00C6052E">
        <w:t>this</w:t>
      </w:r>
      <w:r w:rsidR="00177848" w:rsidRPr="00C6052E">
        <w:t xml:space="preserve"> </w:t>
      </w:r>
      <w:r w:rsidRPr="00C6052E">
        <w:t>by</w:t>
      </w:r>
      <w:r w:rsidR="00177848" w:rsidRPr="00C6052E">
        <w:t xml:space="preserve"> </w:t>
      </w:r>
      <w:r w:rsidRPr="00C6052E">
        <w:t>delivering</w:t>
      </w:r>
      <w:r w:rsidR="00177848" w:rsidRPr="00C6052E">
        <w:t xml:space="preserve"> </w:t>
      </w:r>
      <w:r w:rsidRPr="00C6052E">
        <w:t>projects</w:t>
      </w:r>
      <w:r w:rsidR="00177848" w:rsidRPr="00C6052E">
        <w:t xml:space="preserve"> </w:t>
      </w:r>
      <w:r w:rsidRPr="00C6052E">
        <w:t>and</w:t>
      </w:r>
      <w:r w:rsidR="00177848" w:rsidRPr="00C6052E">
        <w:t xml:space="preserve"> </w:t>
      </w:r>
      <w:r w:rsidRPr="00C6052E">
        <w:t>activities</w:t>
      </w:r>
      <w:r w:rsidR="00177848" w:rsidRPr="00C6052E">
        <w:t xml:space="preserve"> </w:t>
      </w:r>
      <w:r w:rsidRPr="00C6052E">
        <w:t>in</w:t>
      </w:r>
      <w:r w:rsidR="00177848" w:rsidRPr="00C6052E">
        <w:t xml:space="preserve"> </w:t>
      </w:r>
      <w:r w:rsidRPr="00C6052E">
        <w:t>line</w:t>
      </w:r>
      <w:r w:rsidR="00177848" w:rsidRPr="00C6052E">
        <w:t xml:space="preserve"> </w:t>
      </w:r>
      <w:r w:rsidRPr="00C6052E">
        <w:t>with</w:t>
      </w:r>
      <w:r w:rsidR="00177848" w:rsidRPr="00C6052E">
        <w:t xml:space="preserve"> </w:t>
      </w:r>
      <w:r w:rsidRPr="00C6052E">
        <w:t>government</w:t>
      </w:r>
      <w:r w:rsidR="00177848" w:rsidRPr="00C6052E">
        <w:t xml:space="preserve"> </w:t>
      </w:r>
      <w:r w:rsidRPr="00C6052E">
        <w:t>strategic</w:t>
      </w:r>
      <w:r w:rsidR="00177848" w:rsidRPr="00C6052E">
        <w:t xml:space="preserve"> </w:t>
      </w:r>
      <w:r w:rsidRPr="00C6052E">
        <w:t>priorities,</w:t>
      </w:r>
      <w:r w:rsidR="00177848" w:rsidRPr="00C6052E">
        <w:t xml:space="preserve"> </w:t>
      </w:r>
      <w:r w:rsidRPr="00C6052E">
        <w:t>to</w:t>
      </w:r>
      <w:r w:rsidR="00177848" w:rsidRPr="00C6052E">
        <w:t xml:space="preserve"> </w:t>
      </w:r>
      <w:r w:rsidRPr="00C6052E">
        <w:t>drive</w:t>
      </w:r>
      <w:r w:rsidR="00177848" w:rsidRPr="00C6052E">
        <w:t xml:space="preserve"> </w:t>
      </w:r>
      <w:r w:rsidRPr="00C6052E">
        <w:t>high</w:t>
      </w:r>
      <w:r w:rsidR="00177848" w:rsidRPr="00C6052E">
        <w:t xml:space="preserve"> </w:t>
      </w:r>
      <w:r w:rsidRPr="00C6052E">
        <w:t>quality</w:t>
      </w:r>
      <w:r w:rsidR="00177848" w:rsidRPr="00C6052E">
        <w:t xml:space="preserve"> </w:t>
      </w:r>
      <w:r w:rsidRPr="00C6052E">
        <w:t>outcomes</w:t>
      </w:r>
      <w:r w:rsidR="00177848" w:rsidRPr="00C6052E">
        <w:t xml:space="preserve"> </w:t>
      </w:r>
      <w:r w:rsidRPr="00C6052E">
        <w:t>for</w:t>
      </w:r>
      <w:r w:rsidR="00177848" w:rsidRPr="00C6052E">
        <w:t xml:space="preserve"> </w:t>
      </w:r>
      <w:r w:rsidRPr="00C6052E">
        <w:t>both</w:t>
      </w:r>
      <w:r w:rsidR="00177848" w:rsidRPr="00C6052E">
        <w:t xml:space="preserve"> </w:t>
      </w:r>
      <w:r w:rsidRPr="00C6052E">
        <w:t>large</w:t>
      </w:r>
      <w:r w:rsidR="00177848" w:rsidRPr="00C6052E">
        <w:t xml:space="preserve"> </w:t>
      </w:r>
      <w:r w:rsidRPr="00C6052E">
        <w:t>and</w:t>
      </w:r>
      <w:r w:rsidR="00177848" w:rsidRPr="00C6052E">
        <w:t xml:space="preserve"> </w:t>
      </w:r>
      <w:r w:rsidRPr="00C6052E">
        <w:t>small</w:t>
      </w:r>
      <w:r w:rsidR="00177848" w:rsidRPr="00C6052E">
        <w:t xml:space="preserve"> </w:t>
      </w:r>
      <w:r w:rsidRPr="00C6052E">
        <w:t>communities</w:t>
      </w:r>
      <w:r w:rsidR="00177848" w:rsidRPr="00C6052E">
        <w:t xml:space="preserve"> </w:t>
      </w:r>
      <w:r w:rsidRPr="00C6052E">
        <w:t>across</w:t>
      </w:r>
      <w:r w:rsidR="00177848" w:rsidRPr="00C6052E">
        <w:t xml:space="preserve"> </w:t>
      </w:r>
      <w:r w:rsidRPr="00C6052E">
        <w:t>rural</w:t>
      </w:r>
      <w:r w:rsidR="00177848" w:rsidRPr="00C6052E">
        <w:t xml:space="preserve"> </w:t>
      </w:r>
      <w:r w:rsidRPr="00C6052E">
        <w:t>and</w:t>
      </w:r>
      <w:r w:rsidR="00177848" w:rsidRPr="00C6052E">
        <w:t xml:space="preserve"> </w:t>
      </w:r>
      <w:r w:rsidRPr="00C6052E">
        <w:t>regional</w:t>
      </w:r>
      <w:r w:rsidR="00177848" w:rsidRPr="00C6052E">
        <w:t xml:space="preserve"> </w:t>
      </w:r>
      <w:r w:rsidRPr="00C6052E">
        <w:t>Victoria.</w:t>
      </w:r>
      <w:r w:rsidR="00177848" w:rsidRPr="00C6052E">
        <w:t xml:space="preserve"> </w:t>
      </w:r>
    </w:p>
    <w:p w14:paraId="03F495D2" w14:textId="0C136319" w:rsidR="00EE5BB8" w:rsidRPr="00C6052E" w:rsidRDefault="00EE5BB8" w:rsidP="0028635E">
      <w:pPr>
        <w:pStyle w:val="Normalbeforebullets"/>
      </w:pPr>
      <w:r w:rsidRPr="00C6052E">
        <w:t>The</w:t>
      </w:r>
      <w:r w:rsidR="00177848" w:rsidRPr="00C6052E">
        <w:t xml:space="preserve"> </w:t>
      </w:r>
      <w:r w:rsidRPr="00C6052E">
        <w:t>following</w:t>
      </w:r>
      <w:r w:rsidR="00177848" w:rsidRPr="00C6052E">
        <w:t xml:space="preserve"> </w:t>
      </w:r>
      <w:r w:rsidRPr="00C6052E">
        <w:t>list</w:t>
      </w:r>
      <w:r w:rsidR="00177848" w:rsidRPr="00C6052E">
        <w:t xml:space="preserve"> </w:t>
      </w:r>
      <w:r w:rsidRPr="00C6052E">
        <w:t>summarises</w:t>
      </w:r>
      <w:r w:rsidR="00177848" w:rsidRPr="00C6052E">
        <w:t xml:space="preserve"> </w:t>
      </w:r>
      <w:r w:rsidRPr="00C6052E">
        <w:t>the</w:t>
      </w:r>
      <w:r w:rsidR="00177848" w:rsidRPr="00C6052E">
        <w:t xml:space="preserve"> </w:t>
      </w:r>
      <w:r w:rsidRPr="00C6052E">
        <w:t>programs</w:t>
      </w:r>
      <w:r w:rsidR="00177848" w:rsidRPr="00C6052E">
        <w:t xml:space="preserve"> </w:t>
      </w:r>
      <w:r w:rsidRPr="00C6052E">
        <w:t>and</w:t>
      </w:r>
      <w:r w:rsidR="00177848" w:rsidRPr="00C6052E">
        <w:t xml:space="preserve"> </w:t>
      </w:r>
      <w:r w:rsidRPr="00C6052E">
        <w:rPr>
          <w:spacing w:val="-2"/>
        </w:rPr>
        <w:t>initiatives</w:t>
      </w:r>
      <w:r w:rsidR="00177848" w:rsidRPr="00C6052E">
        <w:rPr>
          <w:spacing w:val="-2"/>
        </w:rPr>
        <w:t xml:space="preserve"> </w:t>
      </w:r>
      <w:r w:rsidRPr="00C6052E">
        <w:rPr>
          <w:spacing w:val="-2"/>
        </w:rPr>
        <w:t>that</w:t>
      </w:r>
      <w:r w:rsidR="00177848" w:rsidRPr="00C6052E">
        <w:rPr>
          <w:spacing w:val="-2"/>
        </w:rPr>
        <w:t xml:space="preserve"> </w:t>
      </w:r>
      <w:r w:rsidRPr="00C6052E">
        <w:rPr>
          <w:spacing w:val="-2"/>
        </w:rPr>
        <w:t>contributed</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262</w:t>
      </w:r>
      <w:r w:rsidR="00177848" w:rsidRPr="00C6052E">
        <w:rPr>
          <w:spacing w:val="-2"/>
        </w:rPr>
        <w:t xml:space="preserve"> </w:t>
      </w:r>
      <w:r w:rsidRPr="00C6052E">
        <w:rPr>
          <w:spacing w:val="-2"/>
        </w:rPr>
        <w:t>projects</w:t>
      </w:r>
      <w:r w:rsidR="00177848" w:rsidRPr="00C6052E">
        <w:rPr>
          <w:spacing w:val="-2"/>
        </w:rPr>
        <w:t xml:space="preserve"> </w:t>
      </w:r>
      <w:r w:rsidRPr="00C6052E">
        <w:rPr>
          <w:spacing w:val="-2"/>
        </w:rPr>
        <w:t>supported</w:t>
      </w:r>
      <w:r w:rsidR="00177848" w:rsidRPr="00C6052E">
        <w:t xml:space="preserve"> </w:t>
      </w:r>
      <w:r w:rsidRPr="00C6052E">
        <w:t>in</w:t>
      </w:r>
      <w:r w:rsidR="00177848" w:rsidRPr="00C6052E">
        <w:t xml:space="preserve"> </w:t>
      </w:r>
      <w:r w:rsidRPr="00C6052E">
        <w:t>2024–25,</w:t>
      </w:r>
      <w:r w:rsidR="00177848" w:rsidRPr="00C6052E">
        <w:t xml:space="preserve"> </w:t>
      </w:r>
      <w:r w:rsidRPr="00C6052E">
        <w:t>and</w:t>
      </w:r>
      <w:r w:rsidR="00177848" w:rsidRPr="00C6052E">
        <w:t xml:space="preserve"> </w:t>
      </w:r>
      <w:r w:rsidRPr="00C6052E">
        <w:t>the</w:t>
      </w:r>
      <w:r w:rsidR="00177848" w:rsidRPr="00C6052E">
        <w:t xml:space="preserve"> </w:t>
      </w:r>
      <w:r w:rsidRPr="00C6052E">
        <w:t>number</w:t>
      </w:r>
      <w:r w:rsidR="00177848" w:rsidRPr="00C6052E">
        <w:t xml:space="preserve"> </w:t>
      </w:r>
      <w:r w:rsidRPr="00C6052E">
        <w:t>of</w:t>
      </w:r>
      <w:r w:rsidR="00177848" w:rsidRPr="00C6052E">
        <w:t xml:space="preserve"> </w:t>
      </w:r>
      <w:r w:rsidRPr="00C6052E">
        <w:t>projects</w:t>
      </w:r>
      <w:r w:rsidR="00177848" w:rsidRPr="00C6052E">
        <w:t xml:space="preserve"> </w:t>
      </w:r>
      <w:r w:rsidRPr="00C6052E">
        <w:t>in</w:t>
      </w:r>
      <w:r w:rsidR="00177848" w:rsidRPr="00C6052E">
        <w:t xml:space="preserve"> </w:t>
      </w:r>
      <w:r w:rsidRPr="00C6052E">
        <w:t>each:</w:t>
      </w:r>
    </w:p>
    <w:p w14:paraId="59244D83" w14:textId="2072F237" w:rsidR="00EE5BB8" w:rsidRPr="00C6052E" w:rsidRDefault="00EE5BB8" w:rsidP="00EE5BB8">
      <w:pPr>
        <w:pStyle w:val="Bullet1"/>
        <w:numPr>
          <w:ilvl w:val="0"/>
          <w:numId w:val="1"/>
        </w:numPr>
        <w:spacing w:line="278" w:lineRule="auto"/>
        <w:ind w:left="284" w:hanging="284"/>
        <w:rPr>
          <w:lang w:val="en-AU"/>
        </w:rPr>
      </w:pPr>
      <w:r w:rsidRPr="00C6052E">
        <w:rPr>
          <w:lang w:val="en-AU"/>
        </w:rPr>
        <w:t>1</w:t>
      </w:r>
      <w:r w:rsidR="00177848" w:rsidRPr="00C6052E">
        <w:rPr>
          <w:lang w:val="en-AU"/>
        </w:rPr>
        <w:t xml:space="preserve"> </w:t>
      </w:r>
      <w:r w:rsidRPr="00C6052E">
        <w:rPr>
          <w:lang w:val="en-AU"/>
        </w:rPr>
        <w:t>project</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Albury</w:t>
      </w:r>
      <w:r w:rsidR="00177848" w:rsidRPr="00C6052E">
        <w:rPr>
          <w:lang w:val="en-AU"/>
        </w:rPr>
        <w:t xml:space="preserve"> </w:t>
      </w:r>
      <w:r w:rsidRPr="00C6052E">
        <w:rPr>
          <w:lang w:val="en-AU"/>
        </w:rPr>
        <w:t>Wodonga</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Projects</w:t>
      </w:r>
    </w:p>
    <w:p w14:paraId="60BE8B94" w14:textId="7CA62F8A" w:rsidR="00EE5BB8" w:rsidRPr="00C6052E" w:rsidRDefault="00EE5BB8" w:rsidP="00EE5BB8">
      <w:pPr>
        <w:pStyle w:val="Bullet1"/>
        <w:numPr>
          <w:ilvl w:val="0"/>
          <w:numId w:val="1"/>
        </w:numPr>
        <w:spacing w:line="278" w:lineRule="auto"/>
        <w:ind w:left="284" w:hanging="284"/>
        <w:rPr>
          <w:lang w:val="en-AU"/>
        </w:rPr>
      </w:pPr>
      <w:r w:rsidRPr="00C6052E">
        <w:rPr>
          <w:lang w:val="en-AU"/>
        </w:rPr>
        <w:t>6</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Gippsland</w:t>
      </w:r>
      <w:r w:rsidR="00177848" w:rsidRPr="00C6052E">
        <w:rPr>
          <w:lang w:val="en-AU"/>
        </w:rPr>
        <w:t xml:space="preserve"> </w:t>
      </w:r>
      <w:r w:rsidRPr="00C6052E">
        <w:rPr>
          <w:lang w:val="en-AU"/>
        </w:rPr>
        <w:t>Supply</w:t>
      </w:r>
      <w:r w:rsidR="00177848" w:rsidRPr="00C6052E">
        <w:rPr>
          <w:lang w:val="en-AU"/>
        </w:rPr>
        <w:t xml:space="preserve"> </w:t>
      </w:r>
      <w:r w:rsidRPr="00C6052E">
        <w:rPr>
          <w:lang w:val="en-AU"/>
        </w:rPr>
        <w:t>Chain</w:t>
      </w:r>
      <w:r w:rsidR="00177848" w:rsidRPr="00C6052E">
        <w:rPr>
          <w:lang w:val="en-AU"/>
        </w:rPr>
        <w:t xml:space="preserve"> </w:t>
      </w:r>
      <w:r w:rsidRPr="00C6052E">
        <w:rPr>
          <w:lang w:val="en-AU"/>
        </w:rPr>
        <w:t>Resilience</w:t>
      </w:r>
      <w:r w:rsidR="00177848" w:rsidRPr="00C6052E">
        <w:rPr>
          <w:lang w:val="en-AU"/>
        </w:rPr>
        <w:t xml:space="preserve"> </w:t>
      </w:r>
      <w:r w:rsidRPr="00C6052E">
        <w:rPr>
          <w:lang w:val="en-AU"/>
        </w:rPr>
        <w:t>Program</w:t>
      </w:r>
    </w:p>
    <w:p w14:paraId="08FDA9AD" w14:textId="116F00BD" w:rsidR="00EE5BB8" w:rsidRPr="00C6052E" w:rsidRDefault="00EE5BB8" w:rsidP="00EE5BB8">
      <w:pPr>
        <w:pStyle w:val="Bullet1"/>
        <w:numPr>
          <w:ilvl w:val="0"/>
          <w:numId w:val="1"/>
        </w:numPr>
        <w:spacing w:line="278" w:lineRule="auto"/>
        <w:ind w:left="284" w:hanging="284"/>
        <w:rPr>
          <w:lang w:val="en-AU"/>
        </w:rPr>
      </w:pPr>
      <w:r w:rsidRPr="00C6052E">
        <w:rPr>
          <w:lang w:val="en-AU"/>
        </w:rPr>
        <w:t>4</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Latrobe</w:t>
      </w:r>
      <w:r w:rsidR="00177848" w:rsidRPr="00C6052E">
        <w:rPr>
          <w:lang w:val="en-AU"/>
        </w:rPr>
        <w:t xml:space="preserve"> </w:t>
      </w:r>
      <w:r w:rsidRPr="00C6052E">
        <w:rPr>
          <w:lang w:val="en-AU"/>
        </w:rPr>
        <w:t>Valley</w:t>
      </w:r>
      <w:r w:rsidR="00177848" w:rsidRPr="00C6052E">
        <w:rPr>
          <w:lang w:val="en-AU"/>
        </w:rPr>
        <w:t xml:space="preserve"> </w:t>
      </w:r>
      <w:r w:rsidRPr="00C6052E">
        <w:rPr>
          <w:lang w:val="en-AU"/>
        </w:rPr>
        <w:t>Authority</w:t>
      </w:r>
      <w:r w:rsidR="00177848" w:rsidRPr="00C6052E">
        <w:rPr>
          <w:lang w:val="en-AU"/>
        </w:rPr>
        <w:t xml:space="preserve"> </w:t>
      </w:r>
      <w:r w:rsidRPr="00C6052E">
        <w:rPr>
          <w:lang w:val="en-AU"/>
        </w:rPr>
        <w:t>Gippsland</w:t>
      </w:r>
      <w:r w:rsidR="00177848" w:rsidRPr="00C6052E">
        <w:rPr>
          <w:lang w:val="en-AU"/>
        </w:rPr>
        <w:t xml:space="preserve"> </w:t>
      </w:r>
      <w:r w:rsidRPr="00C6052E">
        <w:rPr>
          <w:lang w:val="en-AU"/>
        </w:rPr>
        <w:t>2035</w:t>
      </w:r>
      <w:r w:rsidR="00177848" w:rsidRPr="00C6052E">
        <w:rPr>
          <w:lang w:val="en-AU"/>
        </w:rPr>
        <w:t xml:space="preserve"> </w:t>
      </w:r>
      <w:r w:rsidRPr="00C6052E">
        <w:rPr>
          <w:lang w:val="en-AU"/>
        </w:rPr>
        <w:t>Program</w:t>
      </w:r>
    </w:p>
    <w:p w14:paraId="0662FD76" w14:textId="2F0226B3" w:rsidR="00EE5BB8" w:rsidRPr="00C6052E" w:rsidRDefault="00EE5BB8" w:rsidP="00EE5BB8">
      <w:pPr>
        <w:pStyle w:val="Bullet1"/>
        <w:numPr>
          <w:ilvl w:val="0"/>
          <w:numId w:val="1"/>
        </w:numPr>
        <w:spacing w:line="278" w:lineRule="auto"/>
        <w:ind w:left="284" w:hanging="284"/>
        <w:rPr>
          <w:spacing w:val="-2"/>
          <w:lang w:val="en-AU"/>
        </w:rPr>
      </w:pPr>
      <w:r w:rsidRPr="00C6052E">
        <w:rPr>
          <w:spacing w:val="-2"/>
          <w:lang w:val="en-AU"/>
        </w:rPr>
        <w:t>18</w:t>
      </w:r>
      <w:r w:rsidR="00177848" w:rsidRPr="00C6052E">
        <w:rPr>
          <w:spacing w:val="-2"/>
          <w:lang w:val="en-AU"/>
        </w:rPr>
        <w:t xml:space="preserve"> </w:t>
      </w:r>
      <w:r w:rsidRPr="00C6052E">
        <w:rPr>
          <w:spacing w:val="-2"/>
          <w:lang w:val="en-AU"/>
        </w:rPr>
        <w:t>projects</w:t>
      </w:r>
      <w:r w:rsidR="00177848" w:rsidRPr="00C6052E">
        <w:rPr>
          <w:spacing w:val="-2"/>
          <w:lang w:val="en-AU"/>
        </w:rPr>
        <w:t xml:space="preserve"> </w:t>
      </w:r>
      <w:r w:rsidRPr="00C6052E">
        <w:rPr>
          <w:spacing w:val="-2"/>
          <w:lang w:val="en-AU"/>
        </w:rPr>
        <w:t>under</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Federation</w:t>
      </w:r>
      <w:r w:rsidR="00177848" w:rsidRPr="00C6052E">
        <w:rPr>
          <w:spacing w:val="-2"/>
          <w:lang w:val="en-AU"/>
        </w:rPr>
        <w:t xml:space="preserve"> </w:t>
      </w:r>
      <w:r w:rsidRPr="00C6052E">
        <w:rPr>
          <w:spacing w:val="-2"/>
          <w:lang w:val="en-AU"/>
        </w:rPr>
        <w:t>Funding</w:t>
      </w:r>
      <w:r w:rsidR="00177848" w:rsidRPr="00C6052E">
        <w:rPr>
          <w:spacing w:val="-2"/>
          <w:lang w:val="en-AU"/>
        </w:rPr>
        <w:t xml:space="preserve"> </w:t>
      </w:r>
      <w:r w:rsidRPr="00C6052E">
        <w:rPr>
          <w:spacing w:val="-2"/>
          <w:lang w:val="en-AU"/>
        </w:rPr>
        <w:t>Agreements</w:t>
      </w:r>
      <w:r w:rsidR="00177848" w:rsidRPr="00C6052E">
        <w:rPr>
          <w:spacing w:val="-2"/>
          <w:lang w:val="en-AU"/>
        </w:rPr>
        <w:t xml:space="preserve"> </w:t>
      </w:r>
      <w:r w:rsidRPr="00C6052E">
        <w:rPr>
          <w:spacing w:val="-2"/>
          <w:lang w:val="en-AU"/>
        </w:rPr>
        <w:t>–</w:t>
      </w:r>
      <w:r w:rsidR="00177848" w:rsidRPr="00C6052E">
        <w:rPr>
          <w:spacing w:val="-2"/>
          <w:lang w:val="en-AU"/>
        </w:rPr>
        <w:t xml:space="preserve"> </w:t>
      </w:r>
      <w:r w:rsidRPr="00C6052E">
        <w:rPr>
          <w:spacing w:val="-2"/>
          <w:lang w:val="en-AU"/>
        </w:rPr>
        <w:t>Infrastructure,</w:t>
      </w:r>
      <w:r w:rsidR="00177848" w:rsidRPr="00C6052E">
        <w:rPr>
          <w:spacing w:val="-2"/>
          <w:lang w:val="en-AU"/>
        </w:rPr>
        <w:t xml:space="preserve"> </w:t>
      </w:r>
      <w:r w:rsidRPr="00C6052E">
        <w:rPr>
          <w:spacing w:val="-2"/>
          <w:lang w:val="en-AU"/>
        </w:rPr>
        <w:t>including</w:t>
      </w:r>
      <w:r w:rsidR="00177848" w:rsidRPr="00C6052E">
        <w:rPr>
          <w:spacing w:val="-2"/>
          <w:lang w:val="en-AU"/>
        </w:rPr>
        <w:t xml:space="preserve"> </w:t>
      </w:r>
      <w:r w:rsidRPr="00C6052E">
        <w:rPr>
          <w:spacing w:val="-2"/>
          <w:lang w:val="en-AU"/>
        </w:rPr>
        <w:t>11</w:t>
      </w:r>
      <w:r w:rsidR="00177848" w:rsidRPr="00C6052E">
        <w:rPr>
          <w:spacing w:val="-2"/>
          <w:lang w:val="en-AU"/>
        </w:rPr>
        <w:t xml:space="preserve"> </w:t>
      </w:r>
      <w:r w:rsidRPr="00C6052E">
        <w:rPr>
          <w:spacing w:val="-2"/>
          <w:lang w:val="en-AU"/>
        </w:rPr>
        <w:t>projects</w:t>
      </w:r>
      <w:r w:rsidR="00177848" w:rsidRPr="00C6052E">
        <w:rPr>
          <w:spacing w:val="-2"/>
          <w:lang w:val="en-AU"/>
        </w:rPr>
        <w:t xml:space="preserve"> </w:t>
      </w:r>
      <w:r w:rsidRPr="00C6052E">
        <w:rPr>
          <w:spacing w:val="-2"/>
          <w:lang w:val="en-AU"/>
        </w:rPr>
        <w:t>under</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Growing</w:t>
      </w:r>
      <w:r w:rsidR="00177848" w:rsidRPr="00C6052E">
        <w:rPr>
          <w:spacing w:val="-2"/>
          <w:lang w:val="en-AU"/>
        </w:rPr>
        <w:t xml:space="preserve"> </w:t>
      </w:r>
      <w:r w:rsidRPr="00C6052E">
        <w:rPr>
          <w:spacing w:val="-2"/>
          <w:lang w:val="en-AU"/>
        </w:rPr>
        <w:t>Regions</w:t>
      </w:r>
      <w:r w:rsidR="00177848" w:rsidRPr="00C6052E">
        <w:rPr>
          <w:spacing w:val="-2"/>
          <w:lang w:val="en-AU"/>
        </w:rPr>
        <w:t xml:space="preserve"> </w:t>
      </w:r>
      <w:r w:rsidRPr="00C6052E">
        <w:rPr>
          <w:spacing w:val="-2"/>
          <w:lang w:val="en-AU"/>
        </w:rPr>
        <w:t>Program</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r w:rsidRPr="00C6052E">
        <w:rPr>
          <w:spacing w:val="-2"/>
          <w:lang w:val="en-AU"/>
        </w:rPr>
        <w:t>7</w:t>
      </w:r>
      <w:r w:rsidR="00177848" w:rsidRPr="00C6052E">
        <w:rPr>
          <w:spacing w:val="-2"/>
          <w:lang w:val="en-AU"/>
        </w:rPr>
        <w:t xml:space="preserve"> </w:t>
      </w:r>
      <w:r w:rsidRPr="00C6052E">
        <w:rPr>
          <w:spacing w:val="-2"/>
          <w:lang w:val="en-AU"/>
        </w:rPr>
        <w:t>projects</w:t>
      </w:r>
      <w:r w:rsidR="00177848" w:rsidRPr="00C6052E">
        <w:rPr>
          <w:spacing w:val="-2"/>
          <w:lang w:val="en-AU"/>
        </w:rPr>
        <w:t xml:space="preserve"> </w:t>
      </w:r>
      <w:r w:rsidRPr="00C6052E">
        <w:rPr>
          <w:spacing w:val="-2"/>
          <w:lang w:val="en-AU"/>
        </w:rPr>
        <w:t>under</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Regional</w:t>
      </w:r>
      <w:r w:rsidR="00177848" w:rsidRPr="00C6052E">
        <w:rPr>
          <w:spacing w:val="-2"/>
          <w:lang w:val="en-AU"/>
        </w:rPr>
        <w:t xml:space="preserve"> </w:t>
      </w:r>
      <w:r w:rsidRPr="00C6052E">
        <w:rPr>
          <w:spacing w:val="-2"/>
          <w:lang w:val="en-AU"/>
        </w:rPr>
        <w:t>Precincts</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r w:rsidRPr="00C6052E">
        <w:rPr>
          <w:spacing w:val="-2"/>
          <w:lang w:val="en-AU"/>
        </w:rPr>
        <w:t>Partnerships</w:t>
      </w:r>
      <w:r w:rsidR="00177848" w:rsidRPr="00C6052E">
        <w:rPr>
          <w:spacing w:val="-2"/>
          <w:lang w:val="en-AU"/>
        </w:rPr>
        <w:t xml:space="preserve"> </w:t>
      </w:r>
      <w:r w:rsidRPr="00C6052E">
        <w:rPr>
          <w:spacing w:val="-2"/>
          <w:lang w:val="en-AU"/>
        </w:rPr>
        <w:t>Program</w:t>
      </w:r>
    </w:p>
    <w:p w14:paraId="1EA24068" w14:textId="34AD213F" w:rsidR="00EE5BB8" w:rsidRPr="00C6052E" w:rsidRDefault="00EE5BB8" w:rsidP="00EE5BB8">
      <w:pPr>
        <w:pStyle w:val="Bullet1"/>
        <w:numPr>
          <w:ilvl w:val="0"/>
          <w:numId w:val="1"/>
        </w:numPr>
        <w:spacing w:line="278" w:lineRule="auto"/>
        <w:ind w:left="284" w:hanging="284"/>
        <w:rPr>
          <w:lang w:val="en-AU"/>
        </w:rPr>
      </w:pPr>
      <w:r w:rsidRPr="00C6052E">
        <w:rPr>
          <w:lang w:val="en-AU"/>
        </w:rPr>
        <w:t>1</w:t>
      </w:r>
      <w:r w:rsidR="00177848" w:rsidRPr="00C6052E">
        <w:rPr>
          <w:lang w:val="en-AU"/>
        </w:rPr>
        <w:t xml:space="preserve"> </w:t>
      </w:r>
      <w:r w:rsidRPr="00C6052E">
        <w:rPr>
          <w:lang w:val="en-AU"/>
        </w:rPr>
        <w:t>project</w:t>
      </w:r>
      <w:r w:rsidR="00177848" w:rsidRPr="00C6052E">
        <w:rPr>
          <w:lang w:val="en-AU"/>
        </w:rPr>
        <w:t xml:space="preserve"> </w:t>
      </w:r>
      <w:r w:rsidRPr="00C6052E">
        <w:rPr>
          <w:lang w:val="en-AU"/>
        </w:rPr>
        <w:t>under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Australia</w:t>
      </w:r>
      <w:r w:rsidR="00177848" w:rsidRPr="00C6052E">
        <w:rPr>
          <w:lang w:val="en-AU"/>
        </w:rPr>
        <w:t xml:space="preserve"> </w:t>
      </w:r>
      <w:r w:rsidRPr="00C6052E">
        <w:rPr>
          <w:lang w:val="en-AU"/>
        </w:rPr>
        <w:t>Institute</w:t>
      </w:r>
      <w:r w:rsidR="00177848" w:rsidRPr="00C6052E">
        <w:rPr>
          <w:lang w:val="en-AU"/>
        </w:rPr>
        <w:t xml:space="preserve"> </w:t>
      </w:r>
      <w:r w:rsidRPr="00C6052E">
        <w:rPr>
          <w:lang w:val="en-AU"/>
        </w:rPr>
        <w:t>Strategic</w:t>
      </w:r>
      <w:r w:rsidR="00177848" w:rsidRPr="00C6052E">
        <w:rPr>
          <w:lang w:val="en-AU"/>
        </w:rPr>
        <w:t xml:space="preserve"> </w:t>
      </w:r>
      <w:r w:rsidRPr="00C6052E">
        <w:rPr>
          <w:lang w:val="en-AU"/>
        </w:rPr>
        <w:t>Partnership</w:t>
      </w:r>
    </w:p>
    <w:p w14:paraId="518D9385" w14:textId="671CE9FD" w:rsidR="00EE5BB8" w:rsidRPr="00C6052E" w:rsidRDefault="00EE5BB8" w:rsidP="00EE5BB8">
      <w:pPr>
        <w:pStyle w:val="Bullet1"/>
        <w:numPr>
          <w:ilvl w:val="0"/>
          <w:numId w:val="1"/>
        </w:numPr>
        <w:spacing w:line="278" w:lineRule="auto"/>
        <w:ind w:left="284" w:hanging="284"/>
        <w:rPr>
          <w:lang w:val="en-AU"/>
        </w:rPr>
      </w:pPr>
      <w:r w:rsidRPr="00C6052E">
        <w:rPr>
          <w:lang w:val="en-AU"/>
        </w:rPr>
        <w:t>13</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Australia</w:t>
      </w:r>
      <w:r w:rsidR="00177848" w:rsidRPr="00C6052E">
        <w:rPr>
          <w:lang w:val="en-AU"/>
        </w:rPr>
        <w:t xml:space="preserve"> </w:t>
      </w:r>
      <w:r w:rsidRPr="00C6052E">
        <w:rPr>
          <w:lang w:val="en-AU"/>
        </w:rPr>
        <w:t>initiative</w:t>
      </w:r>
    </w:p>
    <w:p w14:paraId="3F6148EE" w14:textId="5782A05B" w:rsidR="00EE5BB8" w:rsidRPr="00C6052E" w:rsidRDefault="00EE5BB8" w:rsidP="00EE5BB8">
      <w:pPr>
        <w:pStyle w:val="Bullet1"/>
        <w:numPr>
          <w:ilvl w:val="0"/>
          <w:numId w:val="1"/>
        </w:numPr>
        <w:spacing w:line="278" w:lineRule="auto"/>
        <w:ind w:left="284" w:hanging="284"/>
        <w:rPr>
          <w:lang w:val="en-AU"/>
        </w:rPr>
      </w:pPr>
      <w:r w:rsidRPr="00C6052E">
        <w:rPr>
          <w:lang w:val="en-AU"/>
        </w:rPr>
        <w:t>1</w:t>
      </w:r>
      <w:r w:rsidR="00177848" w:rsidRPr="00C6052E">
        <w:rPr>
          <w:lang w:val="en-AU"/>
        </w:rPr>
        <w:t xml:space="preserve"> </w:t>
      </w:r>
      <w:r w:rsidRPr="00C6052E">
        <w:rPr>
          <w:lang w:val="en-AU"/>
        </w:rPr>
        <w:t>project</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Fund</w:t>
      </w:r>
    </w:p>
    <w:p w14:paraId="1237B6B8" w14:textId="75294285" w:rsidR="00EE5BB8" w:rsidRPr="00C6052E" w:rsidRDefault="00EE5BB8" w:rsidP="00EE5BB8">
      <w:pPr>
        <w:pStyle w:val="Bullet1"/>
        <w:numPr>
          <w:ilvl w:val="0"/>
          <w:numId w:val="1"/>
        </w:numPr>
        <w:spacing w:line="278" w:lineRule="auto"/>
        <w:ind w:left="284" w:hanging="284"/>
        <w:rPr>
          <w:lang w:val="en-AU"/>
        </w:rPr>
      </w:pPr>
      <w:r w:rsidRPr="00C6052E">
        <w:rPr>
          <w:lang w:val="en-AU"/>
        </w:rPr>
        <w:t>5</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Portland</w:t>
      </w:r>
      <w:r w:rsidR="00177848" w:rsidRPr="00C6052E">
        <w:rPr>
          <w:lang w:val="en-AU"/>
        </w:rPr>
        <w:t xml:space="preserve"> </w:t>
      </w:r>
      <w:r w:rsidRPr="00C6052E">
        <w:rPr>
          <w:lang w:val="en-AU"/>
        </w:rPr>
        <w:t>Diversification</w:t>
      </w:r>
      <w:r w:rsidR="00177848" w:rsidRPr="00C6052E">
        <w:rPr>
          <w:lang w:val="en-AU"/>
        </w:rPr>
        <w:t xml:space="preserve"> </w:t>
      </w:r>
      <w:r w:rsidRPr="00C6052E">
        <w:rPr>
          <w:lang w:val="en-AU"/>
        </w:rPr>
        <w:t>Fund,</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part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Portland</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Diversification</w:t>
      </w:r>
      <w:r w:rsidR="00177848" w:rsidRPr="00C6052E">
        <w:rPr>
          <w:lang w:val="en-AU"/>
        </w:rPr>
        <w:t xml:space="preserve"> </w:t>
      </w:r>
      <w:r w:rsidRPr="00C6052E">
        <w:rPr>
          <w:lang w:val="en-AU"/>
        </w:rPr>
        <w:t>Plan</w:t>
      </w:r>
    </w:p>
    <w:p w14:paraId="7E6965AA" w14:textId="347A9D88" w:rsidR="00EE5BB8" w:rsidRPr="00C6052E" w:rsidRDefault="00EE5BB8" w:rsidP="00EE5BB8">
      <w:pPr>
        <w:pStyle w:val="Bullet1"/>
        <w:numPr>
          <w:ilvl w:val="0"/>
          <w:numId w:val="1"/>
        </w:numPr>
        <w:spacing w:line="278" w:lineRule="auto"/>
        <w:ind w:left="284" w:hanging="284"/>
        <w:rPr>
          <w:lang w:val="en-AU"/>
        </w:rPr>
      </w:pPr>
      <w:r w:rsidRPr="00C6052E">
        <w:rPr>
          <w:lang w:val="en-AU"/>
        </w:rPr>
        <w:t>21</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Worker</w:t>
      </w:r>
      <w:r w:rsidR="00177848" w:rsidRPr="00C6052E">
        <w:rPr>
          <w:lang w:val="en-AU"/>
        </w:rPr>
        <w:t xml:space="preserve"> </w:t>
      </w:r>
      <w:r w:rsidRPr="00C6052E">
        <w:rPr>
          <w:lang w:val="en-AU"/>
        </w:rPr>
        <w:t>Accommodation</w:t>
      </w:r>
      <w:r w:rsidR="00177848" w:rsidRPr="00C6052E">
        <w:rPr>
          <w:lang w:val="en-AU"/>
        </w:rPr>
        <w:t xml:space="preserve"> </w:t>
      </w:r>
      <w:r w:rsidRPr="00C6052E">
        <w:rPr>
          <w:lang w:val="en-AU"/>
        </w:rPr>
        <w:t>Fund</w:t>
      </w:r>
    </w:p>
    <w:p w14:paraId="2C6E2D22" w14:textId="74EBEEB7" w:rsidR="00EE5BB8" w:rsidRPr="00C6052E" w:rsidRDefault="00EE5BB8" w:rsidP="00EE5BB8">
      <w:pPr>
        <w:pStyle w:val="Bullet1"/>
        <w:numPr>
          <w:ilvl w:val="0"/>
          <w:numId w:val="1"/>
        </w:numPr>
        <w:spacing w:line="278" w:lineRule="auto"/>
        <w:ind w:left="284" w:hanging="284"/>
        <w:rPr>
          <w:lang w:val="en-AU"/>
        </w:rPr>
      </w:pPr>
      <w:r w:rsidRPr="00C6052E">
        <w:rPr>
          <w:lang w:val="en-AU"/>
        </w:rPr>
        <w:t>189</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Tiny</w:t>
      </w:r>
      <w:r w:rsidR="00177848" w:rsidRPr="00C6052E">
        <w:rPr>
          <w:lang w:val="en-AU"/>
        </w:rPr>
        <w:t xml:space="preserve"> </w:t>
      </w:r>
      <w:r w:rsidRPr="00C6052E">
        <w:rPr>
          <w:lang w:val="en-AU"/>
        </w:rPr>
        <w:t>Towns</w:t>
      </w:r>
      <w:r w:rsidR="00177848" w:rsidRPr="00C6052E">
        <w:rPr>
          <w:lang w:val="en-AU"/>
        </w:rPr>
        <w:t xml:space="preserve"> </w:t>
      </w:r>
      <w:r w:rsidRPr="00C6052E">
        <w:rPr>
          <w:lang w:val="en-AU"/>
        </w:rPr>
        <w:t>Fund</w:t>
      </w:r>
    </w:p>
    <w:p w14:paraId="19C64D4B" w14:textId="65D76947" w:rsidR="00EE5BB8" w:rsidRPr="00C6052E" w:rsidRDefault="00EE5BB8" w:rsidP="00EE5BB8">
      <w:pPr>
        <w:pStyle w:val="Bullet1last"/>
        <w:numPr>
          <w:ilvl w:val="0"/>
          <w:numId w:val="1"/>
        </w:numPr>
        <w:spacing w:line="278" w:lineRule="auto"/>
        <w:ind w:left="284" w:hanging="284"/>
        <w:rPr>
          <w:lang w:val="en-AU"/>
        </w:rPr>
      </w:pPr>
      <w:r w:rsidRPr="00C6052E">
        <w:rPr>
          <w:lang w:val="en-AU"/>
        </w:rPr>
        <w:t>3</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Traditional</w:t>
      </w:r>
      <w:r w:rsidR="00177848" w:rsidRPr="00C6052E">
        <w:rPr>
          <w:lang w:val="en-AU"/>
        </w:rPr>
        <w:t xml:space="preserve"> </w:t>
      </w:r>
      <w:r w:rsidRPr="00C6052E">
        <w:rPr>
          <w:lang w:val="en-AU"/>
        </w:rPr>
        <w:t>Owner</w:t>
      </w:r>
      <w:r w:rsidR="00177848" w:rsidRPr="00C6052E">
        <w:rPr>
          <w:lang w:val="en-AU"/>
        </w:rPr>
        <w:t xml:space="preserve"> </w:t>
      </w:r>
      <w:r w:rsidRPr="00C6052E">
        <w:rPr>
          <w:lang w:val="en-AU"/>
        </w:rPr>
        <w:t>Corporations</w:t>
      </w:r>
      <w:r w:rsidR="00177848" w:rsidRPr="00C6052E">
        <w:rPr>
          <w:lang w:val="en-AU"/>
        </w:rPr>
        <w:t xml:space="preserve"> </w:t>
      </w:r>
      <w:r w:rsidRPr="00C6052E">
        <w:rPr>
          <w:lang w:val="en-AU"/>
        </w:rPr>
        <w:t>–</w:t>
      </w:r>
      <w:r w:rsidR="00177848" w:rsidRPr="00C6052E">
        <w:rPr>
          <w:lang w:val="en-AU"/>
        </w:rPr>
        <w:t xml:space="preserve"> </w:t>
      </w:r>
      <w:r w:rsidRPr="00C6052E">
        <w:rPr>
          <w:lang w:val="en-AU"/>
        </w:rPr>
        <w:t>Delivery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Package</w:t>
      </w:r>
      <w:r w:rsidR="00177848" w:rsidRPr="00C6052E">
        <w:rPr>
          <w:lang w:val="en-AU"/>
        </w:rPr>
        <w:t xml:space="preserve"> </w:t>
      </w:r>
      <w:r w:rsidRPr="00C6052E">
        <w:rPr>
          <w:lang w:val="en-AU"/>
        </w:rPr>
        <w:t>initiative</w:t>
      </w:r>
    </w:p>
    <w:p w14:paraId="678FE4D9" w14:textId="73235EFA" w:rsidR="00EE5BB8" w:rsidRPr="00C6052E" w:rsidRDefault="00EE5BB8" w:rsidP="00EE5BB8">
      <w:r w:rsidRPr="00C6052E">
        <w:t>The</w:t>
      </w:r>
      <w:r w:rsidR="00177848" w:rsidRPr="00C6052E">
        <w:t xml:space="preserve"> </w:t>
      </w:r>
      <w:r w:rsidRPr="00C6052E">
        <w:t>2024–25</w:t>
      </w:r>
      <w:r w:rsidR="00177848" w:rsidRPr="00C6052E">
        <w:t xml:space="preserve"> </w:t>
      </w:r>
      <w:r w:rsidRPr="00C6052E">
        <w:t>outcome</w:t>
      </w:r>
      <w:r w:rsidR="00177848" w:rsidRPr="00C6052E">
        <w:t xml:space="preserve"> </w:t>
      </w:r>
      <w:r w:rsidRPr="00C6052E">
        <w:t>of</w:t>
      </w:r>
      <w:r w:rsidR="00177848" w:rsidRPr="00C6052E">
        <w:t xml:space="preserve"> </w:t>
      </w:r>
      <w:r w:rsidRPr="00C6052E">
        <w:t>262</w:t>
      </w:r>
      <w:r w:rsidR="00177848" w:rsidRPr="00C6052E">
        <w:t xml:space="preserve"> </w:t>
      </w:r>
      <w:r w:rsidRPr="00C6052E">
        <w:t>projects</w:t>
      </w:r>
      <w:r w:rsidR="00177848" w:rsidRPr="00C6052E">
        <w:t xml:space="preserve"> </w:t>
      </w:r>
      <w:r w:rsidRPr="00C6052E">
        <w:t>is</w:t>
      </w:r>
      <w:r w:rsidR="00177848" w:rsidRPr="00C6052E">
        <w:t xml:space="preserve"> </w:t>
      </w:r>
      <w:r w:rsidRPr="00C6052E">
        <w:t>an</w:t>
      </w:r>
      <w:r w:rsidR="00177848" w:rsidRPr="00C6052E">
        <w:t xml:space="preserve"> </w:t>
      </w:r>
      <w:r w:rsidRPr="00C6052E">
        <w:t>increase</w:t>
      </w:r>
      <w:r w:rsidR="00177848" w:rsidRPr="00C6052E">
        <w:t xml:space="preserve"> </w:t>
      </w:r>
      <w:r w:rsidRPr="00C6052E">
        <w:t>of</w:t>
      </w:r>
      <w:r w:rsidR="00177848" w:rsidRPr="00C6052E">
        <w:t xml:space="preserve"> </w:t>
      </w:r>
      <w:r w:rsidRPr="00C6052E">
        <w:t>28%</w:t>
      </w:r>
      <w:r w:rsidR="00177848" w:rsidRPr="00C6052E">
        <w:t xml:space="preserve"> </w:t>
      </w:r>
      <w:r w:rsidRPr="00C6052E">
        <w:t>above</w:t>
      </w:r>
      <w:r w:rsidR="00177848" w:rsidRPr="00C6052E">
        <w:t xml:space="preserve"> </w:t>
      </w:r>
      <w:r w:rsidRPr="00C6052E">
        <w:t>the</w:t>
      </w:r>
      <w:r w:rsidR="00177848" w:rsidRPr="00C6052E">
        <w:t xml:space="preserve"> </w:t>
      </w:r>
      <w:r w:rsidRPr="00C6052E">
        <w:t>2023–24</w:t>
      </w:r>
      <w:r w:rsidR="00177848" w:rsidRPr="00C6052E">
        <w:t xml:space="preserve"> </w:t>
      </w:r>
      <w:r w:rsidRPr="00C6052E">
        <w:t>outcome</w:t>
      </w:r>
      <w:r w:rsidR="00177848" w:rsidRPr="00C6052E">
        <w:t xml:space="preserve"> </w:t>
      </w:r>
      <w:r w:rsidRPr="00C6052E">
        <w:t>of</w:t>
      </w:r>
      <w:r w:rsidR="00177848" w:rsidRPr="00C6052E">
        <w:t xml:space="preserve"> </w:t>
      </w:r>
      <w:r w:rsidRPr="00C6052E">
        <w:t>205.</w:t>
      </w:r>
      <w:r w:rsidR="00177848" w:rsidRPr="00C6052E">
        <w:t xml:space="preserve"> </w:t>
      </w:r>
      <w:r w:rsidRPr="00C6052E">
        <w:t>Outcomes</w:t>
      </w:r>
      <w:r w:rsidR="00177848" w:rsidRPr="00C6052E">
        <w:t xml:space="preserve"> </w:t>
      </w:r>
      <w:r w:rsidRPr="00C6052E">
        <w:t>against</w:t>
      </w:r>
      <w:r w:rsidR="00177848" w:rsidRPr="00C6052E">
        <w:t xml:space="preserve"> </w:t>
      </w:r>
      <w:r w:rsidRPr="00C6052E">
        <w:t>this</w:t>
      </w:r>
      <w:r w:rsidR="00177848" w:rsidRPr="00C6052E">
        <w:t xml:space="preserve"> </w:t>
      </w:r>
      <w:r w:rsidRPr="00C6052E">
        <w:t>measure</w:t>
      </w:r>
      <w:r w:rsidR="00177848" w:rsidRPr="00C6052E">
        <w:t xml:space="preserve"> </w:t>
      </w:r>
      <w:r w:rsidRPr="00C6052E">
        <w:t>tend</w:t>
      </w:r>
      <w:r w:rsidR="00177848" w:rsidRPr="00C6052E">
        <w:t xml:space="preserve"> </w:t>
      </w:r>
      <w:r w:rsidRPr="00C6052E">
        <w:t>to</w:t>
      </w:r>
      <w:r w:rsidR="00177848" w:rsidRPr="00C6052E">
        <w:t xml:space="preserve"> </w:t>
      </w:r>
      <w:r w:rsidRPr="00C6052E">
        <w:t>fluctuate</w:t>
      </w:r>
      <w:r w:rsidR="00177848" w:rsidRPr="00C6052E">
        <w:t xml:space="preserve"> </w:t>
      </w:r>
      <w:r w:rsidRPr="00C6052E">
        <w:t>considerably</w:t>
      </w:r>
      <w:r w:rsidR="00177848" w:rsidRPr="00C6052E">
        <w:t xml:space="preserve"> </w:t>
      </w:r>
      <w:r w:rsidRPr="00C6052E">
        <w:t>from</w:t>
      </w:r>
      <w:r w:rsidR="00177848" w:rsidRPr="00C6052E">
        <w:t xml:space="preserve"> </w:t>
      </w:r>
      <w:r w:rsidRPr="00C6052E">
        <w:t>year</w:t>
      </w:r>
      <w:r w:rsidR="00177848" w:rsidRPr="00C6052E">
        <w:t xml:space="preserve"> </w:t>
      </w:r>
      <w:r w:rsidRPr="00C6052E">
        <w:t>to</w:t>
      </w:r>
      <w:r w:rsidR="00177848" w:rsidRPr="00C6052E">
        <w:t xml:space="preserve"> </w:t>
      </w:r>
      <w:r w:rsidRPr="00C6052E">
        <w:t>year,</w:t>
      </w:r>
      <w:r w:rsidR="00177848" w:rsidRPr="00C6052E">
        <w:t xml:space="preserve"> </w:t>
      </w:r>
      <w:r w:rsidRPr="00C6052E">
        <w:t>as</w:t>
      </w:r>
      <w:r w:rsidR="00177848" w:rsidRPr="00C6052E">
        <w:t xml:space="preserve"> </w:t>
      </w:r>
      <w:r w:rsidRPr="00C6052E">
        <w:t>they</w:t>
      </w:r>
      <w:r w:rsidR="00177848" w:rsidRPr="00C6052E">
        <w:t xml:space="preserve"> </w:t>
      </w:r>
      <w:r w:rsidRPr="00C6052E">
        <w:t>are</w:t>
      </w:r>
      <w:r w:rsidR="00177848" w:rsidRPr="00C6052E">
        <w:t xml:space="preserve"> </w:t>
      </w:r>
      <w:r w:rsidRPr="00C6052E">
        <w:t>highly</w:t>
      </w:r>
      <w:r w:rsidR="00177848" w:rsidRPr="00C6052E">
        <w:t xml:space="preserve"> </w:t>
      </w:r>
      <w:r w:rsidRPr="00C6052E">
        <w:t>dependent</w:t>
      </w:r>
      <w:r w:rsidR="00177848" w:rsidRPr="00C6052E">
        <w:t xml:space="preserve"> </w:t>
      </w:r>
      <w:r w:rsidRPr="00C6052E">
        <w:t>on</w:t>
      </w:r>
      <w:r w:rsidR="00177848" w:rsidRPr="00C6052E">
        <w:t xml:space="preserve"> </w:t>
      </w:r>
      <w:r w:rsidRPr="00C6052E">
        <w:t>the</w:t>
      </w:r>
      <w:r w:rsidR="00177848" w:rsidRPr="00C6052E">
        <w:t xml:space="preserve"> </w:t>
      </w:r>
      <w:r w:rsidRPr="00C6052E">
        <w:t>scope</w:t>
      </w:r>
      <w:r w:rsidR="00177848" w:rsidRPr="00C6052E">
        <w:t xml:space="preserve"> </w:t>
      </w:r>
      <w:r w:rsidRPr="00C6052E">
        <w:t>and</w:t>
      </w:r>
      <w:r w:rsidR="00177848" w:rsidRPr="00C6052E">
        <w:t xml:space="preserve"> </w:t>
      </w:r>
      <w:r w:rsidRPr="00C6052E">
        <w:t>nature</w:t>
      </w:r>
      <w:r w:rsidR="00177848" w:rsidRPr="00C6052E">
        <w:t xml:space="preserve"> </w:t>
      </w:r>
      <w:r w:rsidRPr="00C6052E">
        <w:t>of</w:t>
      </w:r>
      <w:r w:rsidR="00177848" w:rsidRPr="00C6052E">
        <w:t xml:space="preserve"> </w:t>
      </w:r>
      <w:r w:rsidRPr="00C6052E">
        <w:t>programs</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is</w:t>
      </w:r>
      <w:r w:rsidR="00177848" w:rsidRPr="00C6052E">
        <w:t xml:space="preserve"> </w:t>
      </w:r>
      <w:r w:rsidRPr="00C6052E">
        <w:t>set</w:t>
      </w:r>
      <w:r w:rsidR="00177848" w:rsidRPr="00C6052E">
        <w:t xml:space="preserve"> </w:t>
      </w:r>
      <w:r w:rsidRPr="00C6052E">
        <w:t>to</w:t>
      </w:r>
      <w:r w:rsidR="00177848" w:rsidRPr="00C6052E">
        <w:t xml:space="preserve"> </w:t>
      </w:r>
      <w:r w:rsidRPr="00C6052E">
        <w:t>deliver</w:t>
      </w:r>
      <w:r w:rsidR="00177848" w:rsidRPr="00C6052E">
        <w:t xml:space="preserve"> </w:t>
      </w:r>
      <w:r w:rsidRPr="00C6052E">
        <w:t>and</w:t>
      </w:r>
      <w:r w:rsidR="00177848" w:rsidRPr="00C6052E">
        <w:t xml:space="preserve"> </w:t>
      </w:r>
      <w:r w:rsidRPr="00C6052E">
        <w:t>are</w:t>
      </w:r>
      <w:r w:rsidR="00177848" w:rsidRPr="00C6052E">
        <w:t xml:space="preserve"> </w:t>
      </w:r>
      <w:r w:rsidRPr="00C6052E">
        <w:t>reflective</w:t>
      </w:r>
      <w:r w:rsidR="00177848" w:rsidRPr="00C6052E">
        <w:t xml:space="preserve"> </w:t>
      </w:r>
      <w:r w:rsidRPr="00C6052E">
        <w:t>of</w:t>
      </w:r>
      <w:r w:rsidR="00177848" w:rsidRPr="00C6052E">
        <w:t xml:space="preserve"> </w:t>
      </w:r>
      <w:r w:rsidRPr="00C6052E">
        <w:t>government’s</w:t>
      </w:r>
      <w:r w:rsidR="00177848" w:rsidRPr="00C6052E">
        <w:t xml:space="preserve"> </w:t>
      </w:r>
      <w:r w:rsidRPr="00C6052E">
        <w:t>priorities</w:t>
      </w:r>
      <w:r w:rsidR="00177848" w:rsidRPr="00C6052E">
        <w:t xml:space="preserve"> </w:t>
      </w:r>
      <w:r w:rsidRPr="00C6052E">
        <w:t>at</w:t>
      </w:r>
      <w:r w:rsidR="00177848" w:rsidRPr="00C6052E">
        <w:t xml:space="preserve"> </w:t>
      </w:r>
      <w:r w:rsidRPr="00C6052E">
        <w:t>a</w:t>
      </w:r>
      <w:r w:rsidR="00177848" w:rsidRPr="00C6052E">
        <w:t xml:space="preserve"> </w:t>
      </w:r>
      <w:r w:rsidRPr="00C6052E">
        <w:t>given</w:t>
      </w:r>
      <w:r w:rsidR="00177848" w:rsidRPr="00C6052E">
        <w:t xml:space="preserve"> </w:t>
      </w:r>
      <w:r w:rsidRPr="00C6052E">
        <w:t>time.</w:t>
      </w:r>
      <w:bookmarkStart w:id="26" w:name="_Toc152067224"/>
      <w:bookmarkEnd w:id="26"/>
    </w:p>
    <w:p w14:paraId="164B584A" w14:textId="7E57DC3C" w:rsidR="00EE5BB8" w:rsidRPr="00C6052E" w:rsidRDefault="00EE5BB8" w:rsidP="00EE5BB8">
      <w:pPr>
        <w:pStyle w:val="Heading3"/>
      </w:pPr>
      <w:r w:rsidRPr="00C6052E">
        <w:t>Indicator:</w:t>
      </w:r>
      <w:r w:rsidR="00177848" w:rsidRPr="00C6052E">
        <w:t xml:space="preserve"> </w:t>
      </w:r>
      <w:r w:rsidRPr="00C6052E">
        <w:t>Sustainability</w:t>
      </w:r>
      <w:r w:rsidR="00177848" w:rsidRPr="00C6052E">
        <w:t xml:space="preserve"> </w:t>
      </w:r>
      <w:r w:rsidRPr="00C6052E">
        <w:t>of</w:t>
      </w:r>
      <w:r w:rsidR="00177848" w:rsidRPr="00C6052E">
        <w:t xml:space="preserve"> </w:t>
      </w:r>
      <w:r w:rsidRPr="00C6052E">
        <w:t>assessed</w:t>
      </w:r>
      <w:r w:rsidR="00177848" w:rsidRPr="00C6052E">
        <w:t xml:space="preserve"> </w:t>
      </w:r>
      <w:r w:rsidRPr="00C6052E">
        <w:t>fish</w:t>
      </w:r>
      <w:r w:rsidR="00177848" w:rsidRPr="00C6052E">
        <w:t xml:space="preserve"> </w:t>
      </w:r>
      <w:r w:rsidRPr="00C6052E">
        <w:t>stocks</w:t>
      </w:r>
    </w:p>
    <w:p w14:paraId="6386C13C" w14:textId="17CEB7D6" w:rsidR="00EE5BB8" w:rsidRPr="00C6052E" w:rsidRDefault="00EE5BB8" w:rsidP="00EE5BB8">
      <w:pPr>
        <w:pStyle w:val="TableHeading"/>
      </w:pPr>
      <w:r w:rsidRPr="00C6052E">
        <w:t>Table</w:t>
      </w:r>
      <w:r w:rsidR="00177848" w:rsidRPr="00C6052E">
        <w:t xml:space="preserve"> </w:t>
      </w:r>
      <w:r w:rsidRPr="00C6052E">
        <w:t>12:</w:t>
      </w:r>
      <w:r w:rsidR="00177848" w:rsidRPr="00C6052E">
        <w:t xml:space="preserve"> </w:t>
      </w:r>
      <w:r w:rsidRPr="00C6052E">
        <w:t>Sustainability</w:t>
      </w:r>
      <w:r w:rsidR="00177848" w:rsidRPr="00C6052E">
        <w:t xml:space="preserve"> </w:t>
      </w:r>
      <w:r w:rsidRPr="00C6052E">
        <w:t>of</w:t>
      </w:r>
      <w:r w:rsidR="00177848" w:rsidRPr="00C6052E">
        <w:t xml:space="preserve"> </w:t>
      </w:r>
      <w:r w:rsidRPr="00C6052E">
        <w:t>assessed</w:t>
      </w:r>
      <w:r w:rsidR="00177848" w:rsidRPr="00C6052E">
        <w:t xml:space="preserve"> </w:t>
      </w:r>
      <w:r w:rsidRPr="00C6052E">
        <w:t>fish</w:t>
      </w:r>
      <w:r w:rsidR="00177848" w:rsidRPr="00C6052E">
        <w:t xml:space="preserve"> </w:t>
      </w:r>
      <w:r w:rsidRPr="00C6052E">
        <w:t>stocks</w:t>
      </w:r>
    </w:p>
    <w:tbl>
      <w:tblPr>
        <w:tblStyle w:val="TableGrid"/>
        <w:tblW w:w="9634" w:type="dxa"/>
        <w:tblLook w:val="04A0" w:firstRow="1" w:lastRow="0" w:firstColumn="1" w:lastColumn="0" w:noHBand="0" w:noVBand="1"/>
      </w:tblPr>
      <w:tblGrid>
        <w:gridCol w:w="5103"/>
        <w:gridCol w:w="1132"/>
        <w:gridCol w:w="1133"/>
        <w:gridCol w:w="1133"/>
        <w:gridCol w:w="1133"/>
      </w:tblGrid>
      <w:tr w:rsidR="00EE5BB8" w:rsidRPr="00C6052E" w14:paraId="757B80E9" w14:textId="77777777" w:rsidTr="0063097D">
        <w:tc>
          <w:tcPr>
            <w:tcW w:w="5103" w:type="dxa"/>
          </w:tcPr>
          <w:p w14:paraId="43AFF709" w14:textId="285EB168" w:rsidR="00EE5BB8" w:rsidRPr="00C6052E" w:rsidRDefault="00EE5BB8" w:rsidP="0063097D">
            <w:pPr>
              <w:pStyle w:val="TableColumnHeading"/>
              <w:rPr>
                <w:lang w:val="en-AU"/>
              </w:rPr>
            </w:pPr>
            <w:bookmarkStart w:id="27" w:name="TableColumnHeadings_20"/>
            <w:bookmarkEnd w:id="27"/>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132" w:type="dxa"/>
          </w:tcPr>
          <w:p w14:paraId="50A4DEBF" w14:textId="522AA8C9" w:rsidR="00EE5BB8" w:rsidRPr="00C6052E" w:rsidRDefault="00EE5BB8" w:rsidP="0063097D">
            <w:pPr>
              <w:pStyle w:val="TableColumnHeading"/>
              <w:jc w:val="right"/>
              <w:rPr>
                <w:lang w:val="en-AU"/>
              </w:rPr>
            </w:pPr>
            <w:r w:rsidRPr="00C6052E">
              <w:rPr>
                <w:lang w:val="en-AU"/>
              </w:rPr>
              <w:t>2021–22</w:t>
            </w:r>
            <w:r w:rsidR="00177848" w:rsidRPr="00C6052E">
              <w:rPr>
                <w:rFonts w:cs="Cambria"/>
                <w:lang w:val="en-AU"/>
              </w:rPr>
              <w:t xml:space="preserve"> </w:t>
            </w:r>
          </w:p>
        </w:tc>
        <w:tc>
          <w:tcPr>
            <w:tcW w:w="1133" w:type="dxa"/>
          </w:tcPr>
          <w:p w14:paraId="6002345B" w14:textId="33EC0BEC" w:rsidR="00EE5BB8" w:rsidRPr="00C6052E" w:rsidRDefault="00EE5BB8" w:rsidP="0063097D">
            <w:pPr>
              <w:pStyle w:val="TableColumnHeading"/>
              <w:jc w:val="right"/>
              <w:rPr>
                <w:lang w:val="en-AU"/>
              </w:rPr>
            </w:pPr>
            <w:r w:rsidRPr="00C6052E">
              <w:rPr>
                <w:lang w:val="en-AU"/>
              </w:rPr>
              <w:t>2022–23</w:t>
            </w:r>
            <w:r w:rsidR="00177848" w:rsidRPr="00C6052E">
              <w:rPr>
                <w:rFonts w:cs="Cambria"/>
                <w:lang w:val="en-AU"/>
              </w:rPr>
              <w:t xml:space="preserve"> </w:t>
            </w:r>
          </w:p>
        </w:tc>
        <w:tc>
          <w:tcPr>
            <w:tcW w:w="1133" w:type="dxa"/>
          </w:tcPr>
          <w:p w14:paraId="4F9F6146" w14:textId="60D17C3F" w:rsidR="00EE5BB8" w:rsidRPr="00C6052E" w:rsidRDefault="00EE5BB8" w:rsidP="0063097D">
            <w:pPr>
              <w:pStyle w:val="TableColumnHeading"/>
              <w:jc w:val="right"/>
              <w:rPr>
                <w:lang w:val="en-AU"/>
              </w:rPr>
            </w:pPr>
            <w:r w:rsidRPr="00C6052E">
              <w:rPr>
                <w:lang w:val="en-AU"/>
              </w:rPr>
              <w:t>2023–24</w:t>
            </w:r>
            <w:r w:rsidR="00177848" w:rsidRPr="00C6052E">
              <w:rPr>
                <w:rFonts w:cs="Cambria"/>
                <w:lang w:val="en-AU"/>
              </w:rPr>
              <w:t xml:space="preserve"> </w:t>
            </w:r>
          </w:p>
        </w:tc>
        <w:tc>
          <w:tcPr>
            <w:tcW w:w="1133" w:type="dxa"/>
          </w:tcPr>
          <w:p w14:paraId="30638895"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08E291BB" w14:textId="77777777" w:rsidTr="0063097D">
        <w:tc>
          <w:tcPr>
            <w:tcW w:w="5103" w:type="dxa"/>
          </w:tcPr>
          <w:p w14:paraId="1E0D611C" w14:textId="71B62342" w:rsidR="00EE5BB8" w:rsidRPr="00C6052E" w:rsidRDefault="00EE5BB8" w:rsidP="0063097D">
            <w:pPr>
              <w:pStyle w:val="TableCopy"/>
              <w:rPr>
                <w:lang w:val="en-AU"/>
              </w:rPr>
            </w:pPr>
            <w:r w:rsidRPr="00C6052E">
              <w:rPr>
                <w:lang w:val="en-AU"/>
              </w:rPr>
              <w:t>Percentage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quota-based</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stocks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were</w:t>
            </w:r>
            <w:r w:rsidR="00177848" w:rsidRPr="00C6052E">
              <w:rPr>
                <w:lang w:val="en-AU"/>
              </w:rPr>
              <w:t xml:space="preserve"> </w:t>
            </w:r>
            <w:r w:rsidRPr="00C6052E">
              <w:rPr>
                <w:lang w:val="en-AU"/>
              </w:rPr>
              <w:t>assessed</w:t>
            </w:r>
            <w:r w:rsidR="00177848" w:rsidRPr="00C6052E">
              <w:rPr>
                <w:lang w:val="en-AU"/>
              </w:rPr>
              <w:t xml:space="preserve"> </w:t>
            </w:r>
            <w:r w:rsidRPr="00C6052E">
              <w:rPr>
                <w:lang w:val="en-AU"/>
              </w:rPr>
              <w:t>during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year</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being</w:t>
            </w:r>
            <w:r w:rsidR="00177848" w:rsidRPr="00C6052E">
              <w:rPr>
                <w:lang w:val="en-AU"/>
              </w:rPr>
              <w:t xml:space="preserve"> </w:t>
            </w:r>
            <w:r w:rsidRPr="00C6052E">
              <w:rPr>
                <w:lang w:val="en-AU"/>
              </w:rPr>
              <w:t>fished</w:t>
            </w:r>
            <w:r w:rsidR="00177848" w:rsidRPr="00C6052E">
              <w:rPr>
                <w:lang w:val="en-AU"/>
              </w:rPr>
              <w:t xml:space="preserve"> </w:t>
            </w:r>
            <w:r w:rsidRPr="00C6052E">
              <w:rPr>
                <w:lang w:val="en-AU"/>
              </w:rPr>
              <w:t>sustainably</w:t>
            </w:r>
            <w:r w:rsidR="00177848" w:rsidRPr="00C6052E">
              <w:rPr>
                <w:lang w:val="en-AU"/>
              </w:rPr>
              <w:t xml:space="preserve"> </w:t>
            </w:r>
            <w:r w:rsidRPr="00C6052E">
              <w:rPr>
                <w:lang w:val="en-AU"/>
              </w:rPr>
              <w:t>(per</w:t>
            </w:r>
            <w:r w:rsidR="00177848" w:rsidRPr="00C6052E">
              <w:rPr>
                <w:lang w:val="en-AU"/>
              </w:rPr>
              <w:t xml:space="preserve"> </w:t>
            </w:r>
            <w:r w:rsidRPr="00C6052E">
              <w:rPr>
                <w:lang w:val="en-AU"/>
              </w:rPr>
              <w:t>cent)</w:t>
            </w:r>
          </w:p>
        </w:tc>
        <w:tc>
          <w:tcPr>
            <w:tcW w:w="1132" w:type="dxa"/>
          </w:tcPr>
          <w:p w14:paraId="02532965" w14:textId="77777777" w:rsidR="00EE5BB8" w:rsidRPr="00C6052E" w:rsidRDefault="00EE5BB8" w:rsidP="0063097D">
            <w:pPr>
              <w:pStyle w:val="TableCopy"/>
              <w:jc w:val="right"/>
              <w:rPr>
                <w:lang w:val="en-AU"/>
              </w:rPr>
            </w:pPr>
            <w:r w:rsidRPr="00C6052E">
              <w:rPr>
                <w:lang w:val="en-AU"/>
              </w:rPr>
              <w:t>100</w:t>
            </w:r>
          </w:p>
        </w:tc>
        <w:tc>
          <w:tcPr>
            <w:tcW w:w="1133" w:type="dxa"/>
          </w:tcPr>
          <w:p w14:paraId="4B67C056" w14:textId="77777777" w:rsidR="00EE5BB8" w:rsidRPr="00C6052E" w:rsidRDefault="00EE5BB8" w:rsidP="0063097D">
            <w:pPr>
              <w:pStyle w:val="TableCopy"/>
              <w:jc w:val="right"/>
              <w:rPr>
                <w:lang w:val="en-AU"/>
              </w:rPr>
            </w:pPr>
            <w:r w:rsidRPr="00C6052E">
              <w:rPr>
                <w:lang w:val="en-AU"/>
              </w:rPr>
              <w:t>100</w:t>
            </w:r>
          </w:p>
        </w:tc>
        <w:tc>
          <w:tcPr>
            <w:tcW w:w="1133" w:type="dxa"/>
          </w:tcPr>
          <w:p w14:paraId="664A895F" w14:textId="77777777" w:rsidR="00EE5BB8" w:rsidRPr="00C6052E" w:rsidRDefault="00EE5BB8" w:rsidP="0063097D">
            <w:pPr>
              <w:pStyle w:val="TableCopy"/>
              <w:jc w:val="right"/>
              <w:rPr>
                <w:lang w:val="en-AU"/>
              </w:rPr>
            </w:pPr>
            <w:r w:rsidRPr="00C6052E">
              <w:rPr>
                <w:lang w:val="en-AU"/>
              </w:rPr>
              <w:t>100</w:t>
            </w:r>
          </w:p>
        </w:tc>
        <w:tc>
          <w:tcPr>
            <w:tcW w:w="1133" w:type="dxa"/>
          </w:tcPr>
          <w:p w14:paraId="5484E218" w14:textId="77777777" w:rsidR="00EE5BB8" w:rsidRPr="00C6052E" w:rsidRDefault="00EE5BB8" w:rsidP="0063097D">
            <w:pPr>
              <w:pStyle w:val="TableCopy"/>
              <w:jc w:val="right"/>
              <w:rPr>
                <w:lang w:val="en-AU"/>
              </w:rPr>
            </w:pPr>
            <w:r w:rsidRPr="00C6052E">
              <w:rPr>
                <w:lang w:val="en-AU"/>
              </w:rPr>
              <w:t>100</w:t>
            </w:r>
          </w:p>
        </w:tc>
      </w:tr>
    </w:tbl>
    <w:p w14:paraId="76FD72B2" w14:textId="77777777" w:rsidR="00EE5BB8" w:rsidRPr="00C6052E" w:rsidRDefault="00EE5BB8" w:rsidP="00EE5BB8"/>
    <w:p w14:paraId="7426069B" w14:textId="5D887D66" w:rsidR="00EE5BB8" w:rsidRPr="00C6052E" w:rsidRDefault="00EE5BB8" w:rsidP="00EE5BB8">
      <w:pPr>
        <w:pStyle w:val="TableHeading"/>
      </w:pPr>
      <w:r w:rsidRPr="00C6052E">
        <w:lastRenderedPageBreak/>
        <w:t>Figure</w:t>
      </w:r>
      <w:r w:rsidR="00177848" w:rsidRPr="00C6052E">
        <w:t xml:space="preserve"> </w:t>
      </w:r>
      <w:r w:rsidRPr="00C6052E">
        <w:t>12:</w:t>
      </w:r>
      <w:r w:rsidR="00177848" w:rsidRPr="00C6052E">
        <w:t xml:space="preserve"> </w:t>
      </w:r>
      <w:r w:rsidRPr="00C6052E">
        <w:t>Percentage</w:t>
      </w:r>
      <w:r w:rsidR="00177848" w:rsidRPr="00C6052E">
        <w:t xml:space="preserve"> </w:t>
      </w:r>
      <w:r w:rsidRPr="00C6052E">
        <w:t>of</w:t>
      </w:r>
      <w:r w:rsidR="00177848" w:rsidRPr="00C6052E">
        <w:t xml:space="preserve"> </w:t>
      </w:r>
      <w:r w:rsidRPr="00C6052E">
        <w:t>quota-based</w:t>
      </w:r>
      <w:r w:rsidR="00177848" w:rsidRPr="00C6052E">
        <w:t xml:space="preserve"> </w:t>
      </w:r>
      <w:r w:rsidRPr="00C6052E">
        <w:t>fish</w:t>
      </w:r>
      <w:r w:rsidR="00177848" w:rsidRPr="00C6052E">
        <w:t xml:space="preserve"> </w:t>
      </w:r>
      <w:r w:rsidRPr="00C6052E">
        <w:t>stocks</w:t>
      </w:r>
      <w:r w:rsidR="00177848" w:rsidRPr="00C6052E">
        <w:t xml:space="preserve"> </w:t>
      </w:r>
      <w:r w:rsidRPr="00C6052E">
        <w:t>that</w:t>
      </w:r>
      <w:r w:rsidR="00177848" w:rsidRPr="00C6052E">
        <w:t xml:space="preserve"> </w:t>
      </w:r>
      <w:r w:rsidRPr="00C6052E">
        <w:t>were</w:t>
      </w:r>
      <w:r w:rsidR="00177848" w:rsidRPr="00C6052E">
        <w:t xml:space="preserve"> </w:t>
      </w:r>
      <w:r w:rsidRPr="00C6052E">
        <w:t>assessed</w:t>
      </w:r>
      <w:r w:rsidR="00177848" w:rsidRPr="00C6052E">
        <w:t xml:space="preserve"> </w:t>
      </w:r>
      <w:r w:rsidRPr="00C6052E">
        <w:t>during</w:t>
      </w:r>
      <w:r w:rsidR="00177848" w:rsidRPr="00C6052E">
        <w:t xml:space="preserve"> </w:t>
      </w:r>
      <w:r w:rsidRPr="00C6052E">
        <w:t>the</w:t>
      </w:r>
      <w:r w:rsidR="00177848" w:rsidRPr="00C6052E">
        <w:t xml:space="preserve"> </w:t>
      </w:r>
      <w:r w:rsidRPr="00C6052E">
        <w:t>year</w:t>
      </w:r>
      <w:r w:rsidR="00177848" w:rsidRPr="00C6052E">
        <w:t xml:space="preserve"> </w:t>
      </w:r>
      <w:r w:rsidRPr="00C6052E">
        <w:t>as</w:t>
      </w:r>
      <w:r w:rsidR="00177848" w:rsidRPr="00C6052E">
        <w:t xml:space="preserve"> </w:t>
      </w:r>
      <w:r w:rsidRPr="00C6052E">
        <w:t>being</w:t>
      </w:r>
      <w:r w:rsidR="00177848" w:rsidRPr="00C6052E">
        <w:t xml:space="preserve"> </w:t>
      </w:r>
      <w:r w:rsidRPr="00C6052E">
        <w:t>fished</w:t>
      </w:r>
      <w:r w:rsidR="00177848" w:rsidRPr="00C6052E">
        <w:t xml:space="preserve"> </w:t>
      </w:r>
      <w:r w:rsidRPr="00C6052E">
        <w:t>sustainably</w:t>
      </w:r>
    </w:p>
    <w:p w14:paraId="71D85088" w14:textId="77777777" w:rsidR="00EE5BB8" w:rsidRPr="00C6052E" w:rsidRDefault="00EE5BB8" w:rsidP="00EE5BB8">
      <w:pPr>
        <w:pStyle w:val="Graph"/>
        <w:rPr>
          <w:noProof w:val="0"/>
        </w:rPr>
      </w:pPr>
      <w:r w:rsidRPr="00C6052E">
        <w:drawing>
          <wp:inline distT="0" distB="0" distL="0" distR="0" wp14:anchorId="4DA00BDE" wp14:editId="18692BC5">
            <wp:extent cx="4050000" cy="2700000"/>
            <wp:effectExtent l="0" t="0" r="8255" b="0"/>
            <wp:docPr id="1389577521" name="Chart 1" descr="Line graph showing data from Table 12: Sustainability of assessed fish stocks (above).">
              <a:extLst xmlns:a="http://schemas.openxmlformats.org/drawingml/2006/main">
                <a:ext uri="{FF2B5EF4-FFF2-40B4-BE49-F238E27FC236}">
                  <a16:creationId xmlns:a16="http://schemas.microsoft.com/office/drawing/2014/main" id="{F7237619-D36A-4FA3-850B-06E675FBE27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9664B9" w14:textId="554D1EDB" w:rsidR="00EE5BB8" w:rsidRPr="00C6052E" w:rsidRDefault="00EE5BB8" w:rsidP="0028635E">
      <w:pPr>
        <w:pStyle w:val="Normalbeforebullets"/>
      </w:pPr>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is</w:t>
      </w:r>
      <w:r w:rsidR="00177848" w:rsidRPr="00C6052E">
        <w:t xml:space="preserve"> </w:t>
      </w:r>
      <w:r w:rsidRPr="00C6052E">
        <w:t>responsible</w:t>
      </w:r>
      <w:r w:rsidR="00177848" w:rsidRPr="00C6052E">
        <w:t xml:space="preserve"> </w:t>
      </w:r>
      <w:r w:rsidRPr="00C6052E">
        <w:t>for</w:t>
      </w:r>
      <w:r w:rsidR="00177848" w:rsidRPr="00C6052E">
        <w:t xml:space="preserve"> </w:t>
      </w:r>
      <w:r w:rsidRPr="00C6052E">
        <w:t>ensuring</w:t>
      </w:r>
      <w:r w:rsidR="00177848" w:rsidRPr="00C6052E">
        <w:t xml:space="preserve"> </w:t>
      </w:r>
      <w:r w:rsidRPr="00C6052E">
        <w:t>the</w:t>
      </w:r>
      <w:r w:rsidR="00177848" w:rsidRPr="00C6052E">
        <w:t xml:space="preserve"> </w:t>
      </w:r>
      <w:r w:rsidRPr="00C6052E">
        <w:t>sustainable</w:t>
      </w:r>
      <w:r w:rsidR="00177848" w:rsidRPr="00C6052E">
        <w:t xml:space="preserve"> </w:t>
      </w:r>
      <w:r w:rsidRPr="00C6052E">
        <w:t>and</w:t>
      </w:r>
      <w:r w:rsidR="00177848" w:rsidRPr="00C6052E">
        <w:t xml:space="preserve"> </w:t>
      </w:r>
      <w:r w:rsidRPr="00C6052E">
        <w:t>responsible</w:t>
      </w:r>
      <w:r w:rsidR="00177848" w:rsidRPr="00C6052E">
        <w:t xml:space="preserve"> </w:t>
      </w:r>
      <w:r w:rsidRPr="00C6052E">
        <w:t>use</w:t>
      </w:r>
      <w:r w:rsidR="00177848" w:rsidRPr="00C6052E">
        <w:t xml:space="preserve"> </w:t>
      </w:r>
      <w:r w:rsidRPr="00C6052E">
        <w:t>of</w:t>
      </w:r>
      <w:r w:rsidR="00177848" w:rsidRPr="00C6052E">
        <w:t xml:space="preserve"> </w:t>
      </w:r>
      <w:r w:rsidRPr="00C6052E">
        <w:t>Victoria’s</w:t>
      </w:r>
      <w:r w:rsidR="00177848" w:rsidRPr="00C6052E">
        <w:t xml:space="preserve"> </w:t>
      </w:r>
      <w:r w:rsidRPr="00C6052E">
        <w:t>fisheries</w:t>
      </w:r>
      <w:r w:rsidR="00177848" w:rsidRPr="00C6052E">
        <w:t xml:space="preserve"> </w:t>
      </w:r>
      <w:r w:rsidRPr="00C6052E">
        <w:t>resources.</w:t>
      </w:r>
      <w:r w:rsidR="00177848" w:rsidRPr="00C6052E">
        <w:t xml:space="preserve"> </w:t>
      </w:r>
      <w:r w:rsidRPr="00C6052E">
        <w:t>The</w:t>
      </w:r>
      <w:r w:rsidR="00177848" w:rsidRPr="00C6052E">
        <w:t xml:space="preserve"> </w:t>
      </w:r>
      <w:r w:rsidRPr="00C6052E">
        <w:t>government</w:t>
      </w:r>
      <w:r w:rsidR="00177848" w:rsidRPr="00C6052E">
        <w:t xml:space="preserve"> </w:t>
      </w:r>
      <w:r w:rsidRPr="00C6052E">
        <w:t>ensures</w:t>
      </w:r>
      <w:r w:rsidR="00177848" w:rsidRPr="00C6052E">
        <w:t xml:space="preserve"> </w:t>
      </w:r>
      <w:r w:rsidRPr="00C6052E">
        <w:t>sustainability</w:t>
      </w:r>
      <w:r w:rsidR="00177848" w:rsidRPr="00C6052E">
        <w:t xml:space="preserve"> </w:t>
      </w:r>
      <w:r w:rsidRPr="00C6052E">
        <w:t>by:</w:t>
      </w:r>
      <w:r w:rsidR="00177848" w:rsidRPr="00C6052E">
        <w:t xml:space="preserve"> </w:t>
      </w:r>
    </w:p>
    <w:p w14:paraId="2EA2D5AA" w14:textId="4073D7C7" w:rsidR="00EE5BB8" w:rsidRPr="00C6052E" w:rsidRDefault="00EE5BB8" w:rsidP="00EE5BB8">
      <w:pPr>
        <w:pStyle w:val="Bullet1"/>
        <w:keepNext/>
        <w:numPr>
          <w:ilvl w:val="0"/>
          <w:numId w:val="1"/>
        </w:numPr>
        <w:spacing w:line="278" w:lineRule="auto"/>
        <w:ind w:left="284" w:hanging="284"/>
        <w:rPr>
          <w:lang w:val="en-AU"/>
        </w:rPr>
      </w:pPr>
      <w:r w:rsidRPr="00C6052E">
        <w:rPr>
          <w:lang w:val="en-AU"/>
        </w:rPr>
        <w:t>managing</w:t>
      </w:r>
      <w:r w:rsidR="00177848" w:rsidRPr="00C6052E">
        <w:rPr>
          <w:lang w:val="en-AU"/>
        </w:rPr>
        <w:t xml:space="preserve"> </w:t>
      </w:r>
      <w:r w:rsidRPr="00C6052E">
        <w:rPr>
          <w:lang w:val="en-AU"/>
        </w:rPr>
        <w:t>commercial</w:t>
      </w:r>
      <w:r w:rsidR="00177848" w:rsidRPr="00C6052E">
        <w:rPr>
          <w:lang w:val="en-AU"/>
        </w:rPr>
        <w:t xml:space="preserve"> </w:t>
      </w:r>
      <w:r w:rsidRPr="00C6052E">
        <w:rPr>
          <w:lang w:val="en-AU"/>
        </w:rPr>
        <w:t>fisheries</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setting</w:t>
      </w:r>
      <w:r w:rsidR="00177848" w:rsidRPr="00C6052E">
        <w:rPr>
          <w:lang w:val="en-AU"/>
        </w:rPr>
        <w:t xml:space="preserve"> </w:t>
      </w:r>
      <w:r w:rsidRPr="00C6052E">
        <w:rPr>
          <w:lang w:val="en-AU"/>
        </w:rPr>
        <w:t>appropriate</w:t>
      </w:r>
      <w:r w:rsidR="00177848" w:rsidRPr="00C6052E">
        <w:rPr>
          <w:lang w:val="en-AU"/>
        </w:rPr>
        <w:t xml:space="preserve"> </w:t>
      </w:r>
      <w:r w:rsidRPr="00C6052E">
        <w:rPr>
          <w:lang w:val="en-AU"/>
        </w:rPr>
        <w:t>quotas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catch</w:t>
      </w:r>
      <w:r w:rsidR="00177848" w:rsidRPr="00C6052E">
        <w:rPr>
          <w:lang w:val="en-AU"/>
        </w:rPr>
        <w:t xml:space="preserve"> </w:t>
      </w:r>
      <w:r w:rsidRPr="00C6052E">
        <w:rPr>
          <w:lang w:val="en-AU"/>
        </w:rPr>
        <w:t>levels,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implementing</w:t>
      </w:r>
      <w:r w:rsidR="00177848" w:rsidRPr="00C6052E">
        <w:rPr>
          <w:lang w:val="en-AU"/>
        </w:rPr>
        <w:t xml:space="preserve"> </w:t>
      </w:r>
      <w:r w:rsidRPr="00C6052E">
        <w:rPr>
          <w:lang w:val="en-AU"/>
        </w:rPr>
        <w:t>fishery</w:t>
      </w:r>
      <w:r w:rsidR="00177848" w:rsidRPr="00C6052E">
        <w:rPr>
          <w:lang w:val="en-AU"/>
        </w:rPr>
        <w:t xml:space="preserve"> </w:t>
      </w:r>
      <w:r w:rsidRPr="00C6052E">
        <w:rPr>
          <w:lang w:val="en-AU"/>
        </w:rPr>
        <w:t>management</w:t>
      </w:r>
      <w:r w:rsidR="00177848" w:rsidRPr="00C6052E">
        <w:rPr>
          <w:lang w:val="en-AU"/>
        </w:rPr>
        <w:t xml:space="preserve"> </w:t>
      </w:r>
      <w:r w:rsidRPr="00C6052E">
        <w:rPr>
          <w:lang w:val="en-AU"/>
        </w:rPr>
        <w:t>plans</w:t>
      </w:r>
    </w:p>
    <w:p w14:paraId="37EBA709" w14:textId="20198CC1" w:rsidR="00EE5BB8" w:rsidRPr="00C6052E" w:rsidRDefault="00EE5BB8" w:rsidP="00EE5BB8">
      <w:pPr>
        <w:pStyle w:val="Bullet1"/>
        <w:numPr>
          <w:ilvl w:val="0"/>
          <w:numId w:val="1"/>
        </w:numPr>
        <w:spacing w:line="278" w:lineRule="auto"/>
        <w:ind w:left="284" w:hanging="284"/>
        <w:rPr>
          <w:lang w:val="en-AU"/>
        </w:rPr>
      </w:pPr>
      <w:r w:rsidRPr="00C6052E">
        <w:rPr>
          <w:lang w:val="en-AU"/>
        </w:rPr>
        <w:t>stocking</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throughout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rebuild</w:t>
      </w:r>
      <w:r w:rsidR="00177848" w:rsidRPr="00C6052E">
        <w:rPr>
          <w:lang w:val="en-AU"/>
        </w:rPr>
        <w:t xml:space="preserve"> </w:t>
      </w:r>
      <w:r w:rsidRPr="00C6052E">
        <w:rPr>
          <w:lang w:val="en-AU"/>
        </w:rPr>
        <w:t>populations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threatened</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species</w:t>
      </w:r>
    </w:p>
    <w:p w14:paraId="6673DAA9" w14:textId="765FBDA9" w:rsidR="00EE5BB8" w:rsidRPr="00C6052E" w:rsidRDefault="00EE5BB8" w:rsidP="00EE5BB8">
      <w:pPr>
        <w:pStyle w:val="Bullet1"/>
        <w:numPr>
          <w:ilvl w:val="0"/>
          <w:numId w:val="1"/>
        </w:numPr>
        <w:spacing w:line="278" w:lineRule="auto"/>
        <w:ind w:left="284" w:hanging="284"/>
        <w:rPr>
          <w:lang w:val="en-AU"/>
        </w:rPr>
      </w:pPr>
      <w:r w:rsidRPr="00C6052E">
        <w:rPr>
          <w:lang w:val="en-AU"/>
        </w:rPr>
        <w:t>stocking</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enhance</w:t>
      </w:r>
      <w:r w:rsidR="00177848" w:rsidRPr="00C6052E">
        <w:rPr>
          <w:lang w:val="en-AU"/>
        </w:rPr>
        <w:t xml:space="preserve"> </w:t>
      </w:r>
      <w:r w:rsidRPr="00C6052E">
        <w:rPr>
          <w:lang w:val="en-AU"/>
        </w:rPr>
        <w:t>common</w:t>
      </w:r>
      <w:r w:rsidR="00177848" w:rsidRPr="00C6052E">
        <w:rPr>
          <w:lang w:val="en-AU"/>
        </w:rPr>
        <w:t xml:space="preserve"> </w:t>
      </w:r>
      <w:proofErr w:type="gramStart"/>
      <w:r w:rsidRPr="00C6052E">
        <w:rPr>
          <w:lang w:val="en-AU"/>
        </w:rPr>
        <w:t>recreationally-caught</w:t>
      </w:r>
      <w:proofErr w:type="gramEnd"/>
      <w:r w:rsidR="00177848" w:rsidRPr="00C6052E">
        <w:rPr>
          <w:lang w:val="en-AU"/>
        </w:rPr>
        <w:t xml:space="preserve"> </w:t>
      </w:r>
      <w:r w:rsidRPr="00C6052E">
        <w:rPr>
          <w:lang w:val="en-AU"/>
        </w:rPr>
        <w:t>species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provide</w:t>
      </w:r>
      <w:r w:rsidR="00177848" w:rsidRPr="00C6052E">
        <w:rPr>
          <w:lang w:val="en-AU"/>
        </w:rPr>
        <w:t xml:space="preserve"> </w:t>
      </w:r>
      <w:r w:rsidRPr="00C6052E">
        <w:rPr>
          <w:lang w:val="en-AU"/>
        </w:rPr>
        <w:t>more</w:t>
      </w:r>
      <w:r w:rsidR="00177848" w:rsidRPr="00C6052E">
        <w:rPr>
          <w:lang w:val="en-AU"/>
        </w:rPr>
        <w:t xml:space="preserve"> </w:t>
      </w:r>
      <w:r w:rsidRPr="00C6052E">
        <w:rPr>
          <w:lang w:val="en-AU"/>
        </w:rPr>
        <w:t>opportunities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Victorians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more</w:t>
      </w:r>
      <w:r w:rsidR="00177848" w:rsidRPr="00C6052E">
        <w:rPr>
          <w:lang w:val="en-AU"/>
        </w:rPr>
        <w:t xml:space="preserve"> </w:t>
      </w:r>
      <w:r w:rsidRPr="00C6052E">
        <w:rPr>
          <w:lang w:val="en-AU"/>
        </w:rPr>
        <w:t>often</w:t>
      </w:r>
    </w:p>
    <w:p w14:paraId="05986FCC" w14:textId="7CEA5080" w:rsidR="00EE5BB8" w:rsidRPr="00C6052E" w:rsidRDefault="00EE5BB8" w:rsidP="00EE5BB8">
      <w:pPr>
        <w:pStyle w:val="Bullet1last"/>
        <w:numPr>
          <w:ilvl w:val="0"/>
          <w:numId w:val="1"/>
        </w:numPr>
        <w:spacing w:line="278" w:lineRule="auto"/>
        <w:ind w:left="284" w:hanging="284"/>
        <w:rPr>
          <w:lang w:val="en-AU"/>
        </w:rPr>
      </w:pPr>
      <w:r w:rsidRPr="00C6052E">
        <w:rPr>
          <w:lang w:val="en-AU"/>
        </w:rPr>
        <w:t>improving</w:t>
      </w:r>
      <w:r w:rsidR="00177848" w:rsidRPr="00C6052E">
        <w:rPr>
          <w:lang w:val="en-AU"/>
        </w:rPr>
        <w:t xml:space="preserve"> </w:t>
      </w:r>
      <w:r w:rsidRPr="00C6052E">
        <w:rPr>
          <w:lang w:val="en-AU"/>
        </w:rPr>
        <w:t>hatchery</w:t>
      </w:r>
      <w:r w:rsidR="00177848" w:rsidRPr="00C6052E">
        <w:rPr>
          <w:lang w:val="en-AU"/>
        </w:rPr>
        <w:t xml:space="preserve"> </w:t>
      </w:r>
      <w:r w:rsidRPr="00C6052E">
        <w:rPr>
          <w:lang w:val="en-AU"/>
        </w:rPr>
        <w:t>facilities.</w:t>
      </w:r>
    </w:p>
    <w:p w14:paraId="440595E3" w14:textId="67F2B667" w:rsidR="00EE5BB8" w:rsidRPr="00C6052E" w:rsidRDefault="00EE5BB8" w:rsidP="00EE5BB8">
      <w:r w:rsidRPr="00C6052E">
        <w:t>In</w:t>
      </w:r>
      <w:r w:rsidR="00177848" w:rsidRPr="00C6052E">
        <w:t xml:space="preserve"> </w:t>
      </w:r>
      <w:r w:rsidRPr="00C6052E">
        <w:t>2024–25</w:t>
      </w:r>
      <w:r w:rsidR="00177848" w:rsidRPr="00C6052E">
        <w:t xml:space="preserve"> </w:t>
      </w:r>
      <w:r w:rsidRPr="00C6052E">
        <w:t>all</w:t>
      </w:r>
      <w:r w:rsidR="00177848" w:rsidRPr="00C6052E">
        <w:t xml:space="preserve"> </w:t>
      </w:r>
      <w:r w:rsidRPr="00C6052E">
        <w:t>quota-based</w:t>
      </w:r>
      <w:r w:rsidR="00177848" w:rsidRPr="00C6052E">
        <w:t xml:space="preserve"> </w:t>
      </w:r>
      <w:r w:rsidRPr="00C6052E">
        <w:t>fish</w:t>
      </w:r>
      <w:r w:rsidR="00177848" w:rsidRPr="00C6052E">
        <w:t xml:space="preserve"> </w:t>
      </w:r>
      <w:r w:rsidRPr="00C6052E">
        <w:t>stocks</w:t>
      </w:r>
      <w:r w:rsidR="00177848" w:rsidRPr="00C6052E">
        <w:t xml:space="preserve"> </w:t>
      </w:r>
      <w:r w:rsidRPr="00C6052E">
        <w:t>managed</w:t>
      </w:r>
      <w:r w:rsidR="00177848" w:rsidRPr="00C6052E">
        <w:t xml:space="preserve"> </w:t>
      </w:r>
      <w:r w:rsidRPr="00C6052E">
        <w:t>by</w:t>
      </w:r>
      <w:r w:rsidR="00177848" w:rsidRPr="00C6052E">
        <w:t xml:space="preserve"> </w:t>
      </w:r>
      <w:r w:rsidRPr="00C6052E">
        <w:t>the</w:t>
      </w:r>
      <w:r w:rsidR="00177848" w:rsidRPr="00C6052E">
        <w:t xml:space="preserve"> </w:t>
      </w:r>
      <w:r w:rsidRPr="00C6052E">
        <w:t>Victorian</w:t>
      </w:r>
      <w:r w:rsidR="00177848" w:rsidRPr="00C6052E">
        <w:t xml:space="preserve"> </w:t>
      </w:r>
      <w:r w:rsidRPr="00C6052E">
        <w:t>Fisheries</w:t>
      </w:r>
      <w:r w:rsidR="00177848" w:rsidRPr="00C6052E">
        <w:t xml:space="preserve"> </w:t>
      </w:r>
      <w:r w:rsidRPr="00C6052E">
        <w:t>Authority</w:t>
      </w:r>
      <w:r w:rsidR="00177848" w:rsidRPr="00C6052E">
        <w:t xml:space="preserve"> </w:t>
      </w:r>
      <w:r w:rsidRPr="00C6052E">
        <w:t>(VFA)</w:t>
      </w:r>
      <w:r w:rsidR="00177848" w:rsidRPr="00C6052E">
        <w:t xml:space="preserve"> </w:t>
      </w:r>
      <w:r w:rsidRPr="00C6052E">
        <w:t>were</w:t>
      </w:r>
      <w:r w:rsidR="00177848" w:rsidRPr="00C6052E">
        <w:t xml:space="preserve"> </w:t>
      </w:r>
      <w:r w:rsidRPr="00C6052E">
        <w:t>fished</w:t>
      </w:r>
      <w:r w:rsidR="00177848" w:rsidRPr="00C6052E">
        <w:t xml:space="preserve"> </w:t>
      </w:r>
      <w:r w:rsidRPr="00C6052E">
        <w:t>at</w:t>
      </w:r>
      <w:r w:rsidR="00177848" w:rsidRPr="00C6052E">
        <w:t xml:space="preserve"> </w:t>
      </w:r>
      <w:r w:rsidRPr="00C6052E">
        <w:t>sustainable</w:t>
      </w:r>
      <w:r w:rsidR="00177848" w:rsidRPr="00C6052E">
        <w:t xml:space="preserve"> </w:t>
      </w:r>
      <w:r w:rsidRPr="00C6052E">
        <w:t>levels.</w:t>
      </w:r>
      <w:r w:rsidR="00177848" w:rsidRPr="00C6052E">
        <w:t xml:space="preserve"> </w:t>
      </w:r>
      <w:r w:rsidRPr="00C6052E">
        <w:t>VFA</w:t>
      </w:r>
      <w:r w:rsidR="00177848" w:rsidRPr="00C6052E">
        <w:t xml:space="preserve"> </w:t>
      </w:r>
      <w:r w:rsidRPr="00C6052E">
        <w:t>assesses</w:t>
      </w:r>
      <w:r w:rsidR="00177848" w:rsidRPr="00C6052E">
        <w:t xml:space="preserve"> </w:t>
      </w:r>
      <w:r w:rsidRPr="00C6052E">
        <w:t>our</w:t>
      </w:r>
      <w:r w:rsidR="00177848" w:rsidRPr="00C6052E">
        <w:t xml:space="preserve"> </w:t>
      </w:r>
      <w:r w:rsidRPr="00C6052E">
        <w:t>key</w:t>
      </w:r>
      <w:r w:rsidR="00177848" w:rsidRPr="00C6052E">
        <w:t xml:space="preserve"> </w:t>
      </w:r>
      <w:r w:rsidRPr="00C6052E">
        <w:t>quota-based</w:t>
      </w:r>
      <w:r w:rsidR="00177848" w:rsidRPr="00C6052E">
        <w:t xml:space="preserve"> </w:t>
      </w:r>
      <w:r w:rsidRPr="00C6052E">
        <w:t>fish</w:t>
      </w:r>
      <w:r w:rsidR="00177848" w:rsidRPr="00C6052E">
        <w:t xml:space="preserve"> </w:t>
      </w:r>
      <w:r w:rsidRPr="00C6052E">
        <w:t>stocks</w:t>
      </w:r>
      <w:r w:rsidR="00177848" w:rsidRPr="00C6052E">
        <w:t xml:space="preserve"> </w:t>
      </w:r>
      <w:r w:rsidRPr="00C6052E">
        <w:t>annually.</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has</w:t>
      </w:r>
      <w:r w:rsidR="00177848" w:rsidRPr="00C6052E">
        <w:t xml:space="preserve"> </w:t>
      </w:r>
      <w:r w:rsidRPr="00C6052E">
        <w:t>invested</w:t>
      </w:r>
      <w:r w:rsidR="00177848" w:rsidRPr="00C6052E">
        <w:t xml:space="preserve"> </w:t>
      </w:r>
      <w:r w:rsidRPr="00C6052E">
        <w:t>in</w:t>
      </w:r>
      <w:r w:rsidR="00177848" w:rsidRPr="00C6052E">
        <w:t xml:space="preserve"> </w:t>
      </w:r>
      <w:r w:rsidRPr="00C6052E">
        <w:t>ongoing</w:t>
      </w:r>
      <w:r w:rsidR="00177848" w:rsidRPr="00C6052E">
        <w:t xml:space="preserve"> </w:t>
      </w:r>
      <w:r w:rsidRPr="00C6052E">
        <w:t>management</w:t>
      </w:r>
      <w:r w:rsidR="00177848" w:rsidRPr="00C6052E">
        <w:t xml:space="preserve"> </w:t>
      </w:r>
      <w:r w:rsidRPr="00C6052E">
        <w:t>of</w:t>
      </w:r>
      <w:r w:rsidR="00177848" w:rsidRPr="00C6052E">
        <w:t xml:space="preserve"> </w:t>
      </w:r>
      <w:r w:rsidRPr="00C6052E">
        <w:t>key</w:t>
      </w:r>
      <w:r w:rsidR="00177848" w:rsidRPr="00C6052E">
        <w:t xml:space="preserve"> </w:t>
      </w:r>
      <w:r w:rsidRPr="00C6052E">
        <w:t>stocks</w:t>
      </w:r>
      <w:r w:rsidR="00177848" w:rsidRPr="00C6052E">
        <w:t xml:space="preserve"> </w:t>
      </w:r>
      <w:r w:rsidRPr="00C6052E">
        <w:t>such</w:t>
      </w:r>
      <w:r w:rsidR="00177848" w:rsidRPr="00C6052E">
        <w:t xml:space="preserve"> </w:t>
      </w:r>
      <w:r w:rsidRPr="00C6052E">
        <w:t>as</w:t>
      </w:r>
      <w:r w:rsidR="00177848" w:rsidRPr="00C6052E">
        <w:t xml:space="preserve"> </w:t>
      </w:r>
      <w:r w:rsidRPr="00C6052E">
        <w:t>abalone,</w:t>
      </w:r>
      <w:r w:rsidR="00177848" w:rsidRPr="00C6052E">
        <w:t xml:space="preserve"> </w:t>
      </w:r>
      <w:r w:rsidRPr="00C6052E">
        <w:t>rock</w:t>
      </w:r>
      <w:r w:rsidR="00177848" w:rsidRPr="00C6052E">
        <w:t xml:space="preserve"> </w:t>
      </w:r>
      <w:r w:rsidRPr="00C6052E">
        <w:t>lobster,</w:t>
      </w:r>
      <w:r w:rsidR="00177848" w:rsidRPr="00C6052E">
        <w:t xml:space="preserve"> </w:t>
      </w:r>
      <w:r w:rsidRPr="00C6052E">
        <w:t>giant</w:t>
      </w:r>
      <w:r w:rsidR="00177848" w:rsidRPr="00C6052E">
        <w:t xml:space="preserve"> </w:t>
      </w:r>
      <w:r w:rsidRPr="00C6052E">
        <w:t>crab</w:t>
      </w:r>
      <w:r w:rsidR="00177848" w:rsidRPr="00C6052E">
        <w:t xml:space="preserve"> </w:t>
      </w:r>
      <w:r w:rsidRPr="00C6052E">
        <w:t>and</w:t>
      </w:r>
      <w:r w:rsidR="00177848" w:rsidRPr="00C6052E">
        <w:t xml:space="preserve"> </w:t>
      </w:r>
      <w:r w:rsidRPr="00C6052E">
        <w:t>octopus.</w:t>
      </w:r>
      <w:r w:rsidR="00177848" w:rsidRPr="00C6052E">
        <w:t xml:space="preserve"> </w:t>
      </w:r>
      <w:r w:rsidRPr="00C6052E">
        <w:t>This</w:t>
      </w:r>
      <w:r w:rsidR="00177848" w:rsidRPr="00C6052E">
        <w:t xml:space="preserve"> </w:t>
      </w:r>
      <w:r w:rsidRPr="00C6052E">
        <w:t>includes</w:t>
      </w:r>
      <w:r w:rsidR="00177848" w:rsidRPr="00C6052E">
        <w:t xml:space="preserve"> </w:t>
      </w:r>
      <w:r w:rsidRPr="00C6052E">
        <w:t>long</w:t>
      </w:r>
      <w:r w:rsidRPr="00C6052E">
        <w:noBreakHyphen/>
        <w:t>term</w:t>
      </w:r>
      <w:r w:rsidR="00177848" w:rsidRPr="00C6052E">
        <w:t xml:space="preserve"> </w:t>
      </w:r>
      <w:r w:rsidRPr="00C6052E">
        <w:t>monitoring</w:t>
      </w:r>
      <w:r w:rsidR="00177848" w:rsidRPr="00C6052E">
        <w:t xml:space="preserve"> </w:t>
      </w:r>
      <w:r w:rsidRPr="00C6052E">
        <w:t>to</w:t>
      </w:r>
      <w:r w:rsidR="00177848" w:rsidRPr="00C6052E">
        <w:t xml:space="preserve"> </w:t>
      </w:r>
      <w:r w:rsidRPr="00C6052E">
        <w:t>understand</w:t>
      </w:r>
      <w:r w:rsidR="00177848" w:rsidRPr="00C6052E">
        <w:t xml:space="preserve"> </w:t>
      </w:r>
      <w:r w:rsidRPr="00C6052E">
        <w:t>the</w:t>
      </w:r>
      <w:r w:rsidR="00177848" w:rsidRPr="00C6052E">
        <w:t xml:space="preserve"> </w:t>
      </w:r>
      <w:r w:rsidRPr="00C6052E">
        <w:t>nature</w:t>
      </w:r>
      <w:r w:rsidR="00177848" w:rsidRPr="00C6052E">
        <w:t xml:space="preserve"> </w:t>
      </w:r>
      <w:r w:rsidRPr="00C6052E">
        <w:t>and</w:t>
      </w:r>
      <w:r w:rsidR="00177848" w:rsidRPr="00C6052E">
        <w:t xml:space="preserve"> </w:t>
      </w:r>
      <w:r w:rsidRPr="00C6052E">
        <w:t>dynamics</w:t>
      </w:r>
      <w:r w:rsidR="00177848" w:rsidRPr="00C6052E">
        <w:t xml:space="preserve"> </w:t>
      </w:r>
      <w:r w:rsidRPr="00C6052E">
        <w:t>of</w:t>
      </w:r>
      <w:r w:rsidR="00177848" w:rsidRPr="00C6052E">
        <w:t xml:space="preserve"> </w:t>
      </w:r>
      <w:r w:rsidRPr="00C6052E">
        <w:t>fish</w:t>
      </w:r>
      <w:r w:rsidR="00177848" w:rsidRPr="00C6052E">
        <w:t xml:space="preserve"> </w:t>
      </w:r>
      <w:r w:rsidRPr="00C6052E">
        <w:t>resources.</w:t>
      </w:r>
    </w:p>
    <w:p w14:paraId="255408D2" w14:textId="347CF466" w:rsidR="00EE5BB8" w:rsidRPr="00C6052E" w:rsidRDefault="00EE5BB8" w:rsidP="00EE5BB8">
      <w:pPr>
        <w:pStyle w:val="Heading3"/>
      </w:pPr>
      <w:r w:rsidRPr="00C6052E">
        <w:t>Indicator:</w:t>
      </w:r>
      <w:r w:rsidR="00177848" w:rsidRPr="00C6052E">
        <w:t xml:space="preserve"> </w:t>
      </w:r>
      <w:r w:rsidRPr="00C6052E">
        <w:t>Improved</w:t>
      </w:r>
      <w:r w:rsidR="00177848" w:rsidRPr="00C6052E">
        <w:t xml:space="preserve"> </w:t>
      </w:r>
      <w:r w:rsidRPr="00C6052E">
        <w:t>recreational</w:t>
      </w:r>
      <w:r w:rsidR="00177848" w:rsidRPr="00C6052E">
        <w:t xml:space="preserve"> </w:t>
      </w:r>
      <w:r w:rsidRPr="00C6052E">
        <w:t>fishing</w:t>
      </w:r>
      <w:r w:rsidR="00177848" w:rsidRPr="00C6052E">
        <w:t xml:space="preserve"> </w:t>
      </w:r>
      <w:r w:rsidRPr="00C6052E">
        <w:t>and</w:t>
      </w:r>
      <w:r w:rsidR="00177848" w:rsidRPr="00C6052E">
        <w:t xml:space="preserve"> </w:t>
      </w:r>
      <w:r w:rsidRPr="00C6052E">
        <w:t>boating</w:t>
      </w:r>
      <w:r w:rsidR="00177848" w:rsidRPr="00C6052E">
        <w:t xml:space="preserve"> </w:t>
      </w:r>
      <w:r w:rsidRPr="00C6052E">
        <w:t>services</w:t>
      </w:r>
      <w:r w:rsidR="00177848" w:rsidRPr="00C6052E">
        <w:t xml:space="preserve"> </w:t>
      </w:r>
      <w:r w:rsidRPr="00C6052E">
        <w:t>and</w:t>
      </w:r>
      <w:r w:rsidR="00177848" w:rsidRPr="00C6052E">
        <w:t xml:space="preserve"> </w:t>
      </w:r>
      <w:r w:rsidRPr="00C6052E">
        <w:t>facilities</w:t>
      </w:r>
    </w:p>
    <w:p w14:paraId="23E33496" w14:textId="1CD3CF29" w:rsidR="00EE5BB8" w:rsidRPr="00C6052E" w:rsidRDefault="00EE5BB8" w:rsidP="00EE5BB8">
      <w:pPr>
        <w:pStyle w:val="TableHeading"/>
      </w:pPr>
      <w:r w:rsidRPr="00C6052E">
        <w:t>Table</w:t>
      </w:r>
      <w:r w:rsidR="00177848" w:rsidRPr="00C6052E">
        <w:t xml:space="preserve"> </w:t>
      </w:r>
      <w:r w:rsidRPr="00C6052E">
        <w:t>13:</w:t>
      </w:r>
      <w:r w:rsidR="00177848" w:rsidRPr="00C6052E">
        <w:t xml:space="preserve"> </w:t>
      </w:r>
      <w:r w:rsidRPr="00C6052E">
        <w:t>Improved</w:t>
      </w:r>
      <w:r w:rsidR="00177848" w:rsidRPr="00C6052E">
        <w:t xml:space="preserve"> </w:t>
      </w:r>
      <w:r w:rsidRPr="00C6052E">
        <w:t>recreational</w:t>
      </w:r>
      <w:r w:rsidR="00177848" w:rsidRPr="00C6052E">
        <w:t xml:space="preserve"> </w:t>
      </w:r>
      <w:r w:rsidRPr="00C6052E">
        <w:t>fishing</w:t>
      </w:r>
      <w:r w:rsidR="00177848" w:rsidRPr="00C6052E">
        <w:t xml:space="preserve"> </w:t>
      </w:r>
      <w:r w:rsidRPr="00C6052E">
        <w:t>and</w:t>
      </w:r>
      <w:r w:rsidR="00177848" w:rsidRPr="00C6052E">
        <w:t xml:space="preserve"> </w:t>
      </w:r>
      <w:r w:rsidRPr="00C6052E">
        <w:t>boating</w:t>
      </w:r>
      <w:r w:rsidR="00177848" w:rsidRPr="00C6052E">
        <w:t xml:space="preserve"> </w:t>
      </w:r>
      <w:r w:rsidRPr="00C6052E">
        <w:t>services</w:t>
      </w:r>
      <w:r w:rsidR="00177848" w:rsidRPr="00C6052E">
        <w:t xml:space="preserve"> </w:t>
      </w:r>
      <w:r w:rsidRPr="00C6052E">
        <w:t>and</w:t>
      </w:r>
      <w:r w:rsidR="00177848" w:rsidRPr="00C6052E">
        <w:t xml:space="preserve"> </w:t>
      </w:r>
      <w:r w:rsidRPr="00C6052E">
        <w:t>facilities</w:t>
      </w:r>
    </w:p>
    <w:tbl>
      <w:tblPr>
        <w:tblStyle w:val="TableGrid"/>
        <w:tblW w:w="9634" w:type="dxa"/>
        <w:tblLayout w:type="fixed"/>
        <w:tblLook w:val="0020" w:firstRow="1" w:lastRow="0" w:firstColumn="0" w:lastColumn="0" w:noHBand="0" w:noVBand="0"/>
      </w:tblPr>
      <w:tblGrid>
        <w:gridCol w:w="5102"/>
        <w:gridCol w:w="1133"/>
        <w:gridCol w:w="1133"/>
        <w:gridCol w:w="1133"/>
        <w:gridCol w:w="1133"/>
      </w:tblGrid>
      <w:tr w:rsidR="00EE5BB8" w:rsidRPr="00C6052E" w14:paraId="3763FA0A" w14:textId="77777777" w:rsidTr="0063097D">
        <w:tc>
          <w:tcPr>
            <w:tcW w:w="5102" w:type="dxa"/>
          </w:tcPr>
          <w:p w14:paraId="5E651F3B" w14:textId="0271DC8E" w:rsidR="00EE5BB8" w:rsidRPr="00C6052E" w:rsidRDefault="00EE5BB8" w:rsidP="0063097D">
            <w:pPr>
              <w:pStyle w:val="TableColumnHeading"/>
              <w:rPr>
                <w:lang w:val="en-AU"/>
              </w:rPr>
            </w:pPr>
            <w:bookmarkStart w:id="28" w:name="TableColumnHeadings_21"/>
            <w:bookmarkEnd w:id="28"/>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133" w:type="dxa"/>
          </w:tcPr>
          <w:p w14:paraId="686BF1DF" w14:textId="77777777" w:rsidR="00EE5BB8" w:rsidRPr="00C6052E" w:rsidRDefault="00EE5BB8" w:rsidP="0063097D">
            <w:pPr>
              <w:pStyle w:val="TableColumnHeading"/>
              <w:jc w:val="right"/>
              <w:rPr>
                <w:lang w:val="en-AU"/>
              </w:rPr>
            </w:pPr>
            <w:r w:rsidRPr="00C6052E">
              <w:rPr>
                <w:lang w:val="en-AU"/>
              </w:rPr>
              <w:t>2021–22</w:t>
            </w:r>
          </w:p>
        </w:tc>
        <w:tc>
          <w:tcPr>
            <w:tcW w:w="1133" w:type="dxa"/>
          </w:tcPr>
          <w:p w14:paraId="102AF73E" w14:textId="77777777" w:rsidR="00EE5BB8" w:rsidRPr="00C6052E" w:rsidRDefault="00EE5BB8" w:rsidP="0063097D">
            <w:pPr>
              <w:pStyle w:val="TableColumnHeading"/>
              <w:jc w:val="right"/>
              <w:rPr>
                <w:lang w:val="en-AU"/>
              </w:rPr>
            </w:pPr>
            <w:r w:rsidRPr="00C6052E">
              <w:rPr>
                <w:lang w:val="en-AU"/>
              </w:rPr>
              <w:t>2022–23</w:t>
            </w:r>
          </w:p>
        </w:tc>
        <w:tc>
          <w:tcPr>
            <w:tcW w:w="1133" w:type="dxa"/>
          </w:tcPr>
          <w:p w14:paraId="5B5BC955" w14:textId="77777777" w:rsidR="00EE5BB8" w:rsidRPr="00C6052E" w:rsidRDefault="00EE5BB8" w:rsidP="0063097D">
            <w:pPr>
              <w:pStyle w:val="TableColumnHeading"/>
              <w:jc w:val="right"/>
              <w:rPr>
                <w:lang w:val="en-AU"/>
              </w:rPr>
            </w:pPr>
            <w:r w:rsidRPr="00C6052E">
              <w:rPr>
                <w:lang w:val="en-AU"/>
              </w:rPr>
              <w:t>2023–24</w:t>
            </w:r>
          </w:p>
        </w:tc>
        <w:tc>
          <w:tcPr>
            <w:tcW w:w="1133" w:type="dxa"/>
          </w:tcPr>
          <w:p w14:paraId="6B47AA7A"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1F541042" w14:textId="77777777" w:rsidTr="0063097D">
        <w:tc>
          <w:tcPr>
            <w:tcW w:w="5102" w:type="dxa"/>
          </w:tcPr>
          <w:p w14:paraId="117C24E2" w14:textId="2A006ABE" w:rsidR="00EE5BB8" w:rsidRPr="00C6052E" w:rsidRDefault="00EE5BB8" w:rsidP="0063097D">
            <w:pPr>
              <w:pStyle w:val="TableCopy"/>
              <w:rPr>
                <w:lang w:val="en-AU"/>
              </w:rPr>
            </w:pPr>
            <w:r w:rsidRPr="00C6052E">
              <w:rPr>
                <w:lang w:val="en-AU"/>
              </w:rPr>
              <w:t>Recreational</w:t>
            </w:r>
            <w:r w:rsidR="00177848" w:rsidRPr="00C6052E">
              <w:rPr>
                <w:lang w:val="en-AU"/>
              </w:rPr>
              <w:t xml:space="preserve"> </w:t>
            </w:r>
            <w:r w:rsidRPr="00C6052E">
              <w:rPr>
                <w:lang w:val="en-AU"/>
              </w:rPr>
              <w:t>fishing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boating</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facilities</w:t>
            </w:r>
            <w:r w:rsidR="00177848" w:rsidRPr="00C6052E">
              <w:rPr>
                <w:lang w:val="en-AU"/>
              </w:rPr>
              <w:t xml:space="preserve"> </w:t>
            </w:r>
            <w:r w:rsidRPr="00C6052E">
              <w:rPr>
                <w:lang w:val="en-AU"/>
              </w:rPr>
              <w:t>initiatives</w:t>
            </w:r>
            <w:r w:rsidR="00177848" w:rsidRPr="00C6052E">
              <w:rPr>
                <w:lang w:val="en-AU"/>
              </w:rPr>
              <w:t xml:space="preserve"> </w:t>
            </w:r>
            <w:r w:rsidRPr="00C6052E">
              <w:rPr>
                <w:lang w:val="en-AU"/>
              </w:rPr>
              <w:t>achieved</w:t>
            </w:r>
            <w:r w:rsidR="00177848" w:rsidRPr="00C6052E">
              <w:rPr>
                <w:lang w:val="en-AU"/>
              </w:rPr>
              <w:t xml:space="preserve"> </w:t>
            </w:r>
            <w:r w:rsidRPr="00C6052E">
              <w:rPr>
                <w:lang w:val="en-AU"/>
              </w:rPr>
              <w:t>(per</w:t>
            </w:r>
            <w:r w:rsidR="00177848" w:rsidRPr="00C6052E">
              <w:rPr>
                <w:lang w:val="en-AU"/>
              </w:rPr>
              <w:t xml:space="preserve"> </w:t>
            </w:r>
            <w:r w:rsidRPr="00C6052E">
              <w:rPr>
                <w:lang w:val="en-AU"/>
              </w:rPr>
              <w:t>cent)</w:t>
            </w:r>
          </w:p>
        </w:tc>
        <w:tc>
          <w:tcPr>
            <w:tcW w:w="1133" w:type="dxa"/>
          </w:tcPr>
          <w:p w14:paraId="629F9E02" w14:textId="77777777" w:rsidR="00EE5BB8" w:rsidRPr="00C6052E" w:rsidRDefault="00EE5BB8" w:rsidP="0063097D">
            <w:pPr>
              <w:pStyle w:val="TableCopy"/>
              <w:jc w:val="right"/>
              <w:rPr>
                <w:lang w:val="en-AU"/>
              </w:rPr>
            </w:pPr>
            <w:r w:rsidRPr="00C6052E">
              <w:rPr>
                <w:lang w:val="en-AU"/>
              </w:rPr>
              <w:t>100</w:t>
            </w:r>
          </w:p>
        </w:tc>
        <w:tc>
          <w:tcPr>
            <w:tcW w:w="1133" w:type="dxa"/>
          </w:tcPr>
          <w:p w14:paraId="207D9D80" w14:textId="77777777" w:rsidR="00EE5BB8" w:rsidRPr="00C6052E" w:rsidRDefault="00EE5BB8" w:rsidP="0063097D">
            <w:pPr>
              <w:pStyle w:val="TableCopy"/>
              <w:jc w:val="right"/>
              <w:rPr>
                <w:lang w:val="en-AU"/>
              </w:rPr>
            </w:pPr>
            <w:r w:rsidRPr="00C6052E">
              <w:rPr>
                <w:lang w:val="en-AU"/>
              </w:rPr>
              <w:t>100</w:t>
            </w:r>
          </w:p>
        </w:tc>
        <w:tc>
          <w:tcPr>
            <w:tcW w:w="1133" w:type="dxa"/>
          </w:tcPr>
          <w:p w14:paraId="0E100B20" w14:textId="75E442A4" w:rsidR="00EE5BB8" w:rsidRPr="00C6052E" w:rsidRDefault="00EE5BB8" w:rsidP="0063097D">
            <w:pPr>
              <w:pStyle w:val="TableCopy"/>
              <w:jc w:val="right"/>
              <w:rPr>
                <w:lang w:val="en-AU"/>
              </w:rPr>
            </w:pPr>
            <w:r w:rsidRPr="00C6052E">
              <w:rPr>
                <w:lang w:val="en-AU"/>
              </w:rPr>
              <w:t>100</w:t>
            </w:r>
            <w:r w:rsidR="00177848" w:rsidRPr="00C6052E">
              <w:rPr>
                <w:rFonts w:cs="Cambria"/>
                <w:lang w:val="en-AU"/>
              </w:rPr>
              <w:t xml:space="preserve"> </w:t>
            </w:r>
          </w:p>
        </w:tc>
        <w:tc>
          <w:tcPr>
            <w:tcW w:w="1133" w:type="dxa"/>
          </w:tcPr>
          <w:p w14:paraId="18877304" w14:textId="77777777" w:rsidR="00EE5BB8" w:rsidRPr="00C6052E" w:rsidRDefault="00EE5BB8" w:rsidP="0063097D">
            <w:pPr>
              <w:pStyle w:val="TableCopy"/>
              <w:jc w:val="right"/>
              <w:rPr>
                <w:lang w:val="en-AU"/>
              </w:rPr>
            </w:pPr>
            <w:r w:rsidRPr="00C6052E">
              <w:rPr>
                <w:lang w:val="en-AU"/>
              </w:rPr>
              <w:t>100</w:t>
            </w:r>
          </w:p>
        </w:tc>
      </w:tr>
      <w:tr w:rsidR="00EE5BB8" w:rsidRPr="00C6052E" w14:paraId="7EE792EA" w14:textId="77777777" w:rsidTr="0063097D">
        <w:tc>
          <w:tcPr>
            <w:tcW w:w="5102" w:type="dxa"/>
          </w:tcPr>
          <w:p w14:paraId="77008977" w14:textId="01F38D67" w:rsidR="00EE5BB8" w:rsidRPr="00C6052E" w:rsidRDefault="00EE5BB8" w:rsidP="0063097D">
            <w:pPr>
              <w:pStyle w:val="TableCopy"/>
              <w:rPr>
                <w:lang w:val="en-AU"/>
              </w:rPr>
            </w:pPr>
            <w:r w:rsidRPr="00C6052E">
              <w:rPr>
                <w:lang w:val="en-AU"/>
              </w:rPr>
              <w:t>Recreational</w:t>
            </w:r>
            <w:r w:rsidR="00177848" w:rsidRPr="00C6052E">
              <w:rPr>
                <w:lang w:val="en-AU"/>
              </w:rPr>
              <w:t xml:space="preserve"> </w:t>
            </w:r>
            <w:r w:rsidRPr="00C6052E">
              <w:rPr>
                <w:lang w:val="en-AU"/>
              </w:rPr>
              <w:t>fishing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boating</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improvements</w:t>
            </w:r>
            <w:r w:rsidR="00177848" w:rsidRPr="00C6052E">
              <w:rPr>
                <w:lang w:val="en-AU"/>
              </w:rPr>
              <w:t xml:space="preserve"> </w:t>
            </w:r>
            <w:r w:rsidRPr="00C6052E">
              <w:rPr>
                <w:lang w:val="en-AU"/>
              </w:rPr>
              <w:t>delivered</w:t>
            </w:r>
            <w:r w:rsidR="00177848" w:rsidRPr="00C6052E">
              <w:rPr>
                <w:lang w:val="en-AU"/>
              </w:rPr>
              <w:t xml:space="preserve"> </w:t>
            </w:r>
            <w:r w:rsidRPr="00C6052E">
              <w:rPr>
                <w:lang w:val="en-AU"/>
              </w:rPr>
              <w:t>(number)</w:t>
            </w:r>
          </w:p>
        </w:tc>
        <w:tc>
          <w:tcPr>
            <w:tcW w:w="1133" w:type="dxa"/>
          </w:tcPr>
          <w:p w14:paraId="6AA6A419" w14:textId="77777777" w:rsidR="00EE5BB8" w:rsidRPr="00C6052E" w:rsidRDefault="00EE5BB8" w:rsidP="0063097D">
            <w:pPr>
              <w:pStyle w:val="TableCopy"/>
              <w:jc w:val="right"/>
              <w:rPr>
                <w:lang w:val="en-AU"/>
              </w:rPr>
            </w:pPr>
            <w:r w:rsidRPr="00C6052E">
              <w:rPr>
                <w:lang w:val="en-AU"/>
              </w:rPr>
              <w:t>2</w:t>
            </w:r>
          </w:p>
        </w:tc>
        <w:tc>
          <w:tcPr>
            <w:tcW w:w="1133" w:type="dxa"/>
          </w:tcPr>
          <w:p w14:paraId="15F23551" w14:textId="77777777" w:rsidR="00EE5BB8" w:rsidRPr="00C6052E" w:rsidRDefault="00EE5BB8" w:rsidP="0063097D">
            <w:pPr>
              <w:pStyle w:val="TableCopy"/>
              <w:jc w:val="right"/>
              <w:rPr>
                <w:lang w:val="en-AU"/>
              </w:rPr>
            </w:pPr>
            <w:r w:rsidRPr="00C6052E">
              <w:rPr>
                <w:lang w:val="en-AU"/>
              </w:rPr>
              <w:t>3</w:t>
            </w:r>
          </w:p>
        </w:tc>
        <w:tc>
          <w:tcPr>
            <w:tcW w:w="1133" w:type="dxa"/>
          </w:tcPr>
          <w:p w14:paraId="07F41CED" w14:textId="77777777" w:rsidR="00EE5BB8" w:rsidRPr="00C6052E" w:rsidRDefault="00EE5BB8" w:rsidP="0063097D">
            <w:pPr>
              <w:pStyle w:val="TableCopy"/>
              <w:jc w:val="right"/>
              <w:rPr>
                <w:lang w:val="en-AU"/>
              </w:rPr>
            </w:pPr>
            <w:r w:rsidRPr="00C6052E">
              <w:rPr>
                <w:lang w:val="en-AU"/>
              </w:rPr>
              <w:t>3</w:t>
            </w:r>
          </w:p>
        </w:tc>
        <w:tc>
          <w:tcPr>
            <w:tcW w:w="1133" w:type="dxa"/>
          </w:tcPr>
          <w:p w14:paraId="3B0661ED" w14:textId="77777777" w:rsidR="00EE5BB8" w:rsidRPr="00C6052E" w:rsidRDefault="00EE5BB8" w:rsidP="0063097D">
            <w:pPr>
              <w:pStyle w:val="TableCopy"/>
              <w:jc w:val="right"/>
              <w:rPr>
                <w:lang w:val="en-AU"/>
              </w:rPr>
            </w:pPr>
            <w:r w:rsidRPr="00C6052E">
              <w:rPr>
                <w:lang w:val="en-AU"/>
              </w:rPr>
              <w:t>3</w:t>
            </w:r>
          </w:p>
        </w:tc>
      </w:tr>
    </w:tbl>
    <w:p w14:paraId="14FC28B3" w14:textId="77777777" w:rsidR="00EE5BB8" w:rsidRPr="00C6052E" w:rsidRDefault="00EE5BB8" w:rsidP="00EE5BB8"/>
    <w:p w14:paraId="28B22116" w14:textId="65DF8AF2" w:rsidR="00EE5BB8" w:rsidRPr="00C6052E" w:rsidRDefault="00EE5BB8" w:rsidP="00EE5BB8">
      <w:pPr>
        <w:pStyle w:val="TableHeading"/>
      </w:pPr>
      <w:r w:rsidRPr="00C6052E">
        <w:lastRenderedPageBreak/>
        <w:t>Figure</w:t>
      </w:r>
      <w:r w:rsidR="00177848" w:rsidRPr="00C6052E">
        <w:t xml:space="preserve"> </w:t>
      </w:r>
      <w:r w:rsidRPr="00C6052E">
        <w:t>13:</w:t>
      </w:r>
      <w:r w:rsidR="00177848" w:rsidRPr="00C6052E">
        <w:t xml:space="preserve"> </w:t>
      </w:r>
      <w:r w:rsidRPr="00C6052E">
        <w:t>Recreational</w:t>
      </w:r>
      <w:r w:rsidR="00177848" w:rsidRPr="00C6052E">
        <w:t xml:space="preserve"> </w:t>
      </w:r>
      <w:r w:rsidRPr="00C6052E">
        <w:t>fishing</w:t>
      </w:r>
      <w:r w:rsidR="00177848" w:rsidRPr="00C6052E">
        <w:t xml:space="preserve"> </w:t>
      </w:r>
      <w:r w:rsidRPr="00C6052E">
        <w:t>and</w:t>
      </w:r>
      <w:r w:rsidR="00177848" w:rsidRPr="00C6052E">
        <w:t xml:space="preserve"> </w:t>
      </w:r>
      <w:r w:rsidRPr="00C6052E">
        <w:t>boating</w:t>
      </w:r>
      <w:r w:rsidR="00177848" w:rsidRPr="00C6052E">
        <w:t xml:space="preserve"> </w:t>
      </w:r>
      <w:r w:rsidRPr="00C6052E">
        <w:t>services</w:t>
      </w:r>
      <w:r w:rsidR="00177848" w:rsidRPr="00C6052E">
        <w:t xml:space="preserve"> </w:t>
      </w:r>
      <w:r w:rsidRPr="00C6052E">
        <w:t>and</w:t>
      </w:r>
      <w:r w:rsidR="00177848" w:rsidRPr="00C6052E">
        <w:t xml:space="preserve"> </w:t>
      </w:r>
      <w:r w:rsidRPr="00C6052E">
        <w:t>facilities</w:t>
      </w:r>
      <w:r w:rsidR="00177848" w:rsidRPr="00C6052E">
        <w:t xml:space="preserve"> </w:t>
      </w:r>
      <w:r w:rsidRPr="00C6052E">
        <w:t>initiatives</w:t>
      </w:r>
      <w:r w:rsidR="00177848" w:rsidRPr="00C6052E">
        <w:t xml:space="preserve"> </w:t>
      </w:r>
      <w:r w:rsidRPr="00C6052E">
        <w:t>achieved</w:t>
      </w:r>
    </w:p>
    <w:p w14:paraId="54AC1C76" w14:textId="77777777" w:rsidR="00EE5BB8" w:rsidRPr="00C6052E" w:rsidRDefault="00EE5BB8" w:rsidP="00EE5BB8">
      <w:pPr>
        <w:pStyle w:val="Graph"/>
        <w:rPr>
          <w:noProof w:val="0"/>
        </w:rPr>
      </w:pPr>
      <w:r w:rsidRPr="00C6052E">
        <w:drawing>
          <wp:inline distT="0" distB="0" distL="0" distR="0" wp14:anchorId="22D9F90F" wp14:editId="243D7F12">
            <wp:extent cx="4050000" cy="2700000"/>
            <wp:effectExtent l="0" t="0" r="0" b="0"/>
            <wp:docPr id="480372794" name="Chart 1" descr="Line graph showing data from Table 13: Improved recreational fishing and boating services and facilities (above).">
              <a:extLst xmlns:a="http://schemas.openxmlformats.org/drawingml/2006/main">
                <a:ext uri="{FF2B5EF4-FFF2-40B4-BE49-F238E27FC236}">
                  <a16:creationId xmlns:a16="http://schemas.microsoft.com/office/drawing/2014/main" id="{00000000-0008-0000-0600-00000C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CCC20B" w14:textId="599663D8" w:rsidR="00EE5BB8" w:rsidRPr="00C6052E" w:rsidRDefault="00EE5BB8" w:rsidP="00EE5BB8">
      <w:pPr>
        <w:pStyle w:val="TableHeading"/>
      </w:pPr>
      <w:r w:rsidRPr="00C6052E">
        <w:t>Figure</w:t>
      </w:r>
      <w:r w:rsidR="00177848" w:rsidRPr="00C6052E">
        <w:t xml:space="preserve"> </w:t>
      </w:r>
      <w:r w:rsidRPr="00C6052E">
        <w:t>14:</w:t>
      </w:r>
      <w:r w:rsidR="00177848" w:rsidRPr="00C6052E">
        <w:t xml:space="preserve"> </w:t>
      </w:r>
      <w:r w:rsidRPr="00C6052E">
        <w:t>Recreational</w:t>
      </w:r>
      <w:r w:rsidR="00177848" w:rsidRPr="00C6052E">
        <w:t xml:space="preserve"> </w:t>
      </w:r>
      <w:r w:rsidRPr="00C6052E">
        <w:t>fishing</w:t>
      </w:r>
      <w:r w:rsidR="00177848" w:rsidRPr="00C6052E">
        <w:t xml:space="preserve"> </w:t>
      </w:r>
      <w:r w:rsidRPr="00C6052E">
        <w:t>and</w:t>
      </w:r>
      <w:r w:rsidR="00177848" w:rsidRPr="00C6052E">
        <w:t xml:space="preserve"> </w:t>
      </w:r>
      <w:r w:rsidRPr="00C6052E">
        <w:t>boating</w:t>
      </w:r>
      <w:r w:rsidR="00177848" w:rsidRPr="00C6052E">
        <w:t xml:space="preserve"> </w:t>
      </w:r>
      <w:r w:rsidRPr="00C6052E">
        <w:t>infrastructure</w:t>
      </w:r>
      <w:r w:rsidR="00177848" w:rsidRPr="00C6052E">
        <w:t xml:space="preserve"> </w:t>
      </w:r>
      <w:r w:rsidRPr="00C6052E">
        <w:t>improvements</w:t>
      </w:r>
      <w:r w:rsidR="00177848" w:rsidRPr="00C6052E">
        <w:t xml:space="preserve"> </w:t>
      </w:r>
      <w:r w:rsidRPr="00C6052E">
        <w:t>delivered</w:t>
      </w:r>
      <w:r w:rsidR="00177848" w:rsidRPr="00C6052E">
        <w:t xml:space="preserve"> </w:t>
      </w:r>
    </w:p>
    <w:p w14:paraId="6F3CFE67" w14:textId="77777777" w:rsidR="00EE5BB8" w:rsidRPr="00C6052E" w:rsidRDefault="00EE5BB8" w:rsidP="00EE5BB8">
      <w:pPr>
        <w:pStyle w:val="Graph"/>
        <w:rPr>
          <w:noProof w:val="0"/>
        </w:rPr>
      </w:pPr>
      <w:r w:rsidRPr="00C6052E">
        <w:drawing>
          <wp:inline distT="0" distB="0" distL="0" distR="0" wp14:anchorId="3B274261" wp14:editId="2F282471">
            <wp:extent cx="4050000" cy="2700000"/>
            <wp:effectExtent l="0" t="0" r="0" b="0"/>
            <wp:docPr id="1147694989" name="Chart 1" descr="Line graph showing data from Table 13: Improved recreational fishing and boating services and facilities (above).">
              <a:extLst xmlns:a="http://schemas.openxmlformats.org/drawingml/2006/main">
                <a:ext uri="{FF2B5EF4-FFF2-40B4-BE49-F238E27FC236}">
                  <a16:creationId xmlns:a16="http://schemas.microsoft.com/office/drawing/2014/main" id="{00000000-0008-0000-0600-00000D000000}"/>
                </a:ext>
                <a:ext uri="{147F2762-F138-4A5C-976F-8EAC2B608ADB}">
                  <a16:predDERef xmlns:a16="http://schemas.microsoft.com/office/drawing/2014/main" pred="{00000000-0008-0000-0600-00000C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1F8B087" w14:textId="0D51DBFA" w:rsidR="00EE5BB8" w:rsidRPr="00C6052E" w:rsidRDefault="00EE5BB8" w:rsidP="0028635E">
      <w:pPr>
        <w:pStyle w:val="Normalbeforebullets"/>
      </w:pPr>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VFA</w:t>
      </w:r>
      <w:r w:rsidR="00177848" w:rsidRPr="00C6052E">
        <w:t xml:space="preserve"> </w:t>
      </w:r>
      <w:r w:rsidRPr="00C6052E">
        <w:t>completed</w:t>
      </w:r>
      <w:r w:rsidR="00177848" w:rsidRPr="00C6052E">
        <w:t xml:space="preserve"> </w:t>
      </w:r>
      <w:r w:rsidRPr="00C6052E">
        <w:t>3</w:t>
      </w:r>
      <w:r w:rsidR="00177848" w:rsidRPr="00C6052E">
        <w:t xml:space="preserve"> </w:t>
      </w:r>
      <w:r w:rsidRPr="00C6052E">
        <w:t>projects</w:t>
      </w:r>
      <w:r w:rsidR="00177848" w:rsidRPr="00C6052E">
        <w:t xml:space="preserve"> </w:t>
      </w:r>
      <w:r w:rsidRPr="00C6052E">
        <w:t>aimed</w:t>
      </w:r>
      <w:r w:rsidR="00177848" w:rsidRPr="00C6052E">
        <w:t xml:space="preserve"> </w:t>
      </w:r>
      <w:r w:rsidRPr="00C6052E">
        <w:t>at</w:t>
      </w:r>
      <w:r w:rsidR="00177848" w:rsidRPr="00C6052E">
        <w:t xml:space="preserve"> </w:t>
      </w:r>
      <w:r w:rsidRPr="00C6052E">
        <w:t>delivering</w:t>
      </w:r>
      <w:r w:rsidR="00177848" w:rsidRPr="00C6052E">
        <w:t xml:space="preserve"> </w:t>
      </w:r>
      <w:r w:rsidRPr="00C6052E">
        <w:t>improved</w:t>
      </w:r>
      <w:r w:rsidR="00177848" w:rsidRPr="00C6052E">
        <w:t xml:space="preserve"> </w:t>
      </w:r>
      <w:r w:rsidRPr="00C6052E">
        <w:t>infrastructure</w:t>
      </w:r>
      <w:r w:rsidR="00177848" w:rsidRPr="00C6052E">
        <w:t xml:space="preserve"> </w:t>
      </w:r>
      <w:r w:rsidRPr="00C6052E">
        <w:t>to</w:t>
      </w:r>
      <w:r w:rsidR="00177848" w:rsidRPr="00C6052E">
        <w:t xml:space="preserve"> </w:t>
      </w:r>
      <w:r w:rsidRPr="00C6052E">
        <w:t>make</w:t>
      </w:r>
      <w:r w:rsidR="00177848" w:rsidRPr="00C6052E">
        <w:t xml:space="preserve"> </w:t>
      </w:r>
      <w:r w:rsidRPr="00C6052E">
        <w:t>it</w:t>
      </w:r>
      <w:r w:rsidR="00177848" w:rsidRPr="00C6052E">
        <w:t xml:space="preserve"> </w:t>
      </w:r>
      <w:r w:rsidRPr="00C6052E">
        <w:t>easier</w:t>
      </w:r>
      <w:r w:rsidR="00177848" w:rsidRPr="00C6052E">
        <w:t xml:space="preserve"> </w:t>
      </w:r>
      <w:r w:rsidRPr="00C6052E">
        <w:t>and</w:t>
      </w:r>
      <w:r w:rsidR="00177848" w:rsidRPr="00C6052E">
        <w:t xml:space="preserve"> </w:t>
      </w:r>
      <w:r w:rsidRPr="00C6052E">
        <w:t>safer</w:t>
      </w:r>
      <w:r w:rsidR="00177848" w:rsidRPr="00C6052E">
        <w:t xml:space="preserve"> </w:t>
      </w:r>
      <w:r w:rsidRPr="00C6052E">
        <w:t>for</w:t>
      </w:r>
      <w:r w:rsidR="00177848" w:rsidRPr="00C6052E">
        <w:t xml:space="preserve"> </w:t>
      </w:r>
      <w:r w:rsidRPr="00C6052E">
        <w:t>recreational</w:t>
      </w:r>
      <w:r w:rsidR="00177848" w:rsidRPr="00C6052E">
        <w:t xml:space="preserve"> </w:t>
      </w:r>
      <w:r w:rsidRPr="00C6052E">
        <w:t>fishers</w:t>
      </w:r>
      <w:r w:rsidR="00177848" w:rsidRPr="00C6052E">
        <w:t xml:space="preserve"> </w:t>
      </w:r>
      <w:r w:rsidRPr="00C6052E">
        <w:t>and</w:t>
      </w:r>
      <w:r w:rsidR="00177848" w:rsidRPr="00C6052E">
        <w:t xml:space="preserve"> </w:t>
      </w:r>
      <w:r w:rsidRPr="00C6052E">
        <w:t>boat</w:t>
      </w:r>
      <w:r w:rsidR="00177848" w:rsidRPr="00C6052E">
        <w:t xml:space="preserve"> </w:t>
      </w:r>
      <w:r w:rsidRPr="00C6052E">
        <w:t>users</w:t>
      </w:r>
      <w:r w:rsidR="00177848" w:rsidRPr="00C6052E">
        <w:t xml:space="preserve"> </w:t>
      </w:r>
      <w:r w:rsidRPr="00C6052E">
        <w:t>to</w:t>
      </w:r>
      <w:r w:rsidR="00177848" w:rsidRPr="00C6052E">
        <w:t xml:space="preserve"> </w:t>
      </w:r>
      <w:r w:rsidRPr="00C6052E">
        <w:t>get</w:t>
      </w:r>
      <w:r w:rsidR="00177848" w:rsidRPr="00C6052E">
        <w:t xml:space="preserve"> </w:t>
      </w:r>
      <w:r w:rsidRPr="00C6052E">
        <w:t>out</w:t>
      </w:r>
      <w:r w:rsidR="00177848" w:rsidRPr="00C6052E">
        <w:t xml:space="preserve"> </w:t>
      </w:r>
      <w:r w:rsidRPr="00C6052E">
        <w:t>on</w:t>
      </w:r>
      <w:r w:rsidR="00177848" w:rsidRPr="00C6052E">
        <w:t xml:space="preserve"> </w:t>
      </w:r>
      <w:r w:rsidRPr="00C6052E">
        <w:t>the</w:t>
      </w:r>
      <w:r w:rsidR="00177848" w:rsidRPr="00C6052E">
        <w:t xml:space="preserve"> </w:t>
      </w:r>
      <w:r w:rsidRPr="00C6052E">
        <w:t>water.</w:t>
      </w:r>
      <w:r w:rsidR="00177848" w:rsidRPr="00C6052E">
        <w:t xml:space="preserve"> </w:t>
      </w:r>
      <w:r w:rsidRPr="00C6052E">
        <w:t>The</w:t>
      </w:r>
      <w:r w:rsidR="00177848" w:rsidRPr="00C6052E">
        <w:t xml:space="preserve"> </w:t>
      </w:r>
      <w:r w:rsidRPr="00C6052E">
        <w:t>following</w:t>
      </w:r>
      <w:r w:rsidR="00177848" w:rsidRPr="00C6052E">
        <w:t xml:space="preserve"> </w:t>
      </w:r>
      <w:r w:rsidRPr="00C6052E">
        <w:t>projects</w:t>
      </w:r>
      <w:r w:rsidR="00177848" w:rsidRPr="00C6052E">
        <w:t xml:space="preserve"> </w:t>
      </w:r>
      <w:r w:rsidRPr="00C6052E">
        <w:t>were</w:t>
      </w:r>
      <w:r w:rsidR="00177848" w:rsidRPr="00C6052E">
        <w:t xml:space="preserve"> </w:t>
      </w:r>
      <w:r w:rsidRPr="00C6052E">
        <w:t>completed:</w:t>
      </w:r>
    </w:p>
    <w:p w14:paraId="0C98EF4E" w14:textId="3B31735C" w:rsidR="00EE5BB8" w:rsidRPr="00C6052E" w:rsidRDefault="00EE5BB8" w:rsidP="00EE5BB8">
      <w:pPr>
        <w:pStyle w:val="Bullet1"/>
        <w:numPr>
          <w:ilvl w:val="0"/>
          <w:numId w:val="1"/>
        </w:numPr>
        <w:spacing w:line="278" w:lineRule="auto"/>
        <w:ind w:left="284" w:hanging="284"/>
        <w:rPr>
          <w:lang w:val="en-AU"/>
        </w:rPr>
      </w:pPr>
      <w:r w:rsidRPr="00C6052E">
        <w:rPr>
          <w:lang w:val="en-AU"/>
        </w:rPr>
        <w:t>Upgrading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St</w:t>
      </w:r>
      <w:r w:rsidR="00177848" w:rsidRPr="00C6052E">
        <w:rPr>
          <w:lang w:val="en-AU"/>
        </w:rPr>
        <w:t xml:space="preserve"> </w:t>
      </w:r>
      <w:r w:rsidRPr="00C6052E">
        <w:rPr>
          <w:lang w:val="en-AU"/>
        </w:rPr>
        <w:t>Leonards</w:t>
      </w:r>
      <w:r w:rsidR="00177848" w:rsidRPr="00C6052E">
        <w:rPr>
          <w:lang w:val="en-AU"/>
        </w:rPr>
        <w:t xml:space="preserve"> </w:t>
      </w:r>
      <w:r w:rsidRPr="00C6052E">
        <w:rPr>
          <w:lang w:val="en-AU"/>
        </w:rPr>
        <w:t>boat</w:t>
      </w:r>
      <w:r w:rsidR="00177848" w:rsidRPr="00C6052E">
        <w:rPr>
          <w:lang w:val="en-AU"/>
        </w:rPr>
        <w:t xml:space="preserve"> </w:t>
      </w:r>
      <w:r w:rsidRPr="00C6052E">
        <w:rPr>
          <w:lang w:val="en-AU"/>
        </w:rPr>
        <w:t>ramp</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a</w:t>
      </w:r>
      <w:r w:rsidR="00177848" w:rsidRPr="00C6052E">
        <w:rPr>
          <w:lang w:val="en-AU"/>
        </w:rPr>
        <w:t xml:space="preserve"> </w:t>
      </w:r>
      <w:r w:rsidRPr="00C6052E">
        <w:rPr>
          <w:lang w:val="en-AU"/>
        </w:rPr>
        <w:t>new</w:t>
      </w:r>
      <w:r w:rsidR="00177848" w:rsidRPr="00C6052E">
        <w:rPr>
          <w:lang w:val="en-AU"/>
        </w:rPr>
        <w:t xml:space="preserve"> </w:t>
      </w:r>
      <w:r w:rsidRPr="00C6052E">
        <w:rPr>
          <w:lang w:val="en-AU"/>
        </w:rPr>
        <w:t>rebuilt</w:t>
      </w:r>
      <w:r w:rsidR="00177848" w:rsidRPr="00C6052E">
        <w:rPr>
          <w:lang w:val="en-AU"/>
        </w:rPr>
        <w:t xml:space="preserve"> </w:t>
      </w:r>
      <w:r w:rsidRPr="00C6052E">
        <w:rPr>
          <w:lang w:val="en-AU"/>
        </w:rPr>
        <w:t>jetty</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wave</w:t>
      </w:r>
      <w:r w:rsidR="00177848" w:rsidRPr="00C6052E">
        <w:rPr>
          <w:lang w:val="en-AU"/>
        </w:rPr>
        <w:t xml:space="preserve"> </w:t>
      </w:r>
      <w:r w:rsidRPr="00C6052E">
        <w:rPr>
          <w:lang w:val="en-AU"/>
        </w:rPr>
        <w:t>screens</w:t>
      </w:r>
      <w:r w:rsidR="00177848" w:rsidRPr="00C6052E">
        <w:rPr>
          <w:lang w:val="en-AU"/>
        </w:rPr>
        <w:t xml:space="preserve"> </w:t>
      </w:r>
      <w:r w:rsidRPr="00C6052E">
        <w:rPr>
          <w:lang w:val="en-AU"/>
        </w:rPr>
        <w:t>installed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provide</w:t>
      </w:r>
      <w:r w:rsidR="00177848" w:rsidRPr="00C6052E">
        <w:rPr>
          <w:lang w:val="en-AU"/>
        </w:rPr>
        <w:t xml:space="preserve"> </w:t>
      </w:r>
      <w:r w:rsidRPr="00C6052E">
        <w:rPr>
          <w:lang w:val="en-AU"/>
        </w:rPr>
        <w:t>protection</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northerly</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easterly</w:t>
      </w:r>
      <w:r w:rsidR="00177848" w:rsidRPr="00C6052E">
        <w:rPr>
          <w:lang w:val="en-AU"/>
        </w:rPr>
        <w:t xml:space="preserve"> </w:t>
      </w:r>
      <w:r w:rsidRPr="00C6052E">
        <w:rPr>
          <w:lang w:val="en-AU"/>
        </w:rPr>
        <w:t>winds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wave</w:t>
      </w:r>
      <w:r w:rsidR="00177848" w:rsidRPr="00C6052E">
        <w:rPr>
          <w:lang w:val="en-AU"/>
        </w:rPr>
        <w:t xml:space="preserve"> </w:t>
      </w:r>
      <w:r w:rsidRPr="00C6052E">
        <w:rPr>
          <w:lang w:val="en-AU"/>
        </w:rPr>
        <w:t>action</w:t>
      </w:r>
      <w:r w:rsidR="00177848" w:rsidRPr="00C6052E">
        <w:rPr>
          <w:lang w:val="en-AU"/>
        </w:rPr>
        <w:t xml:space="preserve"> </w:t>
      </w:r>
      <w:r w:rsidRPr="00C6052E">
        <w:rPr>
          <w:lang w:val="en-AU"/>
        </w:rPr>
        <w:t>(December</w:t>
      </w:r>
      <w:r w:rsidR="00177848" w:rsidRPr="00C6052E">
        <w:rPr>
          <w:lang w:val="en-AU"/>
        </w:rPr>
        <w:t xml:space="preserve"> </w:t>
      </w:r>
      <w:r w:rsidRPr="00C6052E">
        <w:rPr>
          <w:lang w:val="en-AU"/>
        </w:rPr>
        <w:t>2024)</w:t>
      </w:r>
    </w:p>
    <w:p w14:paraId="62214904" w14:textId="7E559E24" w:rsidR="00EE5BB8" w:rsidRPr="00C6052E" w:rsidRDefault="00EE5BB8" w:rsidP="00EE5BB8">
      <w:pPr>
        <w:pStyle w:val="Bullet1"/>
        <w:numPr>
          <w:ilvl w:val="0"/>
          <w:numId w:val="1"/>
        </w:numPr>
        <w:spacing w:line="278" w:lineRule="auto"/>
        <w:ind w:left="284" w:hanging="284"/>
        <w:rPr>
          <w:lang w:val="en-AU"/>
        </w:rPr>
      </w:pPr>
      <w:r w:rsidRPr="00C6052E">
        <w:rPr>
          <w:lang w:val="en-AU"/>
        </w:rPr>
        <w:t>Upgrading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Mahers</w:t>
      </w:r>
      <w:r w:rsidR="00177848" w:rsidRPr="00C6052E">
        <w:rPr>
          <w:lang w:val="en-AU"/>
        </w:rPr>
        <w:t xml:space="preserve"> </w:t>
      </w:r>
      <w:r w:rsidRPr="00C6052E">
        <w:rPr>
          <w:lang w:val="en-AU"/>
        </w:rPr>
        <w:t>Landing</w:t>
      </w:r>
      <w:r w:rsidR="00177848" w:rsidRPr="00C6052E">
        <w:rPr>
          <w:lang w:val="en-AU"/>
        </w:rPr>
        <w:t xml:space="preserve"> </w:t>
      </w:r>
      <w:r w:rsidRPr="00C6052E">
        <w:rPr>
          <w:lang w:val="en-AU"/>
        </w:rPr>
        <w:t>boat</w:t>
      </w:r>
      <w:r w:rsidR="00177848" w:rsidRPr="00C6052E">
        <w:rPr>
          <w:lang w:val="en-AU"/>
        </w:rPr>
        <w:t xml:space="preserve"> </w:t>
      </w:r>
      <w:r w:rsidRPr="00C6052E">
        <w:rPr>
          <w:lang w:val="en-AU"/>
        </w:rPr>
        <w:t>ramp</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constructing</w:t>
      </w:r>
      <w:r w:rsidR="00177848" w:rsidRPr="00C6052E">
        <w:rPr>
          <w:lang w:val="en-AU"/>
        </w:rPr>
        <w:t xml:space="preserve"> </w:t>
      </w:r>
      <w:r w:rsidRPr="00C6052E">
        <w:rPr>
          <w:lang w:val="en-AU"/>
        </w:rPr>
        <w:t>a</w:t>
      </w:r>
      <w:r w:rsidR="00177848" w:rsidRPr="00C6052E">
        <w:rPr>
          <w:lang w:val="en-AU"/>
        </w:rPr>
        <w:t xml:space="preserve"> </w:t>
      </w:r>
      <w:r w:rsidRPr="00C6052E">
        <w:rPr>
          <w:lang w:val="en-AU"/>
        </w:rPr>
        <w:t>new</w:t>
      </w:r>
      <w:r w:rsidR="00177848" w:rsidRPr="00C6052E">
        <w:rPr>
          <w:lang w:val="en-AU"/>
        </w:rPr>
        <w:t xml:space="preserve"> </w:t>
      </w:r>
      <w:r w:rsidRPr="00C6052E">
        <w:rPr>
          <w:lang w:val="en-AU"/>
        </w:rPr>
        <w:t>dual</w:t>
      </w:r>
      <w:r w:rsidR="00177848" w:rsidRPr="00C6052E">
        <w:rPr>
          <w:lang w:val="en-AU"/>
        </w:rPr>
        <w:t xml:space="preserve"> </w:t>
      </w:r>
      <w:r w:rsidRPr="00C6052E">
        <w:rPr>
          <w:lang w:val="en-AU"/>
        </w:rPr>
        <w:t>lane</w:t>
      </w:r>
      <w:r w:rsidR="00177848" w:rsidRPr="00C6052E">
        <w:rPr>
          <w:lang w:val="en-AU"/>
        </w:rPr>
        <w:t xml:space="preserve"> </w:t>
      </w:r>
      <w:r w:rsidRPr="00C6052E">
        <w:rPr>
          <w:lang w:val="en-AU"/>
        </w:rPr>
        <w:t>ramp,</w:t>
      </w:r>
      <w:r w:rsidR="00177848" w:rsidRPr="00C6052E">
        <w:rPr>
          <w:lang w:val="en-AU"/>
        </w:rPr>
        <w:t xml:space="preserve"> </w:t>
      </w:r>
      <w:r w:rsidRPr="00C6052E">
        <w:rPr>
          <w:lang w:val="en-AU"/>
        </w:rPr>
        <w:t>jetty</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asphalted</w:t>
      </w:r>
      <w:r w:rsidR="00177848" w:rsidRPr="00C6052E">
        <w:rPr>
          <w:lang w:val="en-AU"/>
        </w:rPr>
        <w:t xml:space="preserve"> </w:t>
      </w:r>
      <w:r w:rsidRPr="00C6052E">
        <w:rPr>
          <w:lang w:val="en-AU"/>
        </w:rPr>
        <w:t>car</w:t>
      </w:r>
      <w:r w:rsidR="00177848" w:rsidRPr="00C6052E">
        <w:rPr>
          <w:lang w:val="en-AU"/>
        </w:rPr>
        <w:t xml:space="preserve"> </w:t>
      </w:r>
      <w:r w:rsidRPr="00C6052E">
        <w:rPr>
          <w:lang w:val="en-AU"/>
        </w:rPr>
        <w:t>parking</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up</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55</w:t>
      </w:r>
      <w:r w:rsidR="00177848" w:rsidRPr="00C6052E">
        <w:rPr>
          <w:lang w:val="en-AU"/>
        </w:rPr>
        <w:t xml:space="preserve"> </w:t>
      </w:r>
      <w:r w:rsidRPr="00C6052E">
        <w:rPr>
          <w:lang w:val="en-AU"/>
        </w:rPr>
        <w:t>cars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trailers.</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upgraded</w:t>
      </w:r>
      <w:r w:rsidR="00177848" w:rsidRPr="00C6052E">
        <w:rPr>
          <w:lang w:val="en-AU"/>
        </w:rPr>
        <w:t xml:space="preserve"> </w:t>
      </w:r>
      <w:r w:rsidRPr="00C6052E">
        <w:rPr>
          <w:lang w:val="en-AU"/>
        </w:rPr>
        <w:t>facility</w:t>
      </w:r>
      <w:r w:rsidR="00177848" w:rsidRPr="00C6052E">
        <w:rPr>
          <w:lang w:val="en-AU"/>
        </w:rPr>
        <w:t xml:space="preserve"> </w:t>
      </w:r>
      <w:r w:rsidRPr="00C6052E">
        <w:rPr>
          <w:lang w:val="en-AU"/>
        </w:rPr>
        <w:t>also</w:t>
      </w:r>
      <w:r w:rsidR="00177848" w:rsidRPr="00C6052E">
        <w:rPr>
          <w:lang w:val="en-AU"/>
        </w:rPr>
        <w:t xml:space="preserve"> </w:t>
      </w:r>
      <w:r w:rsidRPr="00C6052E">
        <w:rPr>
          <w:lang w:val="en-AU"/>
        </w:rPr>
        <w:t>includes</w:t>
      </w:r>
      <w:r w:rsidR="00177848" w:rsidRPr="00C6052E">
        <w:rPr>
          <w:lang w:val="en-AU"/>
        </w:rPr>
        <w:t xml:space="preserve"> </w:t>
      </w:r>
      <w:r w:rsidRPr="00C6052E">
        <w:rPr>
          <w:lang w:val="en-AU"/>
        </w:rPr>
        <w:t>public</w:t>
      </w:r>
      <w:r w:rsidR="00177848" w:rsidRPr="00C6052E">
        <w:rPr>
          <w:lang w:val="en-AU"/>
        </w:rPr>
        <w:t xml:space="preserve"> </w:t>
      </w:r>
      <w:r w:rsidRPr="00C6052E">
        <w:rPr>
          <w:lang w:val="en-AU"/>
        </w:rPr>
        <w:t>toilets,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cleaning</w:t>
      </w:r>
      <w:r w:rsidR="00177848" w:rsidRPr="00C6052E">
        <w:rPr>
          <w:lang w:val="en-AU"/>
        </w:rPr>
        <w:t xml:space="preserve"> </w:t>
      </w:r>
      <w:r w:rsidRPr="00C6052E">
        <w:rPr>
          <w:lang w:val="en-AU"/>
        </w:rPr>
        <w:t>table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retainment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old</w:t>
      </w:r>
      <w:r w:rsidR="00177848" w:rsidRPr="00C6052E">
        <w:rPr>
          <w:lang w:val="en-AU"/>
        </w:rPr>
        <w:t xml:space="preserve"> </w:t>
      </w:r>
      <w:r w:rsidRPr="00C6052E">
        <w:rPr>
          <w:lang w:val="en-AU"/>
        </w:rPr>
        <w:t>high-tide</w:t>
      </w:r>
      <w:r w:rsidR="00177848" w:rsidRPr="00C6052E">
        <w:rPr>
          <w:lang w:val="en-AU"/>
        </w:rPr>
        <w:t xml:space="preserve"> </w:t>
      </w:r>
      <w:r w:rsidRPr="00C6052E">
        <w:rPr>
          <w:lang w:val="en-AU"/>
        </w:rPr>
        <w:t>ramp</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use</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non-powered</w:t>
      </w:r>
      <w:r w:rsidR="00177848" w:rsidRPr="00C6052E">
        <w:rPr>
          <w:lang w:val="en-AU"/>
        </w:rPr>
        <w:t xml:space="preserve"> </w:t>
      </w:r>
      <w:r w:rsidRPr="00C6052E">
        <w:rPr>
          <w:lang w:val="en-AU"/>
        </w:rPr>
        <w:t>watercraft</w:t>
      </w:r>
      <w:r w:rsidR="00177848" w:rsidRPr="00C6052E">
        <w:rPr>
          <w:lang w:val="en-AU"/>
        </w:rPr>
        <w:t xml:space="preserve"> </w:t>
      </w:r>
      <w:r w:rsidRPr="00C6052E">
        <w:rPr>
          <w:lang w:val="en-AU"/>
        </w:rPr>
        <w:t>(October</w:t>
      </w:r>
      <w:r w:rsidR="00177848" w:rsidRPr="00C6052E">
        <w:rPr>
          <w:lang w:val="en-AU"/>
        </w:rPr>
        <w:t xml:space="preserve"> </w:t>
      </w:r>
      <w:r w:rsidRPr="00C6052E">
        <w:rPr>
          <w:lang w:val="en-AU"/>
        </w:rPr>
        <w:t>2024)</w:t>
      </w:r>
    </w:p>
    <w:p w14:paraId="31FB1BCF" w14:textId="21434EB7" w:rsidR="00EE5BB8" w:rsidRPr="00C6052E" w:rsidRDefault="00EE5BB8" w:rsidP="00880FCA">
      <w:pPr>
        <w:pStyle w:val="Bullet1last"/>
        <w:keepLines/>
        <w:numPr>
          <w:ilvl w:val="0"/>
          <w:numId w:val="1"/>
        </w:numPr>
        <w:spacing w:line="278" w:lineRule="auto"/>
        <w:ind w:left="284" w:hanging="284"/>
        <w:rPr>
          <w:spacing w:val="-2"/>
          <w:lang w:val="en-AU"/>
        </w:rPr>
      </w:pPr>
      <w:r w:rsidRPr="00C6052E">
        <w:rPr>
          <w:spacing w:val="-2"/>
          <w:lang w:val="en-AU"/>
        </w:rPr>
        <w:lastRenderedPageBreak/>
        <w:t>Building</w:t>
      </w:r>
      <w:r w:rsidR="00177848" w:rsidRPr="00C6052E">
        <w:rPr>
          <w:spacing w:val="-2"/>
          <w:lang w:val="en-AU"/>
        </w:rPr>
        <w:t xml:space="preserve"> </w:t>
      </w:r>
      <w:r w:rsidRPr="00C6052E">
        <w:rPr>
          <w:spacing w:val="-2"/>
          <w:lang w:val="en-AU"/>
        </w:rPr>
        <w:t>a</w:t>
      </w:r>
      <w:r w:rsidR="00177848" w:rsidRPr="00C6052E">
        <w:rPr>
          <w:spacing w:val="-2"/>
          <w:lang w:val="en-AU"/>
        </w:rPr>
        <w:t xml:space="preserve"> </w:t>
      </w:r>
      <w:r w:rsidRPr="00C6052E">
        <w:rPr>
          <w:spacing w:val="-2"/>
          <w:lang w:val="en-AU"/>
        </w:rPr>
        <w:t>new</w:t>
      </w:r>
      <w:r w:rsidR="00177848" w:rsidRPr="00C6052E">
        <w:rPr>
          <w:spacing w:val="-2"/>
          <w:lang w:val="en-AU"/>
        </w:rPr>
        <w:t xml:space="preserve"> </w:t>
      </w:r>
      <w:r w:rsidRPr="00C6052E">
        <w:rPr>
          <w:spacing w:val="-2"/>
          <w:lang w:val="en-AU"/>
        </w:rPr>
        <w:t>carpark</w:t>
      </w:r>
      <w:r w:rsidR="00177848" w:rsidRPr="00C6052E">
        <w:rPr>
          <w:spacing w:val="-2"/>
          <w:lang w:val="en-AU"/>
        </w:rPr>
        <w:t xml:space="preserve"> </w:t>
      </w:r>
      <w:r w:rsidRPr="00C6052E">
        <w:rPr>
          <w:spacing w:val="-2"/>
          <w:lang w:val="en-AU"/>
        </w:rPr>
        <w:t>at</w:t>
      </w:r>
      <w:r w:rsidR="00177848" w:rsidRPr="00C6052E">
        <w:rPr>
          <w:spacing w:val="-2"/>
          <w:lang w:val="en-AU"/>
        </w:rPr>
        <w:t xml:space="preserve"> </w:t>
      </w:r>
      <w:r w:rsidRPr="00C6052E">
        <w:rPr>
          <w:spacing w:val="-2"/>
          <w:lang w:val="en-AU"/>
        </w:rPr>
        <w:t>Torquay’s</w:t>
      </w:r>
      <w:r w:rsidR="00177848" w:rsidRPr="00C6052E">
        <w:rPr>
          <w:spacing w:val="-2"/>
          <w:lang w:val="en-AU"/>
        </w:rPr>
        <w:t xml:space="preserve"> </w:t>
      </w:r>
      <w:r w:rsidRPr="00C6052E">
        <w:rPr>
          <w:spacing w:val="-2"/>
          <w:lang w:val="en-AU"/>
        </w:rPr>
        <w:t>popular</w:t>
      </w:r>
      <w:r w:rsidR="00177848" w:rsidRPr="00C6052E">
        <w:rPr>
          <w:spacing w:val="-2"/>
          <w:lang w:val="en-AU"/>
        </w:rPr>
        <w:t xml:space="preserve"> </w:t>
      </w:r>
      <w:proofErr w:type="spellStart"/>
      <w:r w:rsidRPr="00C6052E">
        <w:rPr>
          <w:spacing w:val="-2"/>
          <w:lang w:val="en-AU"/>
        </w:rPr>
        <w:t>Fishermans</w:t>
      </w:r>
      <w:proofErr w:type="spellEnd"/>
      <w:r w:rsidR="00177848" w:rsidRPr="00C6052E">
        <w:rPr>
          <w:spacing w:val="-2"/>
          <w:lang w:val="en-AU"/>
        </w:rPr>
        <w:t xml:space="preserve"> </w:t>
      </w:r>
      <w:r w:rsidRPr="00C6052E">
        <w:rPr>
          <w:lang w:val="en-AU"/>
        </w:rPr>
        <w:t>Beach</w:t>
      </w:r>
      <w:r w:rsidR="00177848" w:rsidRPr="00C6052E">
        <w:rPr>
          <w:lang w:val="en-AU"/>
        </w:rPr>
        <w:t xml:space="preserve"> </w:t>
      </w:r>
      <w:r w:rsidRPr="00C6052E">
        <w:rPr>
          <w:lang w:val="en-AU"/>
        </w:rPr>
        <w:t>boat</w:t>
      </w:r>
      <w:r w:rsidR="00177848" w:rsidRPr="00C6052E">
        <w:rPr>
          <w:lang w:val="en-AU"/>
        </w:rPr>
        <w:t xml:space="preserve"> </w:t>
      </w:r>
      <w:r w:rsidRPr="00C6052E">
        <w:rPr>
          <w:lang w:val="en-AU"/>
        </w:rPr>
        <w:t>ramp</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enable</w:t>
      </w:r>
      <w:r w:rsidR="00177848" w:rsidRPr="00C6052E">
        <w:rPr>
          <w:lang w:val="en-AU"/>
        </w:rPr>
        <w:t xml:space="preserve"> </w:t>
      </w:r>
      <w:r w:rsidRPr="00C6052E">
        <w:rPr>
          <w:lang w:val="en-AU"/>
        </w:rPr>
        <w:t>boaters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find</w:t>
      </w:r>
      <w:r w:rsidR="00177848" w:rsidRPr="00C6052E">
        <w:rPr>
          <w:lang w:val="en-AU"/>
        </w:rPr>
        <w:t xml:space="preserve"> </w:t>
      </w:r>
      <w:r w:rsidRPr="00C6052E">
        <w:rPr>
          <w:lang w:val="en-AU"/>
        </w:rPr>
        <w:t>a</w:t>
      </w:r>
      <w:r w:rsidR="00177848" w:rsidRPr="00C6052E">
        <w:rPr>
          <w:lang w:val="en-AU"/>
        </w:rPr>
        <w:t xml:space="preserve"> </w:t>
      </w:r>
      <w:r w:rsidRPr="00C6052E">
        <w:rPr>
          <w:lang w:val="en-AU"/>
        </w:rPr>
        <w:t>park</w:t>
      </w:r>
      <w:r w:rsidR="00177848" w:rsidRPr="00C6052E">
        <w:rPr>
          <w:lang w:val="en-AU"/>
        </w:rPr>
        <w:t xml:space="preserve"> </w:t>
      </w:r>
      <w:r w:rsidRPr="00C6052E">
        <w:rPr>
          <w:lang w:val="en-AU"/>
        </w:rPr>
        <w:t>after</w:t>
      </w:r>
      <w:r w:rsidR="00177848" w:rsidRPr="00C6052E">
        <w:rPr>
          <w:lang w:val="en-AU"/>
        </w:rPr>
        <w:t xml:space="preserve"> </w:t>
      </w:r>
      <w:r w:rsidRPr="00C6052E">
        <w:rPr>
          <w:lang w:val="en-AU"/>
        </w:rPr>
        <w:t>launching</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boat.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new</w:t>
      </w:r>
      <w:r w:rsidR="00177848" w:rsidRPr="00C6052E">
        <w:rPr>
          <w:lang w:val="en-AU"/>
        </w:rPr>
        <w:t xml:space="preserve"> </w:t>
      </w:r>
      <w:r w:rsidRPr="00C6052E">
        <w:rPr>
          <w:lang w:val="en-AU"/>
        </w:rPr>
        <w:t>carpark</w:t>
      </w:r>
      <w:r w:rsidR="00177848" w:rsidRPr="00C6052E">
        <w:rPr>
          <w:lang w:val="en-AU"/>
        </w:rPr>
        <w:t xml:space="preserve"> </w:t>
      </w:r>
      <w:r w:rsidRPr="00C6052E">
        <w:rPr>
          <w:lang w:val="en-AU"/>
        </w:rPr>
        <w:t>has</w:t>
      </w:r>
      <w:r w:rsidR="00177848" w:rsidRPr="00C6052E">
        <w:rPr>
          <w:lang w:val="en-AU"/>
        </w:rPr>
        <w:t xml:space="preserve"> </w:t>
      </w:r>
      <w:r w:rsidRPr="00C6052E">
        <w:rPr>
          <w:lang w:val="en-AU"/>
        </w:rPr>
        <w:t>24</w:t>
      </w:r>
      <w:r w:rsidR="00177848" w:rsidRPr="00C6052E">
        <w:rPr>
          <w:lang w:val="en-AU"/>
        </w:rPr>
        <w:t xml:space="preserve"> </w:t>
      </w:r>
      <w:r w:rsidRPr="00C6052E">
        <w:rPr>
          <w:lang w:val="en-AU"/>
        </w:rPr>
        <w:t>spaces</w:t>
      </w:r>
      <w:r w:rsidR="00177848" w:rsidRPr="00C6052E">
        <w:rPr>
          <w:lang w:val="en-AU"/>
        </w:rPr>
        <w:t xml:space="preserve"> </w:t>
      </w:r>
      <w:r w:rsidRPr="00C6052E">
        <w:rPr>
          <w:lang w:val="en-AU"/>
        </w:rPr>
        <w:t>big</w:t>
      </w:r>
      <w:r w:rsidR="00177848" w:rsidRPr="00C6052E">
        <w:rPr>
          <w:lang w:val="en-AU"/>
        </w:rPr>
        <w:t xml:space="preserve"> </w:t>
      </w:r>
      <w:r w:rsidRPr="00C6052E">
        <w:rPr>
          <w:lang w:val="en-AU"/>
        </w:rPr>
        <w:t>enough</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a</w:t>
      </w:r>
      <w:r w:rsidR="00177848" w:rsidRPr="00C6052E">
        <w:rPr>
          <w:lang w:val="en-AU"/>
        </w:rPr>
        <w:t xml:space="preserve"> </w:t>
      </w:r>
      <w:r w:rsidRPr="00C6052E">
        <w:rPr>
          <w:lang w:val="en-AU"/>
        </w:rPr>
        <w:t>car</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trailer</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includes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kayak</w:t>
      </w:r>
      <w:r w:rsidR="00177848" w:rsidRPr="00C6052E">
        <w:rPr>
          <w:lang w:val="en-AU"/>
        </w:rPr>
        <w:t xml:space="preserve"> </w:t>
      </w:r>
      <w:r w:rsidRPr="00C6052E">
        <w:rPr>
          <w:lang w:val="en-AU"/>
        </w:rPr>
        <w:t>drop-off</w:t>
      </w:r>
      <w:r w:rsidR="00177848" w:rsidRPr="00C6052E">
        <w:rPr>
          <w:lang w:val="en-AU"/>
        </w:rPr>
        <w:t xml:space="preserve"> </w:t>
      </w:r>
      <w:r w:rsidRPr="00C6052E">
        <w:rPr>
          <w:lang w:val="en-AU"/>
        </w:rPr>
        <w:t>area,</w:t>
      </w:r>
      <w:r w:rsidR="00177848" w:rsidRPr="00C6052E">
        <w:rPr>
          <w:lang w:val="en-AU"/>
        </w:rPr>
        <w:t xml:space="preserve"> </w:t>
      </w:r>
      <w:r w:rsidRPr="00C6052E">
        <w:rPr>
          <w:lang w:val="en-AU"/>
        </w:rPr>
        <w:t>2</w:t>
      </w:r>
      <w:r w:rsidR="00177848" w:rsidRPr="00C6052E">
        <w:rPr>
          <w:lang w:val="en-AU"/>
        </w:rPr>
        <w:t xml:space="preserve"> </w:t>
      </w:r>
      <w:r w:rsidRPr="00C6052E">
        <w:rPr>
          <w:lang w:val="en-AU"/>
        </w:rPr>
        <w:t>outdoor</w:t>
      </w:r>
      <w:r w:rsidR="00177848" w:rsidRPr="00C6052E">
        <w:rPr>
          <w:lang w:val="en-AU"/>
        </w:rPr>
        <w:t xml:space="preserve"> </w:t>
      </w:r>
      <w:r w:rsidRPr="00C6052E">
        <w:rPr>
          <w:lang w:val="en-AU"/>
        </w:rPr>
        <w:t>showers,</w:t>
      </w:r>
      <w:r w:rsidR="00177848" w:rsidRPr="00C6052E">
        <w:rPr>
          <w:lang w:val="en-AU"/>
        </w:rPr>
        <w:t xml:space="preserve"> </w:t>
      </w:r>
      <w:r w:rsidRPr="00C6052E">
        <w:rPr>
          <w:lang w:val="en-AU"/>
        </w:rPr>
        <w:t>bike</w:t>
      </w:r>
      <w:r w:rsidR="00177848" w:rsidRPr="00C6052E">
        <w:rPr>
          <w:lang w:val="en-AU"/>
        </w:rPr>
        <w:t xml:space="preserve"> </w:t>
      </w:r>
      <w:r w:rsidRPr="00C6052E">
        <w:rPr>
          <w:lang w:val="en-AU"/>
        </w:rPr>
        <w:t>parking,</w:t>
      </w:r>
      <w:r w:rsidR="00177848" w:rsidRPr="00C6052E">
        <w:rPr>
          <w:lang w:val="en-AU"/>
        </w:rPr>
        <w:t xml:space="preserve"> </w:t>
      </w:r>
      <w:r w:rsidRPr="00C6052E">
        <w:rPr>
          <w:lang w:val="en-AU"/>
        </w:rPr>
        <w:t>a</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cleaning</w:t>
      </w:r>
      <w:r w:rsidR="00177848" w:rsidRPr="00C6052E">
        <w:rPr>
          <w:lang w:val="en-AU"/>
        </w:rPr>
        <w:t xml:space="preserve"> </w:t>
      </w:r>
      <w:r w:rsidRPr="00C6052E">
        <w:rPr>
          <w:lang w:val="en-AU"/>
        </w:rPr>
        <w:t>table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w:t>
      </w:r>
      <w:r w:rsidR="00177848" w:rsidRPr="00C6052E">
        <w:rPr>
          <w:lang w:val="en-AU"/>
        </w:rPr>
        <w:t xml:space="preserve"> </w:t>
      </w:r>
      <w:r w:rsidRPr="00C6052E">
        <w:rPr>
          <w:lang w:val="en-AU"/>
        </w:rPr>
        <w:t>sealed</w:t>
      </w:r>
      <w:r w:rsidR="00177848" w:rsidRPr="00C6052E">
        <w:rPr>
          <w:lang w:val="en-AU"/>
        </w:rPr>
        <w:t xml:space="preserve"> </w:t>
      </w:r>
      <w:r w:rsidRPr="00C6052E">
        <w:rPr>
          <w:lang w:val="en-AU"/>
        </w:rPr>
        <w:t>surface</w:t>
      </w:r>
      <w:r w:rsidR="00177848" w:rsidRPr="00C6052E">
        <w:rPr>
          <w:lang w:val="en-AU"/>
        </w:rPr>
        <w:t xml:space="preserve"> </w:t>
      </w:r>
      <w:r w:rsidRPr="00C6052E">
        <w:rPr>
          <w:lang w:val="en-AU"/>
        </w:rPr>
        <w:t>(October</w:t>
      </w:r>
      <w:r w:rsidR="00177848" w:rsidRPr="00C6052E">
        <w:rPr>
          <w:lang w:val="en-AU"/>
        </w:rPr>
        <w:t xml:space="preserve"> </w:t>
      </w:r>
      <w:r w:rsidRPr="00C6052E">
        <w:rPr>
          <w:lang w:val="en-AU"/>
        </w:rPr>
        <w:t>2024).</w:t>
      </w:r>
    </w:p>
    <w:p w14:paraId="0966A99F" w14:textId="2335E9A1" w:rsidR="00EE5BB8" w:rsidRPr="00C6052E" w:rsidRDefault="00EE5BB8" w:rsidP="00EE5BB8">
      <w:pPr>
        <w:pStyle w:val="Heading3"/>
      </w:pPr>
      <w:r w:rsidRPr="00C6052E">
        <w:t>Performance</w:t>
      </w:r>
      <w:r w:rsidR="00177848" w:rsidRPr="00C6052E">
        <w:t xml:space="preserve"> </w:t>
      </w:r>
      <w:r w:rsidRPr="00C6052E">
        <w:t>against</w:t>
      </w:r>
      <w:r w:rsidR="00177848" w:rsidRPr="00C6052E">
        <w:t xml:space="preserve"> </w:t>
      </w:r>
      <w:r w:rsidRPr="00C6052E">
        <w:t>output</w:t>
      </w:r>
      <w:r w:rsidR="00177848" w:rsidRPr="00C6052E">
        <w:t xml:space="preserve"> </w:t>
      </w:r>
      <w:r w:rsidRPr="00C6052E">
        <w:t>measures</w:t>
      </w:r>
    </w:p>
    <w:p w14:paraId="4285EEEF" w14:textId="55A380D2" w:rsidR="00EE5BB8" w:rsidRPr="00C6052E" w:rsidRDefault="00EE5BB8" w:rsidP="00EE5BB8">
      <w:r w:rsidRPr="00C6052E">
        <w:t>Table</w:t>
      </w:r>
      <w:r w:rsidR="00177848" w:rsidRPr="00C6052E">
        <w:t xml:space="preserve"> </w:t>
      </w:r>
      <w:r w:rsidRPr="00C6052E">
        <w:t>14</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Fishing,</w:t>
      </w:r>
      <w:r w:rsidR="00177848" w:rsidRPr="00C6052E">
        <w:t xml:space="preserve"> </w:t>
      </w:r>
      <w:r w:rsidRPr="00C6052E">
        <w:t>Boating</w:t>
      </w:r>
      <w:r w:rsidR="00177848" w:rsidRPr="00C6052E">
        <w:t xml:space="preserve"> </w:t>
      </w:r>
      <w:r w:rsidRPr="00C6052E">
        <w:t>and</w:t>
      </w:r>
      <w:r w:rsidR="00177848" w:rsidRPr="00C6052E">
        <w:t xml:space="preserve"> </w:t>
      </w:r>
      <w:r w:rsidRPr="00C6052E">
        <w:t>Game</w:t>
      </w:r>
      <w:r w:rsidR="00177848" w:rsidRPr="00C6052E">
        <w:t xml:space="preserve"> </w:t>
      </w:r>
      <w:r w:rsidRPr="00C6052E">
        <w:t>Management</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creates</w:t>
      </w:r>
      <w:r w:rsidR="00177848" w:rsidRPr="00C6052E">
        <w:t xml:space="preserve"> </w:t>
      </w:r>
      <w:r w:rsidRPr="00C6052E">
        <w:t>the</w:t>
      </w:r>
      <w:r w:rsidR="00177848" w:rsidRPr="00C6052E">
        <w:t xml:space="preserve"> </w:t>
      </w:r>
      <w:r w:rsidRPr="00C6052E">
        <w:t>conditions</w:t>
      </w:r>
      <w:r w:rsidR="00177848" w:rsidRPr="00C6052E">
        <w:t xml:space="preserve"> </w:t>
      </w:r>
      <w:r w:rsidRPr="00C6052E">
        <w:t>to</w:t>
      </w:r>
      <w:r w:rsidR="00177848" w:rsidRPr="00C6052E">
        <w:t xml:space="preserve"> </w:t>
      </w:r>
      <w:r w:rsidRPr="00C6052E">
        <w:t>ensure</w:t>
      </w:r>
      <w:r w:rsidR="00177848" w:rsidRPr="00C6052E">
        <w:t xml:space="preserve"> </w:t>
      </w:r>
      <w:r w:rsidRPr="00C6052E">
        <w:t>Victoria’s</w:t>
      </w:r>
      <w:r w:rsidR="00177848" w:rsidRPr="00C6052E">
        <w:t xml:space="preserve"> </w:t>
      </w:r>
      <w:r w:rsidRPr="00C6052E">
        <w:t>fisheries</w:t>
      </w:r>
      <w:r w:rsidR="00177848" w:rsidRPr="00C6052E">
        <w:t xml:space="preserve"> </w:t>
      </w:r>
      <w:r w:rsidRPr="00C6052E">
        <w:t>and</w:t>
      </w:r>
      <w:r w:rsidR="00177848" w:rsidRPr="00C6052E">
        <w:t xml:space="preserve"> </w:t>
      </w:r>
      <w:r w:rsidRPr="00C6052E">
        <w:t>game</w:t>
      </w:r>
      <w:r w:rsidR="00177848" w:rsidRPr="00C6052E">
        <w:t xml:space="preserve"> </w:t>
      </w:r>
      <w:r w:rsidRPr="00C6052E">
        <w:t>resources</w:t>
      </w:r>
      <w:r w:rsidR="00177848" w:rsidRPr="00C6052E">
        <w:t xml:space="preserve"> </w:t>
      </w:r>
      <w:r w:rsidRPr="00C6052E">
        <w:t>are</w:t>
      </w:r>
      <w:r w:rsidR="00177848" w:rsidRPr="00C6052E">
        <w:t xml:space="preserve"> </w:t>
      </w:r>
      <w:r w:rsidRPr="00C6052E">
        <w:t>sustainably</w:t>
      </w:r>
      <w:r w:rsidR="00177848" w:rsidRPr="00C6052E">
        <w:t xml:space="preserve"> </w:t>
      </w:r>
      <w:r w:rsidRPr="00C6052E">
        <w:t>used</w:t>
      </w:r>
      <w:r w:rsidR="00177848" w:rsidRPr="00C6052E">
        <w:t xml:space="preserve"> </w:t>
      </w:r>
      <w:r w:rsidRPr="00C6052E">
        <w:t>for</w:t>
      </w:r>
      <w:r w:rsidR="00177848" w:rsidRPr="00C6052E">
        <w:t xml:space="preserve"> </w:t>
      </w:r>
      <w:r w:rsidRPr="00C6052E">
        <w:t>both</w:t>
      </w:r>
      <w:r w:rsidR="00177848" w:rsidRPr="00C6052E">
        <w:t xml:space="preserve"> </w:t>
      </w:r>
      <w:r w:rsidRPr="00C6052E">
        <w:t>recreational</w:t>
      </w:r>
      <w:r w:rsidR="00177848" w:rsidRPr="00C6052E">
        <w:t xml:space="preserve"> </w:t>
      </w:r>
      <w:r w:rsidRPr="00C6052E">
        <w:t>and</w:t>
      </w:r>
      <w:r w:rsidR="00177848" w:rsidRPr="00C6052E">
        <w:t xml:space="preserve"> </w:t>
      </w:r>
      <w:r w:rsidRPr="00C6052E">
        <w:t>commercial</w:t>
      </w:r>
      <w:r w:rsidR="00177848" w:rsidRPr="00C6052E">
        <w:t xml:space="preserve"> </w:t>
      </w:r>
      <w:r w:rsidRPr="00C6052E">
        <w:t>purposes.</w:t>
      </w:r>
      <w:r w:rsidR="00177848" w:rsidRPr="00C6052E">
        <w:t xml:space="preserve"> </w:t>
      </w:r>
      <w:r w:rsidRPr="00C6052E">
        <w:t>This</w:t>
      </w:r>
      <w:r w:rsidR="00177848" w:rsidRPr="00C6052E">
        <w:t xml:space="preserve"> </w:t>
      </w:r>
      <w:r w:rsidRPr="00C6052E">
        <w:t>output</w:t>
      </w:r>
      <w:r w:rsidR="00177848" w:rsidRPr="00C6052E">
        <w:t xml:space="preserve"> </w:t>
      </w:r>
      <w:r w:rsidRPr="00C6052E">
        <w:t>delivers</w:t>
      </w:r>
      <w:r w:rsidR="00177848" w:rsidRPr="00C6052E">
        <w:t xml:space="preserve"> </w:t>
      </w:r>
      <w:r w:rsidRPr="00C6052E">
        <w:t>improved</w:t>
      </w:r>
      <w:r w:rsidR="00177848" w:rsidRPr="00C6052E">
        <w:t xml:space="preserve"> </w:t>
      </w:r>
      <w:r w:rsidRPr="00C6052E">
        <w:t>recreational</w:t>
      </w:r>
      <w:r w:rsidR="00177848" w:rsidRPr="00C6052E">
        <w:t xml:space="preserve"> </w:t>
      </w:r>
      <w:r w:rsidRPr="00C6052E">
        <w:t>boating</w:t>
      </w:r>
      <w:r w:rsidR="00177848" w:rsidRPr="00C6052E">
        <w:t xml:space="preserve"> </w:t>
      </w:r>
      <w:r w:rsidRPr="00C6052E">
        <w:t>and</w:t>
      </w:r>
      <w:r w:rsidR="00177848" w:rsidRPr="00C6052E">
        <w:t xml:space="preserve"> </w:t>
      </w:r>
      <w:r w:rsidRPr="00C6052E">
        <w:t>fishing</w:t>
      </w:r>
      <w:r w:rsidR="00177848" w:rsidRPr="00C6052E">
        <w:t xml:space="preserve"> </w:t>
      </w:r>
      <w:r w:rsidRPr="00C6052E">
        <w:t>services</w:t>
      </w:r>
      <w:r w:rsidR="00177848" w:rsidRPr="00C6052E">
        <w:t xml:space="preserve"> </w:t>
      </w:r>
      <w:r w:rsidRPr="00C6052E">
        <w:t>and</w:t>
      </w:r>
      <w:r w:rsidR="00177848" w:rsidRPr="00C6052E">
        <w:t xml:space="preserve"> </w:t>
      </w:r>
      <w:r w:rsidRPr="00C6052E">
        <w:t>facilities.</w:t>
      </w:r>
    </w:p>
    <w:p w14:paraId="272C2D2E" w14:textId="47037316" w:rsidR="00EE5BB8" w:rsidRPr="00C6052E" w:rsidRDefault="00EE5BB8" w:rsidP="00EE5BB8">
      <w:pPr>
        <w:pStyle w:val="TableHeading"/>
      </w:pPr>
      <w:r w:rsidRPr="00C6052E">
        <w:t>Table</w:t>
      </w:r>
      <w:r w:rsidR="00177848" w:rsidRPr="00C6052E">
        <w:t xml:space="preserve"> </w:t>
      </w:r>
      <w:r w:rsidRPr="00C6052E">
        <w:t>14:</w:t>
      </w:r>
      <w:r w:rsidR="00177848" w:rsidRPr="00C6052E">
        <w:t xml:space="preserve"> </w:t>
      </w:r>
      <w:r w:rsidRPr="00C6052E">
        <w:t>Output</w:t>
      </w:r>
      <w:r w:rsidR="00177848" w:rsidRPr="00C6052E">
        <w:t xml:space="preserve"> </w:t>
      </w:r>
      <w:r w:rsidRPr="00C6052E">
        <w:t>–</w:t>
      </w:r>
      <w:r w:rsidR="00177848" w:rsidRPr="00C6052E">
        <w:t xml:space="preserve"> </w:t>
      </w:r>
      <w:r w:rsidRPr="00C6052E">
        <w:t>Fishing,</w:t>
      </w:r>
      <w:r w:rsidR="00177848" w:rsidRPr="00C6052E">
        <w:t xml:space="preserve"> </w:t>
      </w:r>
      <w:r w:rsidRPr="00C6052E">
        <w:t>Boating</w:t>
      </w:r>
      <w:r w:rsidR="00177848" w:rsidRPr="00C6052E">
        <w:t xml:space="preserve"> </w:t>
      </w:r>
      <w:r w:rsidRPr="00C6052E">
        <w:t>and</w:t>
      </w:r>
      <w:r w:rsidR="00177848" w:rsidRPr="00C6052E">
        <w:t xml:space="preserve"> </w:t>
      </w:r>
      <w:r w:rsidRPr="00C6052E">
        <w:t>Game</w:t>
      </w:r>
      <w:r w:rsidR="00177848" w:rsidRPr="00C6052E">
        <w:t xml:space="preserve"> </w:t>
      </w:r>
      <w:r w:rsidRPr="00C6052E">
        <w:t>Management</w:t>
      </w:r>
    </w:p>
    <w:tbl>
      <w:tblPr>
        <w:tblStyle w:val="TableGrid"/>
        <w:tblW w:w="9772" w:type="dxa"/>
        <w:tblLayout w:type="fixed"/>
        <w:tblLook w:val="04E0" w:firstRow="1" w:lastRow="1" w:firstColumn="1" w:lastColumn="0" w:noHBand="0" w:noVBand="1"/>
      </w:tblPr>
      <w:tblGrid>
        <w:gridCol w:w="4620"/>
        <w:gridCol w:w="1004"/>
        <w:gridCol w:w="1020"/>
        <w:gridCol w:w="1020"/>
        <w:gridCol w:w="1361"/>
        <w:gridCol w:w="747"/>
      </w:tblGrid>
      <w:tr w:rsidR="00EE5BB8" w:rsidRPr="00C6052E" w14:paraId="34DD1F83" w14:textId="77777777" w:rsidTr="00C17A57">
        <w:trPr>
          <w:cantSplit/>
          <w:tblHeader/>
        </w:trPr>
        <w:tc>
          <w:tcPr>
            <w:tcW w:w="4620" w:type="dxa"/>
            <w:hideMark/>
          </w:tcPr>
          <w:p w14:paraId="64CDF5D5" w14:textId="71CB060A" w:rsidR="00EE5BB8" w:rsidRPr="00C6052E" w:rsidRDefault="00EE5BB8" w:rsidP="0063097D">
            <w:pPr>
              <w:pStyle w:val="TableColumnHeading"/>
              <w:rPr>
                <w:lang w:val="en-AU"/>
              </w:rPr>
            </w:pPr>
            <w:bookmarkStart w:id="29" w:name="TableColumnHeadings_22"/>
            <w:bookmarkEnd w:id="29"/>
            <w:r w:rsidRPr="00C6052E">
              <w:rPr>
                <w:lang w:val="en-AU"/>
              </w:rPr>
              <w:t>Performance</w:t>
            </w:r>
            <w:r w:rsidR="00177848" w:rsidRPr="00C6052E">
              <w:rPr>
                <w:lang w:val="en-AU"/>
              </w:rPr>
              <w:t xml:space="preserve"> </w:t>
            </w:r>
            <w:r w:rsidRPr="00C6052E">
              <w:rPr>
                <w:lang w:val="en-AU"/>
              </w:rPr>
              <w:t>measures</w:t>
            </w:r>
          </w:p>
        </w:tc>
        <w:tc>
          <w:tcPr>
            <w:tcW w:w="1004" w:type="dxa"/>
            <w:hideMark/>
          </w:tcPr>
          <w:p w14:paraId="4C5CC817" w14:textId="215C0D72" w:rsidR="00EE5BB8" w:rsidRPr="00C6052E" w:rsidRDefault="00EE5BB8" w:rsidP="0063097D">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1E7500C9" w14:textId="77777777" w:rsidR="00EE5BB8" w:rsidRPr="00C6052E" w:rsidRDefault="00EE5BB8" w:rsidP="0063097D">
            <w:pPr>
              <w:pStyle w:val="TableColumnHeading"/>
              <w:jc w:val="right"/>
              <w:rPr>
                <w:lang w:val="en-AU"/>
              </w:rPr>
            </w:pPr>
            <w:r w:rsidRPr="00C6052E">
              <w:rPr>
                <w:lang w:val="en-AU"/>
              </w:rPr>
              <w:t>2024–25</w:t>
            </w:r>
            <w:r w:rsidRPr="00C6052E">
              <w:rPr>
                <w:lang w:val="en-AU"/>
              </w:rPr>
              <w:br/>
              <w:t>Actual</w:t>
            </w:r>
          </w:p>
        </w:tc>
        <w:tc>
          <w:tcPr>
            <w:tcW w:w="1020" w:type="dxa"/>
            <w:hideMark/>
          </w:tcPr>
          <w:p w14:paraId="09ABDE1D" w14:textId="3CA3A193" w:rsidR="00EE5BB8" w:rsidRPr="00C6052E" w:rsidRDefault="00EE5BB8" w:rsidP="0063097D">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2174AFC4" w14:textId="65E4DEA5" w:rsidR="00EE5BB8" w:rsidRPr="00C6052E" w:rsidRDefault="00EE5BB8" w:rsidP="0063097D">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47" w:type="dxa"/>
            <w:hideMark/>
          </w:tcPr>
          <w:p w14:paraId="1487B2A5" w14:textId="77777777" w:rsidR="00EE5BB8" w:rsidRPr="00C6052E" w:rsidRDefault="00EE5BB8" w:rsidP="0063097D">
            <w:pPr>
              <w:pStyle w:val="TableColumnHeading"/>
              <w:jc w:val="right"/>
              <w:rPr>
                <w:lang w:val="en-AU"/>
              </w:rPr>
            </w:pPr>
            <w:r w:rsidRPr="00C6052E">
              <w:rPr>
                <w:lang w:val="en-AU"/>
              </w:rPr>
              <w:t>Result</w:t>
            </w:r>
          </w:p>
        </w:tc>
      </w:tr>
      <w:tr w:rsidR="00EE5BB8" w:rsidRPr="00C6052E" w14:paraId="6D6A11E0" w14:textId="77777777" w:rsidTr="00C17A57">
        <w:trPr>
          <w:cantSplit/>
        </w:trPr>
        <w:tc>
          <w:tcPr>
            <w:tcW w:w="4620" w:type="dxa"/>
          </w:tcPr>
          <w:p w14:paraId="220EA794" w14:textId="77777777" w:rsidR="00EE5BB8" w:rsidRPr="00C6052E" w:rsidRDefault="00EE5BB8" w:rsidP="0063097D">
            <w:pPr>
              <w:pStyle w:val="TableHeading"/>
              <w:rPr>
                <w:lang w:val="en-AU"/>
              </w:rPr>
            </w:pPr>
            <w:r w:rsidRPr="00C6052E">
              <w:rPr>
                <w:lang w:val="en-AU"/>
              </w:rPr>
              <w:t>Quantity</w:t>
            </w:r>
          </w:p>
        </w:tc>
        <w:tc>
          <w:tcPr>
            <w:tcW w:w="1004" w:type="dxa"/>
          </w:tcPr>
          <w:p w14:paraId="273F9B14" w14:textId="77777777" w:rsidR="00EE5BB8" w:rsidRPr="00C6052E" w:rsidRDefault="00EE5BB8" w:rsidP="0063097D">
            <w:pPr>
              <w:pStyle w:val="TableHeading"/>
              <w:jc w:val="right"/>
              <w:rPr>
                <w:lang w:val="en-AU"/>
              </w:rPr>
            </w:pPr>
          </w:p>
        </w:tc>
        <w:tc>
          <w:tcPr>
            <w:tcW w:w="1020" w:type="dxa"/>
            <w:noWrap/>
          </w:tcPr>
          <w:p w14:paraId="4E2D1E97" w14:textId="77777777" w:rsidR="00EE5BB8" w:rsidRPr="00C6052E" w:rsidRDefault="00EE5BB8" w:rsidP="0063097D">
            <w:pPr>
              <w:pStyle w:val="TableHeading"/>
              <w:jc w:val="right"/>
              <w:rPr>
                <w:lang w:val="en-AU"/>
              </w:rPr>
            </w:pPr>
          </w:p>
        </w:tc>
        <w:tc>
          <w:tcPr>
            <w:tcW w:w="1020" w:type="dxa"/>
            <w:noWrap/>
          </w:tcPr>
          <w:p w14:paraId="33FB55E8" w14:textId="77777777" w:rsidR="00EE5BB8" w:rsidRPr="00C6052E" w:rsidRDefault="00EE5BB8" w:rsidP="0063097D">
            <w:pPr>
              <w:pStyle w:val="TableHeading"/>
              <w:jc w:val="right"/>
              <w:rPr>
                <w:lang w:val="en-AU"/>
              </w:rPr>
            </w:pPr>
          </w:p>
        </w:tc>
        <w:tc>
          <w:tcPr>
            <w:tcW w:w="1361" w:type="dxa"/>
            <w:noWrap/>
          </w:tcPr>
          <w:p w14:paraId="4C1B70F5" w14:textId="77777777" w:rsidR="00EE5BB8" w:rsidRPr="00C6052E" w:rsidRDefault="00EE5BB8" w:rsidP="0063097D">
            <w:pPr>
              <w:pStyle w:val="TableHeading"/>
              <w:jc w:val="right"/>
              <w:rPr>
                <w:lang w:val="en-AU"/>
              </w:rPr>
            </w:pPr>
          </w:p>
        </w:tc>
        <w:tc>
          <w:tcPr>
            <w:tcW w:w="747" w:type="dxa"/>
            <w:noWrap/>
          </w:tcPr>
          <w:p w14:paraId="53C95260" w14:textId="77777777" w:rsidR="00EE5BB8" w:rsidRPr="00C6052E" w:rsidRDefault="00EE5BB8" w:rsidP="00A42238">
            <w:pPr>
              <w:pStyle w:val="TableCopy"/>
              <w:jc w:val="right"/>
              <w:rPr>
                <w:lang w:val="en-AU"/>
              </w:rPr>
            </w:pPr>
          </w:p>
        </w:tc>
      </w:tr>
      <w:tr w:rsidR="00EE5BB8" w:rsidRPr="00C6052E" w14:paraId="2EBB1BDE" w14:textId="77777777" w:rsidTr="00C17A57">
        <w:trPr>
          <w:cantSplit/>
        </w:trPr>
        <w:tc>
          <w:tcPr>
            <w:tcW w:w="4620" w:type="dxa"/>
            <w:hideMark/>
          </w:tcPr>
          <w:p w14:paraId="193CB8E3" w14:textId="41D2095B" w:rsidR="00EE5BB8" w:rsidRPr="00C6052E" w:rsidRDefault="00EE5BB8" w:rsidP="0063097D">
            <w:pPr>
              <w:pStyle w:val="TableCopy"/>
              <w:rPr>
                <w:lang w:val="en-AU"/>
              </w:rPr>
            </w:pPr>
            <w:r w:rsidRPr="00C6052E">
              <w:rPr>
                <w:lang w:val="en-AU"/>
              </w:rPr>
              <w:t>Accredited</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maritime</w:t>
            </w:r>
            <w:r w:rsidR="00177848" w:rsidRPr="00C6052E">
              <w:rPr>
                <w:lang w:val="en-AU"/>
              </w:rPr>
              <w:t xml:space="preserve"> </w:t>
            </w:r>
            <w:r w:rsidRPr="00C6052E">
              <w:rPr>
                <w:lang w:val="en-AU"/>
              </w:rPr>
              <w:t>training</w:t>
            </w:r>
            <w:r w:rsidR="00177848" w:rsidRPr="00C6052E">
              <w:rPr>
                <w:lang w:val="en-AU"/>
              </w:rPr>
              <w:t xml:space="preserve"> </w:t>
            </w:r>
            <w:r w:rsidRPr="00C6052E">
              <w:rPr>
                <w:lang w:val="en-AU"/>
              </w:rPr>
              <w:t>providers</w:t>
            </w:r>
            <w:r w:rsidR="00177848" w:rsidRPr="00C6052E">
              <w:rPr>
                <w:lang w:val="en-AU"/>
              </w:rPr>
              <w:t xml:space="preserve"> </w:t>
            </w:r>
            <w:r w:rsidRPr="00C6052E">
              <w:rPr>
                <w:lang w:val="en-AU"/>
              </w:rPr>
              <w:t>audited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accordance</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risk-based</w:t>
            </w:r>
            <w:r w:rsidR="00177848" w:rsidRPr="00C6052E">
              <w:rPr>
                <w:lang w:val="en-AU"/>
              </w:rPr>
              <w:t xml:space="preserve"> </w:t>
            </w:r>
            <w:r w:rsidRPr="00C6052E">
              <w:rPr>
                <w:lang w:val="en-AU"/>
              </w:rPr>
              <w:t>annual</w:t>
            </w:r>
            <w:r w:rsidR="00177848" w:rsidRPr="00C6052E">
              <w:rPr>
                <w:lang w:val="en-AU"/>
              </w:rPr>
              <w:t xml:space="preserve"> </w:t>
            </w:r>
            <w:r w:rsidRPr="00C6052E">
              <w:rPr>
                <w:lang w:val="en-AU"/>
              </w:rPr>
              <w:t>audit</w:t>
            </w:r>
            <w:r w:rsidR="00177848" w:rsidRPr="00C6052E">
              <w:rPr>
                <w:lang w:val="en-AU"/>
              </w:rPr>
              <w:t xml:space="preserve"> </w:t>
            </w:r>
            <w:r w:rsidRPr="00C6052E">
              <w:rPr>
                <w:lang w:val="en-AU"/>
              </w:rPr>
              <w:t>plan*</w:t>
            </w:r>
            <w:r w:rsidR="00177848" w:rsidRPr="00C6052E">
              <w:rPr>
                <w:lang w:val="en-AU"/>
              </w:rPr>
              <w:t xml:space="preserve"> </w:t>
            </w:r>
          </w:p>
        </w:tc>
        <w:tc>
          <w:tcPr>
            <w:tcW w:w="1004" w:type="dxa"/>
            <w:hideMark/>
          </w:tcPr>
          <w:p w14:paraId="498D8F57"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56C0E342" w14:textId="77777777" w:rsidR="00EE5BB8" w:rsidRPr="00C6052E" w:rsidRDefault="00EE5BB8" w:rsidP="0063097D">
            <w:pPr>
              <w:pStyle w:val="TableCopy"/>
              <w:jc w:val="right"/>
              <w:rPr>
                <w:lang w:val="en-AU"/>
              </w:rPr>
            </w:pPr>
            <w:r w:rsidRPr="00C6052E">
              <w:rPr>
                <w:lang w:val="en-AU"/>
              </w:rPr>
              <w:t>21</w:t>
            </w:r>
          </w:p>
        </w:tc>
        <w:tc>
          <w:tcPr>
            <w:tcW w:w="1020" w:type="dxa"/>
            <w:noWrap/>
            <w:hideMark/>
          </w:tcPr>
          <w:p w14:paraId="40DB2EF9" w14:textId="77777777" w:rsidR="00EE5BB8" w:rsidRPr="00C6052E" w:rsidRDefault="00EE5BB8" w:rsidP="0063097D">
            <w:pPr>
              <w:pStyle w:val="TableCopy"/>
              <w:jc w:val="right"/>
              <w:rPr>
                <w:lang w:val="en-AU"/>
              </w:rPr>
            </w:pPr>
            <w:r w:rsidRPr="00C6052E">
              <w:rPr>
                <w:lang w:val="en-AU"/>
              </w:rPr>
              <w:t>21</w:t>
            </w:r>
          </w:p>
        </w:tc>
        <w:tc>
          <w:tcPr>
            <w:tcW w:w="1361" w:type="dxa"/>
            <w:noWrap/>
            <w:hideMark/>
          </w:tcPr>
          <w:p w14:paraId="33A5D1B0"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7B6A0E7F" w14:textId="77777777" w:rsidR="00EE5BB8" w:rsidRPr="00C6052E" w:rsidRDefault="00EE5BB8" w:rsidP="00A42238">
            <w:pPr>
              <w:pStyle w:val="TableCopy"/>
              <w:jc w:val="right"/>
              <w:rPr>
                <w:lang w:val="en-AU"/>
              </w:rPr>
            </w:pPr>
            <w:r w:rsidRPr="00C6052E">
              <w:rPr>
                <w:lang w:val="en-AU"/>
              </w:rPr>
              <w:t>1</w:t>
            </w:r>
          </w:p>
        </w:tc>
      </w:tr>
      <w:tr w:rsidR="00EE5BB8" w:rsidRPr="00C6052E" w14:paraId="514AB98A" w14:textId="77777777" w:rsidTr="00C17A57">
        <w:trPr>
          <w:cantSplit/>
        </w:trPr>
        <w:tc>
          <w:tcPr>
            <w:tcW w:w="4620" w:type="dxa"/>
            <w:hideMark/>
          </w:tcPr>
          <w:p w14:paraId="5B28E5B2" w14:textId="32E0A7FF" w:rsidR="00EE5BB8" w:rsidRPr="00C6052E" w:rsidRDefault="00EE5BB8" w:rsidP="0063097D">
            <w:pPr>
              <w:pStyle w:val="TableCopy"/>
              <w:rPr>
                <w:lang w:val="en-AU"/>
              </w:rPr>
            </w:pPr>
            <w:r w:rsidRPr="00C6052E">
              <w:rPr>
                <w:lang w:val="en-AU"/>
              </w:rPr>
              <w:t>Community</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stakeholder</w:t>
            </w:r>
            <w:r w:rsidR="00177848" w:rsidRPr="00C6052E">
              <w:rPr>
                <w:lang w:val="en-AU"/>
              </w:rPr>
              <w:t xml:space="preserve"> </w:t>
            </w:r>
            <w:r w:rsidRPr="00C6052E">
              <w:rPr>
                <w:lang w:val="en-AU"/>
              </w:rPr>
              <w:t>engagement</w:t>
            </w:r>
            <w:r w:rsidR="00177848" w:rsidRPr="00C6052E">
              <w:rPr>
                <w:lang w:val="en-AU"/>
              </w:rPr>
              <w:t xml:space="preserve"> </w:t>
            </w:r>
            <w:r w:rsidRPr="00C6052E">
              <w:rPr>
                <w:lang w:val="en-AU"/>
              </w:rPr>
              <w:t>information</w:t>
            </w:r>
            <w:r w:rsidR="00177848" w:rsidRPr="00C6052E">
              <w:rPr>
                <w:lang w:val="en-AU"/>
              </w:rPr>
              <w:t xml:space="preserve"> </w:t>
            </w:r>
            <w:r w:rsidRPr="00C6052E">
              <w:rPr>
                <w:lang w:val="en-AU"/>
              </w:rPr>
              <w:t>forums</w:t>
            </w:r>
            <w:r w:rsidR="00177848" w:rsidRPr="00C6052E">
              <w:rPr>
                <w:lang w:val="en-AU"/>
              </w:rPr>
              <w:t xml:space="preserve"> </w:t>
            </w:r>
            <w:r w:rsidRPr="00C6052E">
              <w:rPr>
                <w:lang w:val="en-AU"/>
              </w:rPr>
              <w:t>–</w:t>
            </w:r>
            <w:r w:rsidR="00177848" w:rsidRPr="00C6052E">
              <w:rPr>
                <w:lang w:val="en-AU"/>
              </w:rPr>
              <w:t xml:space="preserve"> </w:t>
            </w:r>
            <w:r w:rsidRPr="00C6052E">
              <w:rPr>
                <w:lang w:val="en-AU"/>
              </w:rPr>
              <w:t>Fisheries</w:t>
            </w:r>
          </w:p>
        </w:tc>
        <w:tc>
          <w:tcPr>
            <w:tcW w:w="1004" w:type="dxa"/>
            <w:hideMark/>
          </w:tcPr>
          <w:p w14:paraId="4B00B388"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74F44863" w14:textId="77777777" w:rsidR="00EE5BB8" w:rsidRPr="00C6052E" w:rsidRDefault="00EE5BB8" w:rsidP="0063097D">
            <w:pPr>
              <w:pStyle w:val="TableCopy"/>
              <w:jc w:val="right"/>
              <w:rPr>
                <w:lang w:val="en-AU"/>
              </w:rPr>
            </w:pPr>
            <w:r w:rsidRPr="00C6052E">
              <w:rPr>
                <w:lang w:val="en-AU"/>
              </w:rPr>
              <w:t>10</w:t>
            </w:r>
          </w:p>
        </w:tc>
        <w:tc>
          <w:tcPr>
            <w:tcW w:w="1020" w:type="dxa"/>
            <w:noWrap/>
            <w:hideMark/>
          </w:tcPr>
          <w:p w14:paraId="5A89F1F4" w14:textId="77777777" w:rsidR="00EE5BB8" w:rsidRPr="00C6052E" w:rsidRDefault="00EE5BB8" w:rsidP="0063097D">
            <w:pPr>
              <w:pStyle w:val="TableCopy"/>
              <w:jc w:val="right"/>
              <w:rPr>
                <w:lang w:val="en-AU"/>
              </w:rPr>
            </w:pPr>
            <w:r w:rsidRPr="00C6052E">
              <w:rPr>
                <w:lang w:val="en-AU"/>
              </w:rPr>
              <w:t>10</w:t>
            </w:r>
          </w:p>
        </w:tc>
        <w:tc>
          <w:tcPr>
            <w:tcW w:w="1361" w:type="dxa"/>
            <w:noWrap/>
            <w:hideMark/>
          </w:tcPr>
          <w:p w14:paraId="7913FE5F"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0F126F76" w14:textId="77777777" w:rsidR="00EE5BB8" w:rsidRPr="00C6052E" w:rsidRDefault="00EE5BB8" w:rsidP="00A42238">
            <w:pPr>
              <w:pStyle w:val="TableCopy"/>
              <w:jc w:val="right"/>
              <w:rPr>
                <w:lang w:val="en-AU"/>
              </w:rPr>
            </w:pPr>
            <w:r w:rsidRPr="00C6052E">
              <w:rPr>
                <w:lang w:val="en-AU"/>
              </w:rPr>
              <w:t>1</w:t>
            </w:r>
          </w:p>
        </w:tc>
      </w:tr>
      <w:tr w:rsidR="00EE5BB8" w:rsidRPr="00C6052E" w14:paraId="42750965" w14:textId="77777777" w:rsidTr="00C17A57">
        <w:trPr>
          <w:cantSplit/>
        </w:trPr>
        <w:tc>
          <w:tcPr>
            <w:tcW w:w="4620" w:type="dxa"/>
            <w:hideMark/>
          </w:tcPr>
          <w:p w14:paraId="3ABCBB66" w14:textId="1C55D791" w:rsidR="00EE5BB8" w:rsidRPr="00C6052E" w:rsidRDefault="00EE5BB8" w:rsidP="0063097D">
            <w:pPr>
              <w:pStyle w:val="TableCopy"/>
              <w:rPr>
                <w:lang w:val="en-AU"/>
              </w:rPr>
            </w:pPr>
            <w:r w:rsidRPr="00C6052E">
              <w:rPr>
                <w:lang w:val="en-AU"/>
              </w:rPr>
              <w:t>Complete</w:t>
            </w:r>
            <w:r w:rsidR="00177848" w:rsidRPr="00C6052E">
              <w:rPr>
                <w:lang w:val="en-AU"/>
              </w:rPr>
              <w:t xml:space="preserve"> </w:t>
            </w:r>
            <w:r w:rsidRPr="00C6052E">
              <w:rPr>
                <w:lang w:val="en-AU"/>
              </w:rPr>
              <w:t>quota</w:t>
            </w:r>
            <w:r w:rsidR="00177848" w:rsidRPr="00C6052E">
              <w:rPr>
                <w:lang w:val="en-AU"/>
              </w:rPr>
              <w:t xml:space="preserve"> </w:t>
            </w:r>
            <w:r w:rsidRPr="00C6052E">
              <w:rPr>
                <w:lang w:val="en-AU"/>
              </w:rPr>
              <w:t>setting</w:t>
            </w:r>
            <w:r w:rsidR="00177848" w:rsidRPr="00C6052E">
              <w:rPr>
                <w:lang w:val="en-AU"/>
              </w:rPr>
              <w:t xml:space="preserve"> </w:t>
            </w:r>
            <w:r w:rsidRPr="00C6052E">
              <w:rPr>
                <w:lang w:val="en-AU"/>
              </w:rPr>
              <w:t>processes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key</w:t>
            </w:r>
            <w:r w:rsidR="00177848" w:rsidRPr="00C6052E">
              <w:rPr>
                <w:lang w:val="en-AU"/>
              </w:rPr>
              <w:t xml:space="preserve"> </w:t>
            </w:r>
            <w:r w:rsidRPr="00C6052E">
              <w:rPr>
                <w:lang w:val="en-AU"/>
              </w:rPr>
              <w:t>quota</w:t>
            </w:r>
            <w:r w:rsidR="00177848" w:rsidRPr="00C6052E">
              <w:rPr>
                <w:lang w:val="en-AU"/>
              </w:rPr>
              <w:t xml:space="preserve"> </w:t>
            </w:r>
            <w:r w:rsidRPr="00C6052E">
              <w:rPr>
                <w:lang w:val="en-AU"/>
              </w:rPr>
              <w:t>managed</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stocks</w:t>
            </w:r>
          </w:p>
        </w:tc>
        <w:tc>
          <w:tcPr>
            <w:tcW w:w="1004" w:type="dxa"/>
            <w:hideMark/>
          </w:tcPr>
          <w:p w14:paraId="756E10D7"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1A8911AD" w14:textId="77777777" w:rsidR="00EE5BB8" w:rsidRPr="00C6052E" w:rsidRDefault="00EE5BB8" w:rsidP="0063097D">
            <w:pPr>
              <w:pStyle w:val="TableCopy"/>
              <w:jc w:val="right"/>
              <w:rPr>
                <w:lang w:val="en-AU"/>
              </w:rPr>
            </w:pPr>
            <w:r w:rsidRPr="00C6052E">
              <w:rPr>
                <w:lang w:val="en-AU"/>
              </w:rPr>
              <w:t>3</w:t>
            </w:r>
          </w:p>
        </w:tc>
        <w:tc>
          <w:tcPr>
            <w:tcW w:w="1020" w:type="dxa"/>
            <w:noWrap/>
            <w:hideMark/>
          </w:tcPr>
          <w:p w14:paraId="1777E035" w14:textId="77777777" w:rsidR="00EE5BB8" w:rsidRPr="00C6052E" w:rsidRDefault="00EE5BB8" w:rsidP="0063097D">
            <w:pPr>
              <w:pStyle w:val="TableCopy"/>
              <w:jc w:val="right"/>
              <w:rPr>
                <w:lang w:val="en-AU"/>
              </w:rPr>
            </w:pPr>
            <w:r w:rsidRPr="00C6052E">
              <w:rPr>
                <w:lang w:val="en-AU"/>
              </w:rPr>
              <w:t>3</w:t>
            </w:r>
          </w:p>
        </w:tc>
        <w:tc>
          <w:tcPr>
            <w:tcW w:w="1361" w:type="dxa"/>
            <w:noWrap/>
            <w:hideMark/>
          </w:tcPr>
          <w:p w14:paraId="6CE11A3B"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12B8467E" w14:textId="77777777" w:rsidR="00EE5BB8" w:rsidRPr="00C6052E" w:rsidRDefault="00EE5BB8" w:rsidP="00A42238">
            <w:pPr>
              <w:pStyle w:val="TableCopy"/>
              <w:jc w:val="right"/>
              <w:rPr>
                <w:lang w:val="en-AU"/>
              </w:rPr>
            </w:pPr>
            <w:r w:rsidRPr="00C6052E">
              <w:rPr>
                <w:lang w:val="en-AU"/>
              </w:rPr>
              <w:t>1</w:t>
            </w:r>
          </w:p>
        </w:tc>
      </w:tr>
      <w:tr w:rsidR="00EE5BB8" w:rsidRPr="00C6052E" w14:paraId="548F956D" w14:textId="77777777" w:rsidTr="00C17A57">
        <w:trPr>
          <w:cantSplit/>
        </w:trPr>
        <w:tc>
          <w:tcPr>
            <w:tcW w:w="4620" w:type="dxa"/>
            <w:hideMark/>
          </w:tcPr>
          <w:p w14:paraId="1EF63552" w14:textId="6D88D7E8" w:rsidR="00EE5BB8" w:rsidRPr="00C6052E" w:rsidRDefault="00EE5BB8" w:rsidP="0063097D">
            <w:pPr>
              <w:pStyle w:val="TableCopy"/>
              <w:rPr>
                <w:lang w:val="en-AU"/>
              </w:rPr>
            </w:pPr>
            <w:r w:rsidRPr="00C6052E">
              <w:rPr>
                <w:lang w:val="en-AU"/>
              </w:rPr>
              <w:t>Develop,</w:t>
            </w:r>
            <w:r w:rsidR="00177848" w:rsidRPr="00C6052E">
              <w:rPr>
                <w:lang w:val="en-AU"/>
              </w:rPr>
              <w:t xml:space="preserve"> </w:t>
            </w:r>
            <w:r w:rsidRPr="00C6052E">
              <w:rPr>
                <w:lang w:val="en-AU"/>
              </w:rPr>
              <w:t>implement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review</w:t>
            </w:r>
            <w:r w:rsidR="00177848" w:rsidRPr="00C6052E">
              <w:rPr>
                <w:lang w:val="en-AU"/>
              </w:rPr>
              <w:t xml:space="preserve"> </w:t>
            </w:r>
            <w:r w:rsidRPr="00C6052E">
              <w:rPr>
                <w:lang w:val="en-AU"/>
              </w:rPr>
              <w:t>overarching</w:t>
            </w:r>
            <w:r w:rsidR="00177848" w:rsidRPr="00C6052E">
              <w:rPr>
                <w:lang w:val="en-AU"/>
              </w:rPr>
              <w:t xml:space="preserve"> </w:t>
            </w:r>
            <w:r w:rsidRPr="00C6052E">
              <w:rPr>
                <w:lang w:val="en-AU"/>
              </w:rPr>
              <w:t>fisheries</w:t>
            </w:r>
            <w:r w:rsidR="00177848" w:rsidRPr="00C6052E">
              <w:rPr>
                <w:lang w:val="en-AU"/>
              </w:rPr>
              <w:t xml:space="preserve"> </w:t>
            </w:r>
            <w:r w:rsidRPr="00C6052E">
              <w:rPr>
                <w:lang w:val="en-AU"/>
              </w:rPr>
              <w:t>compliance</w:t>
            </w:r>
            <w:r w:rsidR="00177848" w:rsidRPr="00C6052E">
              <w:rPr>
                <w:lang w:val="en-AU"/>
              </w:rPr>
              <w:t xml:space="preserve"> </w:t>
            </w:r>
            <w:r w:rsidRPr="00C6052E">
              <w:rPr>
                <w:lang w:val="en-AU"/>
              </w:rPr>
              <w:t>strategy</w:t>
            </w:r>
          </w:p>
        </w:tc>
        <w:tc>
          <w:tcPr>
            <w:tcW w:w="1004" w:type="dxa"/>
            <w:hideMark/>
          </w:tcPr>
          <w:p w14:paraId="66684528"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4931FC7A" w14:textId="77777777" w:rsidR="00EE5BB8" w:rsidRPr="00C6052E" w:rsidRDefault="00EE5BB8" w:rsidP="0063097D">
            <w:pPr>
              <w:pStyle w:val="TableCopy"/>
              <w:jc w:val="right"/>
              <w:rPr>
                <w:lang w:val="en-AU"/>
              </w:rPr>
            </w:pPr>
            <w:r w:rsidRPr="00C6052E">
              <w:rPr>
                <w:lang w:val="en-AU"/>
              </w:rPr>
              <w:t>1</w:t>
            </w:r>
          </w:p>
        </w:tc>
        <w:tc>
          <w:tcPr>
            <w:tcW w:w="1020" w:type="dxa"/>
            <w:noWrap/>
            <w:hideMark/>
          </w:tcPr>
          <w:p w14:paraId="1DAFB235" w14:textId="77777777" w:rsidR="00EE5BB8" w:rsidRPr="00C6052E" w:rsidRDefault="00EE5BB8" w:rsidP="0063097D">
            <w:pPr>
              <w:pStyle w:val="TableCopy"/>
              <w:jc w:val="right"/>
              <w:rPr>
                <w:lang w:val="en-AU"/>
              </w:rPr>
            </w:pPr>
            <w:r w:rsidRPr="00C6052E">
              <w:rPr>
                <w:lang w:val="en-AU"/>
              </w:rPr>
              <w:t>1</w:t>
            </w:r>
          </w:p>
        </w:tc>
        <w:tc>
          <w:tcPr>
            <w:tcW w:w="1361" w:type="dxa"/>
            <w:noWrap/>
            <w:hideMark/>
          </w:tcPr>
          <w:p w14:paraId="78546594"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58C9E629" w14:textId="77777777" w:rsidR="00EE5BB8" w:rsidRPr="00C6052E" w:rsidRDefault="00EE5BB8" w:rsidP="00A42238">
            <w:pPr>
              <w:pStyle w:val="TableCopy"/>
              <w:jc w:val="right"/>
              <w:rPr>
                <w:lang w:val="en-AU"/>
              </w:rPr>
            </w:pPr>
            <w:r w:rsidRPr="00C6052E">
              <w:rPr>
                <w:lang w:val="en-AU"/>
              </w:rPr>
              <w:t>1</w:t>
            </w:r>
          </w:p>
        </w:tc>
      </w:tr>
      <w:tr w:rsidR="00EE5BB8" w:rsidRPr="00C6052E" w14:paraId="01858D44" w14:textId="77777777" w:rsidTr="00C17A57">
        <w:trPr>
          <w:cantSplit/>
        </w:trPr>
        <w:tc>
          <w:tcPr>
            <w:tcW w:w="4620" w:type="dxa"/>
            <w:hideMark/>
          </w:tcPr>
          <w:p w14:paraId="23644AF8" w14:textId="5864C41A" w:rsidR="00EE5BB8" w:rsidRPr="00C6052E" w:rsidRDefault="00EE5BB8" w:rsidP="0063097D">
            <w:pPr>
              <w:pStyle w:val="TableCopy"/>
              <w:rPr>
                <w:lang w:val="en-AU"/>
              </w:rPr>
            </w:pPr>
            <w:r w:rsidRPr="00C6052E">
              <w:rPr>
                <w:lang w:val="en-AU"/>
              </w:rPr>
              <w:t>Enhance</w:t>
            </w:r>
            <w:r w:rsidR="00177848" w:rsidRPr="00C6052E">
              <w:rPr>
                <w:lang w:val="en-AU"/>
              </w:rPr>
              <w:t xml:space="preserve"> </w:t>
            </w:r>
            <w:r w:rsidRPr="00C6052E">
              <w:rPr>
                <w:lang w:val="en-AU"/>
              </w:rPr>
              <w:t>levels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community</w:t>
            </w:r>
            <w:r w:rsidR="00177848" w:rsidRPr="00C6052E">
              <w:rPr>
                <w:lang w:val="en-AU"/>
              </w:rPr>
              <w:t xml:space="preserve"> </w:t>
            </w:r>
            <w:r w:rsidRPr="00C6052E">
              <w:rPr>
                <w:lang w:val="en-AU"/>
              </w:rPr>
              <w:t>participation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achieving</w:t>
            </w:r>
            <w:r w:rsidR="00177848" w:rsidRPr="00C6052E">
              <w:rPr>
                <w:lang w:val="en-AU"/>
              </w:rPr>
              <w:t xml:space="preserve"> </w:t>
            </w:r>
            <w:r w:rsidRPr="00C6052E">
              <w:rPr>
                <w:lang w:val="en-AU"/>
              </w:rPr>
              <w:t>fisheries</w:t>
            </w:r>
            <w:r w:rsidR="00177848" w:rsidRPr="00C6052E">
              <w:rPr>
                <w:lang w:val="en-AU"/>
              </w:rPr>
              <w:t xml:space="preserve"> </w:t>
            </w:r>
            <w:r w:rsidRPr="00C6052E">
              <w:rPr>
                <w:lang w:val="en-AU"/>
              </w:rPr>
              <w:t>compliance</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calls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13FISH</w:t>
            </w:r>
            <w:r w:rsidR="00177848" w:rsidRPr="00C6052E">
              <w:rPr>
                <w:lang w:val="en-AU"/>
              </w:rPr>
              <w:t xml:space="preserve"> </w:t>
            </w:r>
            <w:r w:rsidRPr="00C6052E">
              <w:rPr>
                <w:lang w:val="en-AU"/>
              </w:rPr>
              <w:t>reporting</w:t>
            </w:r>
            <w:r w:rsidR="00177848" w:rsidRPr="00C6052E">
              <w:rPr>
                <w:lang w:val="en-AU"/>
              </w:rPr>
              <w:t xml:space="preserve"> </w:t>
            </w:r>
            <w:r w:rsidRPr="00C6052E">
              <w:rPr>
                <w:lang w:val="en-AU"/>
              </w:rPr>
              <w:t>line</w:t>
            </w:r>
          </w:p>
        </w:tc>
        <w:tc>
          <w:tcPr>
            <w:tcW w:w="1004" w:type="dxa"/>
            <w:hideMark/>
          </w:tcPr>
          <w:p w14:paraId="599CD3CD"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707632CA" w14:textId="77777777" w:rsidR="00EE5BB8" w:rsidRPr="00C6052E" w:rsidRDefault="00EE5BB8" w:rsidP="0063097D">
            <w:pPr>
              <w:pStyle w:val="TableCopy"/>
              <w:jc w:val="right"/>
              <w:rPr>
                <w:lang w:val="en-AU"/>
              </w:rPr>
            </w:pPr>
            <w:r w:rsidRPr="00C6052E">
              <w:rPr>
                <w:lang w:val="en-AU"/>
              </w:rPr>
              <w:t>1,918</w:t>
            </w:r>
          </w:p>
        </w:tc>
        <w:tc>
          <w:tcPr>
            <w:tcW w:w="1020" w:type="dxa"/>
            <w:noWrap/>
            <w:hideMark/>
          </w:tcPr>
          <w:p w14:paraId="01876EFD" w14:textId="77777777" w:rsidR="00EE5BB8" w:rsidRPr="00C6052E" w:rsidRDefault="00EE5BB8" w:rsidP="0063097D">
            <w:pPr>
              <w:pStyle w:val="TableCopy"/>
              <w:jc w:val="right"/>
              <w:rPr>
                <w:lang w:val="en-AU"/>
              </w:rPr>
            </w:pPr>
            <w:r w:rsidRPr="00C6052E">
              <w:rPr>
                <w:lang w:val="en-AU"/>
              </w:rPr>
              <w:t>1,950</w:t>
            </w:r>
          </w:p>
        </w:tc>
        <w:tc>
          <w:tcPr>
            <w:tcW w:w="1361" w:type="dxa"/>
            <w:noWrap/>
            <w:hideMark/>
          </w:tcPr>
          <w:p w14:paraId="43B9A046" w14:textId="77777777" w:rsidR="00EE5BB8" w:rsidRPr="00C6052E" w:rsidRDefault="00EE5BB8" w:rsidP="0063097D">
            <w:pPr>
              <w:pStyle w:val="TableCopy"/>
              <w:jc w:val="right"/>
              <w:rPr>
                <w:lang w:val="en-AU"/>
              </w:rPr>
            </w:pPr>
            <w:r w:rsidRPr="00C6052E">
              <w:rPr>
                <w:lang w:val="en-AU"/>
              </w:rPr>
              <w:t>-1.6%</w:t>
            </w:r>
          </w:p>
        </w:tc>
        <w:tc>
          <w:tcPr>
            <w:tcW w:w="747" w:type="dxa"/>
            <w:noWrap/>
            <w:hideMark/>
          </w:tcPr>
          <w:p w14:paraId="43467865" w14:textId="77777777" w:rsidR="00EE5BB8" w:rsidRPr="00C6052E" w:rsidRDefault="00EE5BB8" w:rsidP="00A42238">
            <w:pPr>
              <w:pStyle w:val="TableCopy"/>
              <w:jc w:val="right"/>
              <w:rPr>
                <w:lang w:val="en-AU"/>
              </w:rPr>
            </w:pPr>
            <w:r w:rsidRPr="00C6052E">
              <w:rPr>
                <w:lang w:val="en-AU"/>
              </w:rPr>
              <w:t>2</w:t>
            </w:r>
          </w:p>
        </w:tc>
      </w:tr>
      <w:tr w:rsidR="00EE5BB8" w:rsidRPr="00C6052E" w14:paraId="4A8C5DD9" w14:textId="77777777" w:rsidTr="00C17A57">
        <w:trPr>
          <w:cantSplit/>
        </w:trPr>
        <w:tc>
          <w:tcPr>
            <w:tcW w:w="4620" w:type="dxa"/>
            <w:hideMark/>
          </w:tcPr>
          <w:p w14:paraId="7B89239F" w14:textId="3DF783D2" w:rsidR="00EE5BB8" w:rsidRPr="00C6052E" w:rsidRDefault="00EE5BB8" w:rsidP="0063097D">
            <w:pPr>
              <w:pStyle w:val="TableCopy"/>
              <w:rPr>
                <w:lang w:val="en-AU"/>
              </w:rPr>
            </w:pPr>
            <w:r w:rsidRPr="00C6052E">
              <w:rPr>
                <w:lang w:val="en-AU"/>
              </w:rPr>
              <w:t>Key</w:t>
            </w:r>
            <w:r w:rsidR="00177848" w:rsidRPr="00C6052E">
              <w:rPr>
                <w:lang w:val="en-AU"/>
              </w:rPr>
              <w:t xml:space="preserve"> </w:t>
            </w:r>
            <w:r w:rsidRPr="00C6052E">
              <w:rPr>
                <w:lang w:val="en-AU"/>
              </w:rPr>
              <w:t>fisheries</w:t>
            </w:r>
            <w:r w:rsidR="00177848" w:rsidRPr="00C6052E">
              <w:rPr>
                <w:lang w:val="en-AU"/>
              </w:rPr>
              <w:t xml:space="preserve"> </w:t>
            </w:r>
            <w:r w:rsidRPr="00C6052E">
              <w:rPr>
                <w:lang w:val="en-AU"/>
              </w:rPr>
              <w:t>managed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accordance</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Fishery</w:t>
            </w:r>
            <w:r w:rsidR="00177848" w:rsidRPr="00C6052E">
              <w:rPr>
                <w:lang w:val="en-AU"/>
              </w:rPr>
              <w:t xml:space="preserve"> </w:t>
            </w:r>
            <w:r w:rsidRPr="00C6052E">
              <w:rPr>
                <w:lang w:val="en-AU"/>
              </w:rPr>
              <w:t>Management</w:t>
            </w:r>
            <w:r w:rsidR="00177848" w:rsidRPr="00C6052E">
              <w:rPr>
                <w:lang w:val="en-AU"/>
              </w:rPr>
              <w:t xml:space="preserve"> </w:t>
            </w:r>
            <w:r w:rsidRPr="00C6052E">
              <w:rPr>
                <w:lang w:val="en-AU"/>
              </w:rPr>
              <w:t>Plans</w:t>
            </w:r>
          </w:p>
        </w:tc>
        <w:tc>
          <w:tcPr>
            <w:tcW w:w="1004" w:type="dxa"/>
            <w:hideMark/>
          </w:tcPr>
          <w:p w14:paraId="57287443"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46010A21" w14:textId="77777777" w:rsidR="00EE5BB8" w:rsidRPr="00C6052E" w:rsidRDefault="00EE5BB8" w:rsidP="0063097D">
            <w:pPr>
              <w:pStyle w:val="TableCopy"/>
              <w:jc w:val="right"/>
              <w:rPr>
                <w:lang w:val="en-AU"/>
              </w:rPr>
            </w:pPr>
            <w:r w:rsidRPr="00C6052E">
              <w:rPr>
                <w:lang w:val="en-AU"/>
              </w:rPr>
              <w:t>7</w:t>
            </w:r>
          </w:p>
        </w:tc>
        <w:tc>
          <w:tcPr>
            <w:tcW w:w="1020" w:type="dxa"/>
            <w:noWrap/>
            <w:hideMark/>
          </w:tcPr>
          <w:p w14:paraId="30EE5B06" w14:textId="77777777" w:rsidR="00EE5BB8" w:rsidRPr="00C6052E" w:rsidRDefault="00EE5BB8" w:rsidP="0063097D">
            <w:pPr>
              <w:pStyle w:val="TableCopy"/>
              <w:jc w:val="right"/>
              <w:rPr>
                <w:lang w:val="en-AU"/>
              </w:rPr>
            </w:pPr>
            <w:r w:rsidRPr="00C6052E">
              <w:rPr>
                <w:lang w:val="en-AU"/>
              </w:rPr>
              <w:t>7</w:t>
            </w:r>
          </w:p>
        </w:tc>
        <w:tc>
          <w:tcPr>
            <w:tcW w:w="1361" w:type="dxa"/>
            <w:noWrap/>
            <w:hideMark/>
          </w:tcPr>
          <w:p w14:paraId="4326B026"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3E4079C5" w14:textId="77777777" w:rsidR="00EE5BB8" w:rsidRPr="00C6052E" w:rsidRDefault="00EE5BB8" w:rsidP="00A42238">
            <w:pPr>
              <w:pStyle w:val="TableCopy"/>
              <w:jc w:val="right"/>
              <w:rPr>
                <w:lang w:val="en-AU"/>
              </w:rPr>
            </w:pPr>
            <w:r w:rsidRPr="00C6052E">
              <w:rPr>
                <w:lang w:val="en-AU"/>
              </w:rPr>
              <w:t>1</w:t>
            </w:r>
          </w:p>
        </w:tc>
      </w:tr>
      <w:tr w:rsidR="00EE5BB8" w:rsidRPr="00C6052E" w14:paraId="017CB825" w14:textId="77777777" w:rsidTr="00C17A57">
        <w:trPr>
          <w:cantSplit/>
        </w:trPr>
        <w:tc>
          <w:tcPr>
            <w:tcW w:w="4620" w:type="dxa"/>
            <w:hideMark/>
          </w:tcPr>
          <w:p w14:paraId="400260B2" w14:textId="77777777" w:rsidR="00EE5BB8" w:rsidRDefault="00EE5BB8" w:rsidP="0063097D">
            <w:pPr>
              <w:pStyle w:val="TableCopy"/>
              <w:rPr>
                <w:lang w:val="en-AU"/>
              </w:rPr>
            </w:pPr>
            <w:r w:rsidRPr="00C6052E">
              <w:rPr>
                <w:lang w:val="en-AU"/>
              </w:rPr>
              <w:t>Minimum</w:t>
            </w:r>
            <w:r w:rsidR="00177848" w:rsidRPr="00C6052E">
              <w:rPr>
                <w:lang w:val="en-AU"/>
              </w:rPr>
              <w:t xml:space="preserve"> </w:t>
            </w:r>
            <w:r w:rsidRPr="00C6052E">
              <w:rPr>
                <w:lang w:val="en-AU"/>
              </w:rPr>
              <w:t>uniformed</w:t>
            </w:r>
            <w:r w:rsidR="00177848" w:rsidRPr="00C6052E">
              <w:rPr>
                <w:lang w:val="en-AU"/>
              </w:rPr>
              <w:t xml:space="preserve"> </w:t>
            </w:r>
            <w:r w:rsidRPr="00C6052E">
              <w:rPr>
                <w:lang w:val="en-AU"/>
              </w:rPr>
              <w:t>fisheries</w:t>
            </w:r>
            <w:r w:rsidR="00177848" w:rsidRPr="00C6052E">
              <w:rPr>
                <w:lang w:val="en-AU"/>
              </w:rPr>
              <w:t xml:space="preserve"> </w:t>
            </w:r>
            <w:r w:rsidRPr="00C6052E">
              <w:rPr>
                <w:lang w:val="en-AU"/>
              </w:rPr>
              <w:t>officers</w:t>
            </w:r>
            <w:r w:rsidR="00177848" w:rsidRPr="00C6052E">
              <w:rPr>
                <w:lang w:val="en-AU"/>
              </w:rPr>
              <w:t xml:space="preserve"> </w:t>
            </w:r>
            <w:r w:rsidRPr="00C6052E">
              <w:rPr>
                <w:lang w:val="en-AU"/>
              </w:rPr>
              <w:t>maintaining</w:t>
            </w:r>
            <w:r w:rsidR="00177848" w:rsidRPr="00C6052E">
              <w:rPr>
                <w:lang w:val="en-AU"/>
              </w:rPr>
              <w:t xml:space="preserve"> </w:t>
            </w:r>
            <w:r w:rsidRPr="00C6052E">
              <w:rPr>
                <w:lang w:val="en-AU"/>
              </w:rPr>
              <w:t>operational</w:t>
            </w:r>
            <w:r w:rsidR="00177848" w:rsidRPr="00C6052E">
              <w:rPr>
                <w:lang w:val="en-AU"/>
              </w:rPr>
              <w:t xml:space="preserve"> </w:t>
            </w:r>
            <w:r w:rsidRPr="00C6052E">
              <w:rPr>
                <w:lang w:val="en-AU"/>
              </w:rPr>
              <w:t>coverage</w:t>
            </w:r>
            <w:r w:rsidR="00177848" w:rsidRPr="00C6052E">
              <w:rPr>
                <w:lang w:val="en-AU"/>
              </w:rPr>
              <w:t xml:space="preserve"> </w:t>
            </w:r>
            <w:r w:rsidRPr="00C6052E">
              <w:rPr>
                <w:lang w:val="en-AU"/>
              </w:rPr>
              <w:t>during</w:t>
            </w:r>
            <w:r w:rsidR="00177848" w:rsidRPr="00C6052E">
              <w:rPr>
                <w:lang w:val="en-AU"/>
              </w:rPr>
              <w:t xml:space="preserve"> </w:t>
            </w:r>
            <w:r w:rsidRPr="00C6052E">
              <w:rPr>
                <w:lang w:val="en-AU"/>
              </w:rPr>
              <w:t>priority</w:t>
            </w:r>
            <w:r w:rsidR="00177848" w:rsidRPr="00C6052E">
              <w:rPr>
                <w:lang w:val="en-AU"/>
              </w:rPr>
              <w:t xml:space="preserve"> </w:t>
            </w:r>
            <w:r w:rsidRPr="00C6052E">
              <w:rPr>
                <w:lang w:val="en-AU"/>
              </w:rPr>
              <w:t>fishing</w:t>
            </w:r>
            <w:r w:rsidR="00177848" w:rsidRPr="00C6052E">
              <w:rPr>
                <w:lang w:val="en-AU"/>
              </w:rPr>
              <w:t xml:space="preserve"> </w:t>
            </w:r>
            <w:r w:rsidRPr="00C6052E">
              <w:rPr>
                <w:lang w:val="en-AU"/>
              </w:rPr>
              <w:t>periods</w:t>
            </w:r>
          </w:p>
          <w:p w14:paraId="05F91B29" w14:textId="28C233F2" w:rsidR="00C17A57" w:rsidRPr="00C6052E" w:rsidRDefault="00C17A57" w:rsidP="00C17A57">
            <w:pPr>
              <w:pStyle w:val="Tablenotes-indented"/>
              <w:ind w:left="227" w:firstLine="0"/>
              <w:rPr>
                <w:lang w:val="en-AU"/>
              </w:rPr>
            </w:pPr>
            <w:r w:rsidRPr="00C6052E">
              <w:rPr>
                <w:lang w:val="en-AU"/>
              </w:rPr>
              <w:t>Lower result due to existing Victorian Fisheries Authority (VFA) staff vacancies.</w:t>
            </w:r>
          </w:p>
        </w:tc>
        <w:tc>
          <w:tcPr>
            <w:tcW w:w="1004" w:type="dxa"/>
            <w:hideMark/>
          </w:tcPr>
          <w:p w14:paraId="4093B8C1"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7E239B2D" w14:textId="77777777" w:rsidR="00EE5BB8" w:rsidRPr="00C6052E" w:rsidRDefault="00EE5BB8" w:rsidP="0063097D">
            <w:pPr>
              <w:pStyle w:val="TableCopy"/>
              <w:jc w:val="right"/>
              <w:rPr>
                <w:lang w:val="en-AU"/>
              </w:rPr>
            </w:pPr>
            <w:r w:rsidRPr="00C6052E">
              <w:rPr>
                <w:lang w:val="en-AU"/>
              </w:rPr>
              <w:t>16.5</w:t>
            </w:r>
          </w:p>
        </w:tc>
        <w:tc>
          <w:tcPr>
            <w:tcW w:w="1020" w:type="dxa"/>
            <w:noWrap/>
            <w:hideMark/>
          </w:tcPr>
          <w:p w14:paraId="37051019" w14:textId="77777777" w:rsidR="00EE5BB8" w:rsidRPr="00C6052E" w:rsidRDefault="00EE5BB8" w:rsidP="0063097D">
            <w:pPr>
              <w:pStyle w:val="TableCopy"/>
              <w:jc w:val="right"/>
              <w:rPr>
                <w:lang w:val="en-AU"/>
              </w:rPr>
            </w:pPr>
            <w:r w:rsidRPr="00C6052E">
              <w:rPr>
                <w:lang w:val="en-AU"/>
              </w:rPr>
              <w:t>20</w:t>
            </w:r>
          </w:p>
        </w:tc>
        <w:tc>
          <w:tcPr>
            <w:tcW w:w="1361" w:type="dxa"/>
            <w:noWrap/>
            <w:hideMark/>
          </w:tcPr>
          <w:p w14:paraId="58476792" w14:textId="77777777" w:rsidR="00EE5BB8" w:rsidRPr="00C6052E" w:rsidRDefault="00EE5BB8" w:rsidP="0063097D">
            <w:pPr>
              <w:pStyle w:val="TableCopy"/>
              <w:jc w:val="right"/>
              <w:rPr>
                <w:lang w:val="en-AU"/>
              </w:rPr>
            </w:pPr>
            <w:r w:rsidRPr="00C6052E">
              <w:rPr>
                <w:lang w:val="en-AU"/>
              </w:rPr>
              <w:t>-17.5%</w:t>
            </w:r>
          </w:p>
        </w:tc>
        <w:tc>
          <w:tcPr>
            <w:tcW w:w="747" w:type="dxa"/>
            <w:noWrap/>
            <w:hideMark/>
          </w:tcPr>
          <w:p w14:paraId="465D39BC" w14:textId="77777777" w:rsidR="00EE5BB8" w:rsidRPr="00C6052E" w:rsidRDefault="00EE5BB8" w:rsidP="00A42238">
            <w:pPr>
              <w:pStyle w:val="TableCopy"/>
              <w:jc w:val="right"/>
              <w:rPr>
                <w:lang w:val="en-AU"/>
              </w:rPr>
            </w:pPr>
            <w:r w:rsidRPr="00C6052E">
              <w:rPr>
                <w:lang w:val="en-AU"/>
              </w:rPr>
              <w:t>3</w:t>
            </w:r>
          </w:p>
        </w:tc>
      </w:tr>
      <w:tr w:rsidR="00EE5BB8" w:rsidRPr="00C6052E" w14:paraId="65458EA3" w14:textId="77777777" w:rsidTr="00C17A57">
        <w:trPr>
          <w:cantSplit/>
        </w:trPr>
        <w:tc>
          <w:tcPr>
            <w:tcW w:w="4620" w:type="dxa"/>
            <w:hideMark/>
          </w:tcPr>
          <w:p w14:paraId="4B36FEB7" w14:textId="6FEFFEA4" w:rsidR="00EE5BB8" w:rsidRPr="00C6052E" w:rsidRDefault="00EE5BB8" w:rsidP="0063097D">
            <w:pPr>
              <w:pStyle w:val="TableCopy"/>
              <w:rPr>
                <w:lang w:val="en-AU"/>
              </w:rPr>
            </w:pPr>
            <w:r w:rsidRPr="00C6052E">
              <w:rPr>
                <w:lang w:val="en-AU"/>
              </w:rPr>
              <w:t>Native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salmonid</w:t>
            </w:r>
            <w:r w:rsidR="00177848" w:rsidRPr="00C6052E">
              <w:rPr>
                <w:lang w:val="en-AU"/>
              </w:rPr>
              <w:t xml:space="preserve"> </w:t>
            </w:r>
            <w:r w:rsidRPr="00C6052E">
              <w:rPr>
                <w:lang w:val="en-AU"/>
              </w:rPr>
              <w:t>fish</w:t>
            </w:r>
            <w:r w:rsidR="00177848" w:rsidRPr="00C6052E">
              <w:rPr>
                <w:lang w:val="en-AU"/>
              </w:rPr>
              <w:t xml:space="preserve"> </w:t>
            </w:r>
            <w:r w:rsidRPr="00C6052E">
              <w:rPr>
                <w:lang w:val="en-AU"/>
              </w:rPr>
              <w:t>stocked</w:t>
            </w:r>
          </w:p>
        </w:tc>
        <w:tc>
          <w:tcPr>
            <w:tcW w:w="1004" w:type="dxa"/>
            <w:hideMark/>
          </w:tcPr>
          <w:p w14:paraId="17D6995C" w14:textId="1E612D5F" w:rsidR="00EE5BB8" w:rsidRPr="00C6052E" w:rsidRDefault="00EE5BB8" w:rsidP="0063097D">
            <w:pPr>
              <w:pStyle w:val="TableCopy"/>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1EC620F6" w14:textId="77777777" w:rsidR="00EE5BB8" w:rsidRPr="00C6052E" w:rsidRDefault="00EE5BB8" w:rsidP="0063097D">
            <w:pPr>
              <w:pStyle w:val="TableCopy"/>
              <w:jc w:val="right"/>
              <w:rPr>
                <w:lang w:val="en-AU"/>
              </w:rPr>
            </w:pPr>
            <w:r w:rsidRPr="00C6052E">
              <w:rPr>
                <w:lang w:val="en-AU"/>
              </w:rPr>
              <w:t>10,061</w:t>
            </w:r>
          </w:p>
        </w:tc>
        <w:tc>
          <w:tcPr>
            <w:tcW w:w="1020" w:type="dxa"/>
            <w:noWrap/>
            <w:hideMark/>
          </w:tcPr>
          <w:p w14:paraId="31EB3C3C" w14:textId="77777777" w:rsidR="00EE5BB8" w:rsidRPr="00C6052E" w:rsidRDefault="00EE5BB8" w:rsidP="0063097D">
            <w:pPr>
              <w:pStyle w:val="TableCopy"/>
              <w:jc w:val="right"/>
              <w:rPr>
                <w:lang w:val="en-AU"/>
              </w:rPr>
            </w:pPr>
            <w:r w:rsidRPr="00C6052E">
              <w:rPr>
                <w:lang w:val="en-AU"/>
              </w:rPr>
              <w:t>10,000</w:t>
            </w:r>
          </w:p>
        </w:tc>
        <w:tc>
          <w:tcPr>
            <w:tcW w:w="1361" w:type="dxa"/>
            <w:noWrap/>
            <w:hideMark/>
          </w:tcPr>
          <w:p w14:paraId="28728C7C" w14:textId="77777777" w:rsidR="00EE5BB8" w:rsidRPr="00C6052E" w:rsidRDefault="00EE5BB8" w:rsidP="0063097D">
            <w:pPr>
              <w:pStyle w:val="TableCopy"/>
              <w:jc w:val="right"/>
              <w:rPr>
                <w:lang w:val="en-AU"/>
              </w:rPr>
            </w:pPr>
            <w:r w:rsidRPr="00C6052E">
              <w:rPr>
                <w:lang w:val="en-AU"/>
              </w:rPr>
              <w:t>0.6%</w:t>
            </w:r>
          </w:p>
        </w:tc>
        <w:tc>
          <w:tcPr>
            <w:tcW w:w="747" w:type="dxa"/>
            <w:noWrap/>
            <w:hideMark/>
          </w:tcPr>
          <w:p w14:paraId="4D843DD9" w14:textId="77777777" w:rsidR="00EE5BB8" w:rsidRPr="00C6052E" w:rsidRDefault="00EE5BB8" w:rsidP="00A42238">
            <w:pPr>
              <w:pStyle w:val="TableCopy"/>
              <w:jc w:val="right"/>
              <w:rPr>
                <w:lang w:val="en-AU"/>
              </w:rPr>
            </w:pPr>
            <w:r w:rsidRPr="00C6052E">
              <w:rPr>
                <w:lang w:val="en-AU"/>
              </w:rPr>
              <w:t>1</w:t>
            </w:r>
          </w:p>
        </w:tc>
      </w:tr>
      <w:tr w:rsidR="00EE5BB8" w:rsidRPr="00C6052E" w14:paraId="4434345D" w14:textId="77777777" w:rsidTr="00C17A57">
        <w:trPr>
          <w:cantSplit/>
        </w:trPr>
        <w:tc>
          <w:tcPr>
            <w:tcW w:w="4620" w:type="dxa"/>
            <w:hideMark/>
          </w:tcPr>
          <w:p w14:paraId="387DF721" w14:textId="6EE46304" w:rsidR="00EE5BB8" w:rsidRPr="00C6052E" w:rsidRDefault="00EE5BB8" w:rsidP="0063097D">
            <w:pPr>
              <w:pStyle w:val="TableCopy"/>
              <w:rPr>
                <w:lang w:val="en-AU"/>
              </w:rPr>
            </w:pPr>
            <w:r w:rsidRPr="00C6052E">
              <w:rPr>
                <w:lang w:val="en-AU"/>
              </w:rPr>
              <w:t>Recreational</w:t>
            </w:r>
            <w:r w:rsidR="00177848" w:rsidRPr="00C6052E">
              <w:rPr>
                <w:lang w:val="en-AU"/>
              </w:rPr>
              <w:t xml:space="preserve"> </w:t>
            </w:r>
            <w:r w:rsidRPr="00C6052E">
              <w:rPr>
                <w:lang w:val="en-AU"/>
              </w:rPr>
              <w:t>boating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fishing</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improvements</w:t>
            </w:r>
            <w:r w:rsidR="00177848" w:rsidRPr="00C6052E">
              <w:rPr>
                <w:lang w:val="en-AU"/>
              </w:rPr>
              <w:t xml:space="preserve"> </w:t>
            </w:r>
            <w:r w:rsidRPr="00C6052E">
              <w:rPr>
                <w:lang w:val="en-AU"/>
              </w:rPr>
              <w:t>delivered</w:t>
            </w:r>
          </w:p>
        </w:tc>
        <w:tc>
          <w:tcPr>
            <w:tcW w:w="1004" w:type="dxa"/>
            <w:hideMark/>
          </w:tcPr>
          <w:p w14:paraId="537E86C0"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380464D1" w14:textId="77777777" w:rsidR="00EE5BB8" w:rsidRPr="00C6052E" w:rsidRDefault="00EE5BB8" w:rsidP="0063097D">
            <w:pPr>
              <w:pStyle w:val="TableCopy"/>
              <w:jc w:val="right"/>
              <w:rPr>
                <w:lang w:val="en-AU"/>
              </w:rPr>
            </w:pPr>
            <w:r w:rsidRPr="00C6052E">
              <w:rPr>
                <w:lang w:val="en-AU"/>
              </w:rPr>
              <w:t>3</w:t>
            </w:r>
          </w:p>
        </w:tc>
        <w:tc>
          <w:tcPr>
            <w:tcW w:w="1020" w:type="dxa"/>
            <w:noWrap/>
            <w:hideMark/>
          </w:tcPr>
          <w:p w14:paraId="1B9C8370" w14:textId="77777777" w:rsidR="00EE5BB8" w:rsidRPr="00C6052E" w:rsidRDefault="00EE5BB8" w:rsidP="0063097D">
            <w:pPr>
              <w:pStyle w:val="TableCopy"/>
              <w:jc w:val="right"/>
              <w:rPr>
                <w:lang w:val="en-AU"/>
              </w:rPr>
            </w:pPr>
            <w:r w:rsidRPr="00C6052E">
              <w:rPr>
                <w:lang w:val="en-AU"/>
              </w:rPr>
              <w:t>3</w:t>
            </w:r>
          </w:p>
        </w:tc>
        <w:tc>
          <w:tcPr>
            <w:tcW w:w="1361" w:type="dxa"/>
            <w:noWrap/>
            <w:hideMark/>
          </w:tcPr>
          <w:p w14:paraId="5E6B2D89"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50BED668" w14:textId="77777777" w:rsidR="00EE5BB8" w:rsidRPr="00C6052E" w:rsidRDefault="00EE5BB8" w:rsidP="00A42238">
            <w:pPr>
              <w:pStyle w:val="TableCopy"/>
              <w:jc w:val="right"/>
              <w:rPr>
                <w:lang w:val="en-AU"/>
              </w:rPr>
            </w:pPr>
            <w:r w:rsidRPr="00C6052E">
              <w:rPr>
                <w:lang w:val="en-AU"/>
              </w:rPr>
              <w:t>1</w:t>
            </w:r>
          </w:p>
        </w:tc>
      </w:tr>
      <w:tr w:rsidR="00EE5BB8" w:rsidRPr="00C6052E" w14:paraId="364EC787" w14:textId="77777777" w:rsidTr="00C17A57">
        <w:trPr>
          <w:cantSplit/>
        </w:trPr>
        <w:tc>
          <w:tcPr>
            <w:tcW w:w="4620" w:type="dxa"/>
            <w:hideMark/>
          </w:tcPr>
          <w:p w14:paraId="2E826A90" w14:textId="77777777" w:rsidR="00EE5BB8" w:rsidRDefault="00EE5BB8" w:rsidP="0063097D">
            <w:pPr>
              <w:pStyle w:val="TableCopy"/>
              <w:rPr>
                <w:lang w:val="en-AU"/>
              </w:rPr>
            </w:pPr>
            <w:r w:rsidRPr="00C6052E">
              <w:rPr>
                <w:lang w:val="en-AU"/>
              </w:rPr>
              <w:lastRenderedPageBreak/>
              <w:t>Risk-based</w:t>
            </w:r>
            <w:r w:rsidR="00177848" w:rsidRPr="00C6052E">
              <w:rPr>
                <w:lang w:val="en-AU"/>
              </w:rPr>
              <w:t xml:space="preserve"> </w:t>
            </w:r>
            <w:r w:rsidRPr="00C6052E">
              <w:rPr>
                <w:lang w:val="en-AU"/>
              </w:rPr>
              <w:t>vessel</w:t>
            </w:r>
            <w:r w:rsidR="00177848" w:rsidRPr="00C6052E">
              <w:rPr>
                <w:lang w:val="en-AU"/>
              </w:rPr>
              <w:t xml:space="preserve"> </w:t>
            </w:r>
            <w:r w:rsidRPr="00C6052E">
              <w:rPr>
                <w:lang w:val="en-AU"/>
              </w:rPr>
              <w:t>inspections</w:t>
            </w:r>
            <w:r w:rsidR="00177848" w:rsidRPr="00C6052E">
              <w:rPr>
                <w:lang w:val="en-AU"/>
              </w:rPr>
              <w:t xml:space="preserve"> </w:t>
            </w:r>
            <w:r w:rsidRPr="00C6052E">
              <w:rPr>
                <w:lang w:val="en-AU"/>
              </w:rPr>
              <w:t>undertaken</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determine</w:t>
            </w:r>
            <w:r w:rsidR="00177848" w:rsidRPr="00C6052E">
              <w:rPr>
                <w:lang w:val="en-AU"/>
              </w:rPr>
              <w:t xml:space="preserve"> </w:t>
            </w:r>
            <w:r w:rsidRPr="00C6052E">
              <w:rPr>
                <w:lang w:val="en-AU"/>
              </w:rPr>
              <w:t>compliance</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marine</w:t>
            </w:r>
            <w:r w:rsidR="00177848" w:rsidRPr="00C6052E">
              <w:rPr>
                <w:lang w:val="en-AU"/>
              </w:rPr>
              <w:t xml:space="preserve"> </w:t>
            </w:r>
            <w:r w:rsidRPr="00C6052E">
              <w:rPr>
                <w:lang w:val="en-AU"/>
              </w:rPr>
              <w:t>safety</w:t>
            </w:r>
            <w:r w:rsidR="00177848" w:rsidRPr="00C6052E">
              <w:rPr>
                <w:lang w:val="en-AU"/>
              </w:rPr>
              <w:t xml:space="preserve"> </w:t>
            </w:r>
            <w:r w:rsidRPr="00C6052E">
              <w:rPr>
                <w:lang w:val="en-AU"/>
              </w:rPr>
              <w:t>law*</w:t>
            </w:r>
          </w:p>
          <w:p w14:paraId="21C9B2CC" w14:textId="4D422281" w:rsidR="00C17A57" w:rsidRPr="00C6052E" w:rsidRDefault="00C17A57" w:rsidP="00C17A57">
            <w:pPr>
              <w:pStyle w:val="Tablenotes-indented"/>
              <w:ind w:left="227" w:firstLine="0"/>
              <w:rPr>
                <w:lang w:val="en-AU"/>
              </w:rPr>
            </w:pPr>
            <w:r w:rsidRPr="00C6052E">
              <w:rPr>
                <w:lang w:val="en-AU"/>
              </w:rPr>
              <w:t>Higher result due to increased levels of recreational boating activity.</w:t>
            </w:r>
          </w:p>
        </w:tc>
        <w:tc>
          <w:tcPr>
            <w:tcW w:w="1004" w:type="dxa"/>
            <w:hideMark/>
          </w:tcPr>
          <w:p w14:paraId="51DCFBDF"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25B789F5" w14:textId="77777777" w:rsidR="00EE5BB8" w:rsidRPr="00C6052E" w:rsidRDefault="00EE5BB8" w:rsidP="0063097D">
            <w:pPr>
              <w:pStyle w:val="TableCopy"/>
              <w:jc w:val="right"/>
              <w:rPr>
                <w:lang w:val="en-AU"/>
              </w:rPr>
            </w:pPr>
            <w:r w:rsidRPr="00C6052E">
              <w:rPr>
                <w:lang w:val="en-AU"/>
              </w:rPr>
              <w:t>615</w:t>
            </w:r>
          </w:p>
        </w:tc>
        <w:tc>
          <w:tcPr>
            <w:tcW w:w="1020" w:type="dxa"/>
            <w:noWrap/>
            <w:hideMark/>
          </w:tcPr>
          <w:p w14:paraId="0D343DB8" w14:textId="77777777" w:rsidR="00EE5BB8" w:rsidRPr="00C6052E" w:rsidRDefault="00EE5BB8" w:rsidP="0063097D">
            <w:pPr>
              <w:pStyle w:val="TableCopy"/>
              <w:jc w:val="right"/>
              <w:rPr>
                <w:lang w:val="en-AU"/>
              </w:rPr>
            </w:pPr>
            <w:r w:rsidRPr="00C6052E">
              <w:rPr>
                <w:lang w:val="en-AU"/>
              </w:rPr>
              <w:t>500</w:t>
            </w:r>
          </w:p>
        </w:tc>
        <w:tc>
          <w:tcPr>
            <w:tcW w:w="1361" w:type="dxa"/>
            <w:noWrap/>
            <w:hideMark/>
          </w:tcPr>
          <w:p w14:paraId="28307AC9" w14:textId="77777777" w:rsidR="00EE5BB8" w:rsidRPr="00C6052E" w:rsidRDefault="00EE5BB8" w:rsidP="0063097D">
            <w:pPr>
              <w:pStyle w:val="TableCopy"/>
              <w:jc w:val="right"/>
              <w:rPr>
                <w:lang w:val="en-AU"/>
              </w:rPr>
            </w:pPr>
            <w:r w:rsidRPr="00C6052E">
              <w:rPr>
                <w:lang w:val="en-AU"/>
              </w:rPr>
              <w:t>23.0%</w:t>
            </w:r>
          </w:p>
        </w:tc>
        <w:tc>
          <w:tcPr>
            <w:tcW w:w="747" w:type="dxa"/>
            <w:noWrap/>
            <w:hideMark/>
          </w:tcPr>
          <w:p w14:paraId="66E33AAC" w14:textId="77777777" w:rsidR="00EE5BB8" w:rsidRPr="00C6052E" w:rsidRDefault="00EE5BB8" w:rsidP="00A42238">
            <w:pPr>
              <w:pStyle w:val="TableCopy"/>
              <w:jc w:val="right"/>
              <w:rPr>
                <w:lang w:val="en-AU"/>
              </w:rPr>
            </w:pPr>
            <w:r w:rsidRPr="00C6052E">
              <w:rPr>
                <w:lang w:val="en-AU"/>
              </w:rPr>
              <w:t>1</w:t>
            </w:r>
          </w:p>
        </w:tc>
      </w:tr>
      <w:tr w:rsidR="00EE5BB8" w:rsidRPr="00C6052E" w14:paraId="36DD55E8" w14:textId="77777777" w:rsidTr="00C17A57">
        <w:trPr>
          <w:cantSplit/>
        </w:trPr>
        <w:tc>
          <w:tcPr>
            <w:tcW w:w="4620" w:type="dxa"/>
          </w:tcPr>
          <w:p w14:paraId="768BFB68" w14:textId="77777777" w:rsidR="00EE5BB8" w:rsidRPr="00C6052E" w:rsidRDefault="00EE5BB8" w:rsidP="0063097D">
            <w:pPr>
              <w:pStyle w:val="TableHeading"/>
              <w:rPr>
                <w:lang w:val="en-AU"/>
              </w:rPr>
            </w:pPr>
            <w:r w:rsidRPr="00C6052E">
              <w:rPr>
                <w:lang w:val="en-AU"/>
              </w:rPr>
              <w:t>Quality</w:t>
            </w:r>
          </w:p>
        </w:tc>
        <w:tc>
          <w:tcPr>
            <w:tcW w:w="1004" w:type="dxa"/>
          </w:tcPr>
          <w:p w14:paraId="7338B9BE" w14:textId="77777777" w:rsidR="00EE5BB8" w:rsidRPr="00C6052E" w:rsidRDefault="00EE5BB8" w:rsidP="0063097D">
            <w:pPr>
              <w:pStyle w:val="TableHeading"/>
              <w:jc w:val="right"/>
              <w:rPr>
                <w:lang w:val="en-AU"/>
              </w:rPr>
            </w:pPr>
          </w:p>
        </w:tc>
        <w:tc>
          <w:tcPr>
            <w:tcW w:w="1020" w:type="dxa"/>
            <w:noWrap/>
          </w:tcPr>
          <w:p w14:paraId="623A9CB1" w14:textId="77777777" w:rsidR="00EE5BB8" w:rsidRPr="00C6052E" w:rsidRDefault="00EE5BB8" w:rsidP="0063097D">
            <w:pPr>
              <w:pStyle w:val="TableHeading"/>
              <w:jc w:val="right"/>
              <w:rPr>
                <w:lang w:val="en-AU"/>
              </w:rPr>
            </w:pPr>
          </w:p>
        </w:tc>
        <w:tc>
          <w:tcPr>
            <w:tcW w:w="1020" w:type="dxa"/>
            <w:noWrap/>
          </w:tcPr>
          <w:p w14:paraId="7D9A1713" w14:textId="77777777" w:rsidR="00EE5BB8" w:rsidRPr="00C6052E" w:rsidRDefault="00EE5BB8" w:rsidP="0063097D">
            <w:pPr>
              <w:pStyle w:val="TableHeading"/>
              <w:jc w:val="right"/>
              <w:rPr>
                <w:lang w:val="en-AU"/>
              </w:rPr>
            </w:pPr>
          </w:p>
        </w:tc>
        <w:tc>
          <w:tcPr>
            <w:tcW w:w="1361" w:type="dxa"/>
            <w:noWrap/>
          </w:tcPr>
          <w:p w14:paraId="1B743FDF" w14:textId="77777777" w:rsidR="00EE5BB8" w:rsidRPr="00C6052E" w:rsidRDefault="00EE5BB8" w:rsidP="0063097D">
            <w:pPr>
              <w:pStyle w:val="TableHeading"/>
              <w:jc w:val="right"/>
              <w:rPr>
                <w:lang w:val="en-AU"/>
              </w:rPr>
            </w:pPr>
          </w:p>
        </w:tc>
        <w:tc>
          <w:tcPr>
            <w:tcW w:w="747" w:type="dxa"/>
            <w:noWrap/>
          </w:tcPr>
          <w:p w14:paraId="55C30D2D" w14:textId="77777777" w:rsidR="00EE5BB8" w:rsidRPr="00C6052E" w:rsidRDefault="00EE5BB8" w:rsidP="00A42238">
            <w:pPr>
              <w:pStyle w:val="TableCopy"/>
              <w:jc w:val="right"/>
              <w:rPr>
                <w:lang w:val="en-AU"/>
              </w:rPr>
            </w:pPr>
          </w:p>
        </w:tc>
      </w:tr>
      <w:tr w:rsidR="00EE5BB8" w:rsidRPr="00C6052E" w14:paraId="6A4D84B3" w14:textId="77777777" w:rsidTr="00C17A57">
        <w:trPr>
          <w:cantSplit/>
        </w:trPr>
        <w:tc>
          <w:tcPr>
            <w:tcW w:w="4620" w:type="dxa"/>
            <w:hideMark/>
          </w:tcPr>
          <w:p w14:paraId="643587F6" w14:textId="4DA619ED" w:rsidR="00EE5BB8" w:rsidRPr="00C6052E" w:rsidRDefault="00EE5BB8" w:rsidP="0063097D">
            <w:pPr>
              <w:pStyle w:val="TableCopy"/>
              <w:rPr>
                <w:lang w:val="en-AU"/>
              </w:rPr>
            </w:pPr>
            <w:r w:rsidRPr="00C6052E">
              <w:rPr>
                <w:lang w:val="en-AU"/>
              </w:rPr>
              <w:t>Key</w:t>
            </w:r>
            <w:r w:rsidR="00177848" w:rsidRPr="00C6052E">
              <w:rPr>
                <w:lang w:val="en-AU"/>
              </w:rPr>
              <w:t xml:space="preserve"> </w:t>
            </w:r>
            <w:r w:rsidRPr="00C6052E">
              <w:rPr>
                <w:lang w:val="en-AU"/>
              </w:rPr>
              <w:t>statutory</w:t>
            </w:r>
            <w:r w:rsidR="00177848" w:rsidRPr="00C6052E">
              <w:rPr>
                <w:lang w:val="en-AU"/>
              </w:rPr>
              <w:t xml:space="preserve"> </w:t>
            </w:r>
            <w:r w:rsidRPr="00C6052E">
              <w:rPr>
                <w:lang w:val="en-AU"/>
              </w:rPr>
              <w:t>obligations</w:t>
            </w:r>
            <w:r w:rsidR="00177848" w:rsidRPr="00C6052E">
              <w:rPr>
                <w:lang w:val="en-AU"/>
              </w:rPr>
              <w:t xml:space="preserve"> </w:t>
            </w:r>
            <w:r w:rsidRPr="00C6052E">
              <w:rPr>
                <w:lang w:val="en-AU"/>
              </w:rPr>
              <w:t>relevant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Game</w:t>
            </w:r>
            <w:r w:rsidR="00177848" w:rsidRPr="00C6052E">
              <w:rPr>
                <w:lang w:val="en-AU"/>
              </w:rPr>
              <w:t xml:space="preserve"> </w:t>
            </w:r>
            <w:r w:rsidRPr="00C6052E">
              <w:rPr>
                <w:lang w:val="en-AU"/>
              </w:rPr>
              <w:t>Management</w:t>
            </w:r>
            <w:r w:rsidR="00177848" w:rsidRPr="00C6052E">
              <w:rPr>
                <w:lang w:val="en-AU"/>
              </w:rPr>
              <w:t xml:space="preserve"> </w:t>
            </w:r>
            <w:r w:rsidRPr="00C6052E">
              <w:rPr>
                <w:lang w:val="en-AU"/>
              </w:rPr>
              <w:t>Authority</w:t>
            </w:r>
            <w:r w:rsidR="00177848" w:rsidRPr="00C6052E">
              <w:rPr>
                <w:lang w:val="en-AU"/>
              </w:rPr>
              <w:t xml:space="preserve"> </w:t>
            </w:r>
            <w:r w:rsidRPr="00C6052E">
              <w:rPr>
                <w:lang w:val="en-AU"/>
              </w:rPr>
              <w:t>complied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(tabling</w:t>
            </w:r>
            <w:r w:rsidR="00177848" w:rsidRPr="00C6052E">
              <w:rPr>
                <w:lang w:val="en-AU"/>
              </w:rPr>
              <w:t xml:space="preserve"> </w:t>
            </w:r>
            <w:r w:rsidRPr="00C6052E">
              <w:rPr>
                <w:lang w:val="en-AU"/>
              </w:rPr>
              <w:t>annual</w:t>
            </w:r>
            <w:r w:rsidR="00177848" w:rsidRPr="00C6052E">
              <w:rPr>
                <w:lang w:val="en-AU"/>
              </w:rPr>
              <w:t xml:space="preserve"> </w:t>
            </w:r>
            <w:r w:rsidRPr="00C6052E">
              <w:rPr>
                <w:lang w:val="en-AU"/>
              </w:rPr>
              <w:t>report,</w:t>
            </w:r>
            <w:r w:rsidR="00177848" w:rsidRPr="00C6052E">
              <w:rPr>
                <w:lang w:val="en-AU"/>
              </w:rPr>
              <w:t xml:space="preserve"> </w:t>
            </w:r>
            <w:r w:rsidRPr="00C6052E">
              <w:rPr>
                <w:lang w:val="en-AU"/>
              </w:rPr>
              <w:t>audits,</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plan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board</w:t>
            </w:r>
            <w:r w:rsidR="00177848" w:rsidRPr="00C6052E">
              <w:rPr>
                <w:lang w:val="en-AU"/>
              </w:rPr>
              <w:t xml:space="preserve"> </w:t>
            </w:r>
            <w:r w:rsidRPr="00C6052E">
              <w:rPr>
                <w:lang w:val="en-AU"/>
              </w:rPr>
              <w:t>appointments)</w:t>
            </w:r>
          </w:p>
        </w:tc>
        <w:tc>
          <w:tcPr>
            <w:tcW w:w="1004" w:type="dxa"/>
            <w:hideMark/>
          </w:tcPr>
          <w:p w14:paraId="74ADCAAC" w14:textId="67557F88"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4A450E50" w14:textId="77777777" w:rsidR="00EE5BB8" w:rsidRPr="00C6052E" w:rsidRDefault="00EE5BB8" w:rsidP="0063097D">
            <w:pPr>
              <w:pStyle w:val="TableCopy"/>
              <w:jc w:val="right"/>
              <w:rPr>
                <w:lang w:val="en-AU"/>
              </w:rPr>
            </w:pPr>
            <w:r w:rsidRPr="00C6052E">
              <w:rPr>
                <w:lang w:val="en-AU"/>
              </w:rPr>
              <w:t>100</w:t>
            </w:r>
          </w:p>
        </w:tc>
        <w:tc>
          <w:tcPr>
            <w:tcW w:w="1020" w:type="dxa"/>
            <w:noWrap/>
            <w:hideMark/>
          </w:tcPr>
          <w:p w14:paraId="5642E735" w14:textId="77777777" w:rsidR="00EE5BB8" w:rsidRPr="00C6052E" w:rsidRDefault="00EE5BB8" w:rsidP="0063097D">
            <w:pPr>
              <w:pStyle w:val="TableCopy"/>
              <w:jc w:val="right"/>
              <w:rPr>
                <w:lang w:val="en-AU"/>
              </w:rPr>
            </w:pPr>
            <w:r w:rsidRPr="00C6052E">
              <w:rPr>
                <w:lang w:val="en-AU"/>
              </w:rPr>
              <w:t>100</w:t>
            </w:r>
          </w:p>
        </w:tc>
        <w:tc>
          <w:tcPr>
            <w:tcW w:w="1361" w:type="dxa"/>
            <w:noWrap/>
            <w:hideMark/>
          </w:tcPr>
          <w:p w14:paraId="5FACB56B"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7FB8A98D" w14:textId="77777777" w:rsidR="00EE5BB8" w:rsidRPr="00C6052E" w:rsidRDefault="00EE5BB8" w:rsidP="00A42238">
            <w:pPr>
              <w:pStyle w:val="TableCopy"/>
              <w:jc w:val="right"/>
              <w:rPr>
                <w:lang w:val="en-AU"/>
              </w:rPr>
            </w:pPr>
            <w:r w:rsidRPr="00C6052E">
              <w:rPr>
                <w:lang w:val="en-AU"/>
              </w:rPr>
              <w:t>1</w:t>
            </w:r>
          </w:p>
        </w:tc>
      </w:tr>
      <w:tr w:rsidR="00EE5BB8" w:rsidRPr="00C6052E" w14:paraId="6BDF4E1D" w14:textId="77777777" w:rsidTr="00C17A57">
        <w:trPr>
          <w:cantSplit/>
        </w:trPr>
        <w:tc>
          <w:tcPr>
            <w:tcW w:w="4620" w:type="dxa"/>
            <w:hideMark/>
          </w:tcPr>
          <w:p w14:paraId="15DE7CA3" w14:textId="77777777" w:rsidR="00EE5BB8" w:rsidRDefault="00EE5BB8" w:rsidP="0063097D">
            <w:pPr>
              <w:pStyle w:val="TableCopy"/>
              <w:rPr>
                <w:lang w:val="en-AU"/>
              </w:rPr>
            </w:pPr>
            <w:r w:rsidRPr="00C6052E">
              <w:rPr>
                <w:lang w:val="en-AU"/>
              </w:rPr>
              <w:t>Key</w:t>
            </w:r>
            <w:r w:rsidR="00177848" w:rsidRPr="00C6052E">
              <w:rPr>
                <w:lang w:val="en-AU"/>
              </w:rPr>
              <w:t xml:space="preserve"> </w:t>
            </w:r>
            <w:r w:rsidRPr="00C6052E">
              <w:rPr>
                <w:lang w:val="en-AU"/>
              </w:rPr>
              <w:t>statutory</w:t>
            </w:r>
            <w:r w:rsidR="00177848" w:rsidRPr="00C6052E">
              <w:rPr>
                <w:lang w:val="en-AU"/>
              </w:rPr>
              <w:t xml:space="preserve"> </w:t>
            </w:r>
            <w:r w:rsidRPr="00C6052E">
              <w:rPr>
                <w:lang w:val="en-AU"/>
              </w:rPr>
              <w:t>obligations</w:t>
            </w:r>
            <w:r w:rsidR="00177848" w:rsidRPr="00C6052E">
              <w:rPr>
                <w:lang w:val="en-AU"/>
              </w:rPr>
              <w:t xml:space="preserve"> </w:t>
            </w:r>
            <w:r w:rsidRPr="00C6052E">
              <w:rPr>
                <w:lang w:val="en-AU"/>
              </w:rPr>
              <w:t>relevant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Fisheries</w:t>
            </w:r>
            <w:r w:rsidR="00177848" w:rsidRPr="00C6052E">
              <w:rPr>
                <w:lang w:val="en-AU"/>
              </w:rPr>
              <w:t xml:space="preserve"> </w:t>
            </w:r>
            <w:r w:rsidRPr="00C6052E">
              <w:rPr>
                <w:lang w:val="en-AU"/>
              </w:rPr>
              <w:t>Authority</w:t>
            </w:r>
            <w:r w:rsidR="00177848" w:rsidRPr="00C6052E">
              <w:rPr>
                <w:lang w:val="en-AU"/>
              </w:rPr>
              <w:t xml:space="preserve"> </w:t>
            </w:r>
            <w:r w:rsidRPr="00C6052E">
              <w:rPr>
                <w:lang w:val="en-AU"/>
              </w:rPr>
              <w:t>complied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(tabling</w:t>
            </w:r>
            <w:r w:rsidR="00177848" w:rsidRPr="00C6052E">
              <w:rPr>
                <w:lang w:val="en-AU"/>
              </w:rPr>
              <w:t xml:space="preserve"> </w:t>
            </w:r>
            <w:r w:rsidRPr="00C6052E">
              <w:rPr>
                <w:lang w:val="en-AU"/>
              </w:rPr>
              <w:t>annual</w:t>
            </w:r>
            <w:r w:rsidR="00177848" w:rsidRPr="00C6052E">
              <w:rPr>
                <w:lang w:val="en-AU"/>
              </w:rPr>
              <w:t xml:space="preserve"> </w:t>
            </w:r>
            <w:r w:rsidRPr="00C6052E">
              <w:rPr>
                <w:lang w:val="en-AU"/>
              </w:rPr>
              <w:t>report,</w:t>
            </w:r>
            <w:r w:rsidR="00177848" w:rsidRPr="00C6052E">
              <w:rPr>
                <w:lang w:val="en-AU"/>
              </w:rPr>
              <w:t xml:space="preserve"> </w:t>
            </w:r>
            <w:r w:rsidRPr="00C6052E">
              <w:rPr>
                <w:lang w:val="en-AU"/>
              </w:rPr>
              <w:t>audits,</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plan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board</w:t>
            </w:r>
            <w:r w:rsidR="00177848" w:rsidRPr="00C6052E">
              <w:rPr>
                <w:lang w:val="en-AU"/>
              </w:rPr>
              <w:t xml:space="preserve"> </w:t>
            </w:r>
            <w:r w:rsidRPr="00C6052E">
              <w:rPr>
                <w:lang w:val="en-AU"/>
              </w:rPr>
              <w:t>appointments)</w:t>
            </w:r>
          </w:p>
          <w:p w14:paraId="3AE8B83F" w14:textId="70258C6E" w:rsidR="00C17A57" w:rsidRPr="00C6052E" w:rsidRDefault="00C17A57" w:rsidP="00C17A57">
            <w:pPr>
              <w:pStyle w:val="Tablenotes-indented"/>
              <w:ind w:left="227" w:firstLine="0"/>
              <w:rPr>
                <w:lang w:val="en-AU"/>
              </w:rPr>
            </w:pPr>
            <w:r w:rsidRPr="00C6052E">
              <w:rPr>
                <w:lang w:val="en-AU"/>
              </w:rPr>
              <w:t>Lower result due to the delay in finalising the Victorian Fisheries Authority (VFA) business plan.</w:t>
            </w:r>
          </w:p>
        </w:tc>
        <w:tc>
          <w:tcPr>
            <w:tcW w:w="1004" w:type="dxa"/>
            <w:hideMark/>
          </w:tcPr>
          <w:p w14:paraId="0CF10DF9" w14:textId="2D65ED38"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16B1CF11" w14:textId="77777777" w:rsidR="00EE5BB8" w:rsidRPr="00C6052E" w:rsidRDefault="00EE5BB8" w:rsidP="0063097D">
            <w:pPr>
              <w:pStyle w:val="TableCopy"/>
              <w:jc w:val="right"/>
              <w:rPr>
                <w:lang w:val="en-AU"/>
              </w:rPr>
            </w:pPr>
            <w:r w:rsidRPr="00C6052E">
              <w:rPr>
                <w:lang w:val="en-AU"/>
              </w:rPr>
              <w:t>75</w:t>
            </w:r>
          </w:p>
        </w:tc>
        <w:tc>
          <w:tcPr>
            <w:tcW w:w="1020" w:type="dxa"/>
            <w:noWrap/>
            <w:hideMark/>
          </w:tcPr>
          <w:p w14:paraId="3E618F33" w14:textId="77777777" w:rsidR="00EE5BB8" w:rsidRPr="00C6052E" w:rsidRDefault="00EE5BB8" w:rsidP="0063097D">
            <w:pPr>
              <w:pStyle w:val="TableCopy"/>
              <w:jc w:val="right"/>
              <w:rPr>
                <w:lang w:val="en-AU"/>
              </w:rPr>
            </w:pPr>
            <w:r w:rsidRPr="00C6052E">
              <w:rPr>
                <w:lang w:val="en-AU"/>
              </w:rPr>
              <w:t>100</w:t>
            </w:r>
          </w:p>
        </w:tc>
        <w:tc>
          <w:tcPr>
            <w:tcW w:w="1361" w:type="dxa"/>
            <w:noWrap/>
            <w:hideMark/>
          </w:tcPr>
          <w:p w14:paraId="3FBF7111" w14:textId="77777777" w:rsidR="00EE5BB8" w:rsidRPr="00C6052E" w:rsidRDefault="00EE5BB8" w:rsidP="0063097D">
            <w:pPr>
              <w:pStyle w:val="TableCopy"/>
              <w:jc w:val="right"/>
              <w:rPr>
                <w:lang w:val="en-AU"/>
              </w:rPr>
            </w:pPr>
            <w:r w:rsidRPr="00C6052E">
              <w:rPr>
                <w:lang w:val="en-AU"/>
              </w:rPr>
              <w:t>-25.0%</w:t>
            </w:r>
          </w:p>
        </w:tc>
        <w:tc>
          <w:tcPr>
            <w:tcW w:w="747" w:type="dxa"/>
            <w:noWrap/>
            <w:hideMark/>
          </w:tcPr>
          <w:p w14:paraId="2E617557" w14:textId="77777777" w:rsidR="00EE5BB8" w:rsidRPr="00C6052E" w:rsidRDefault="00EE5BB8" w:rsidP="00A42238">
            <w:pPr>
              <w:pStyle w:val="TableCopy"/>
              <w:jc w:val="right"/>
              <w:rPr>
                <w:lang w:val="en-AU"/>
              </w:rPr>
            </w:pPr>
            <w:r w:rsidRPr="00C6052E">
              <w:rPr>
                <w:lang w:val="en-AU"/>
              </w:rPr>
              <w:t>3</w:t>
            </w:r>
          </w:p>
        </w:tc>
      </w:tr>
      <w:tr w:rsidR="00EE5BB8" w:rsidRPr="00C6052E" w14:paraId="48973136" w14:textId="77777777" w:rsidTr="00C17A57">
        <w:trPr>
          <w:cantSplit/>
        </w:trPr>
        <w:tc>
          <w:tcPr>
            <w:tcW w:w="4620" w:type="dxa"/>
            <w:hideMark/>
          </w:tcPr>
          <w:p w14:paraId="0C8FB176" w14:textId="77777777" w:rsidR="00EE5BB8" w:rsidRDefault="00EE5BB8" w:rsidP="0063097D">
            <w:pPr>
              <w:pStyle w:val="TableCopy"/>
              <w:rPr>
                <w:lang w:val="en-AU"/>
              </w:rPr>
            </w:pPr>
            <w:r w:rsidRPr="00C6052E">
              <w:rPr>
                <w:lang w:val="en-AU"/>
              </w:rPr>
              <w:t>Percentage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intelligence-led</w:t>
            </w:r>
            <w:r w:rsidR="00177848" w:rsidRPr="00C6052E">
              <w:rPr>
                <w:lang w:val="en-AU"/>
              </w:rPr>
              <w:t xml:space="preserve"> </w:t>
            </w:r>
            <w:r w:rsidRPr="00C6052E">
              <w:rPr>
                <w:lang w:val="en-AU"/>
              </w:rPr>
              <w:t>targeted</w:t>
            </w:r>
            <w:r w:rsidR="00177848" w:rsidRPr="00C6052E">
              <w:rPr>
                <w:lang w:val="en-AU"/>
              </w:rPr>
              <w:t xml:space="preserve"> </w:t>
            </w:r>
            <w:r w:rsidRPr="00C6052E">
              <w:rPr>
                <w:lang w:val="en-AU"/>
              </w:rPr>
              <w:t>investigations</w:t>
            </w:r>
            <w:r w:rsidR="00177848" w:rsidRPr="00C6052E">
              <w:rPr>
                <w:lang w:val="en-AU"/>
              </w:rPr>
              <w:t xml:space="preserve"> </w:t>
            </w:r>
            <w:r w:rsidRPr="00C6052E">
              <w:rPr>
                <w:lang w:val="en-AU"/>
              </w:rPr>
              <w:t>into</w:t>
            </w:r>
            <w:r w:rsidR="00177848" w:rsidRPr="00C6052E">
              <w:rPr>
                <w:lang w:val="en-AU"/>
              </w:rPr>
              <w:t xml:space="preserve"> </w:t>
            </w:r>
            <w:r w:rsidRPr="00C6052E">
              <w:rPr>
                <w:lang w:val="en-AU"/>
              </w:rPr>
              <w:t>serious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organised</w:t>
            </w:r>
            <w:r w:rsidR="00177848" w:rsidRPr="00C6052E">
              <w:rPr>
                <w:lang w:val="en-AU"/>
              </w:rPr>
              <w:t xml:space="preserve"> </w:t>
            </w:r>
            <w:r w:rsidRPr="00C6052E">
              <w:rPr>
                <w:lang w:val="en-AU"/>
              </w:rPr>
              <w:t>fisheries</w:t>
            </w:r>
            <w:r w:rsidR="00177848" w:rsidRPr="00C6052E">
              <w:rPr>
                <w:lang w:val="en-AU"/>
              </w:rPr>
              <w:t xml:space="preserve"> </w:t>
            </w:r>
            <w:r w:rsidRPr="00C6052E">
              <w:rPr>
                <w:lang w:val="en-AU"/>
              </w:rPr>
              <w:t>offending</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results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w:t>
            </w:r>
            <w:r w:rsidR="00177848" w:rsidRPr="00C6052E">
              <w:rPr>
                <w:lang w:val="en-AU"/>
              </w:rPr>
              <w:t xml:space="preserve"> </w:t>
            </w:r>
            <w:r w:rsidRPr="00C6052E">
              <w:rPr>
                <w:lang w:val="en-AU"/>
              </w:rPr>
              <w:t>prosecution,</w:t>
            </w:r>
            <w:r w:rsidR="00177848" w:rsidRPr="00C6052E">
              <w:rPr>
                <w:lang w:val="en-AU"/>
              </w:rPr>
              <w:t xml:space="preserve"> </w:t>
            </w:r>
            <w:r w:rsidRPr="00C6052E">
              <w:rPr>
                <w:lang w:val="en-AU"/>
              </w:rPr>
              <w:t>disruption</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intelligence</w:t>
            </w:r>
            <w:r w:rsidR="00177848" w:rsidRPr="00C6052E">
              <w:rPr>
                <w:lang w:val="en-AU"/>
              </w:rPr>
              <w:t xml:space="preserve"> </w:t>
            </w:r>
            <w:r w:rsidRPr="00C6052E">
              <w:rPr>
                <w:lang w:val="en-AU"/>
              </w:rPr>
              <w:t>referral</w:t>
            </w:r>
            <w:r w:rsidR="00177848" w:rsidRPr="00C6052E">
              <w:rPr>
                <w:lang w:val="en-AU"/>
              </w:rPr>
              <w:t xml:space="preserve"> </w:t>
            </w:r>
            <w:r w:rsidRPr="00C6052E">
              <w:rPr>
                <w:lang w:val="en-AU"/>
              </w:rPr>
              <w:t>outcome</w:t>
            </w:r>
          </w:p>
          <w:p w14:paraId="682DE359" w14:textId="626EEF4E" w:rsidR="00C17A57" w:rsidRPr="00C6052E" w:rsidRDefault="00C17A57" w:rsidP="00C17A57">
            <w:pPr>
              <w:pStyle w:val="Tablenotes-indented"/>
              <w:ind w:left="227" w:firstLine="0"/>
              <w:rPr>
                <w:lang w:val="en-AU"/>
              </w:rPr>
            </w:pPr>
            <w:r w:rsidRPr="00C6052E">
              <w:rPr>
                <w:lang w:val="en-AU"/>
              </w:rPr>
              <w:t xml:space="preserve">Higher result due to informed </w:t>
            </w:r>
            <w:proofErr w:type="gramStart"/>
            <w:r w:rsidRPr="00C6052E">
              <w:rPr>
                <w:lang w:val="en-AU"/>
              </w:rPr>
              <w:t>intelligence based</w:t>
            </w:r>
            <w:proofErr w:type="gramEnd"/>
            <w:r w:rsidRPr="00C6052E">
              <w:rPr>
                <w:lang w:val="en-AU"/>
              </w:rPr>
              <w:t xml:space="preserve"> decision making leading to investigation outcomes.</w:t>
            </w:r>
          </w:p>
        </w:tc>
        <w:tc>
          <w:tcPr>
            <w:tcW w:w="1004" w:type="dxa"/>
            <w:hideMark/>
          </w:tcPr>
          <w:p w14:paraId="4377AAB1" w14:textId="7FD28DCF"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60DC2E94" w14:textId="77777777" w:rsidR="00EE5BB8" w:rsidRPr="00C6052E" w:rsidRDefault="00EE5BB8" w:rsidP="0063097D">
            <w:pPr>
              <w:pStyle w:val="TableCopy"/>
              <w:jc w:val="right"/>
              <w:rPr>
                <w:lang w:val="en-AU"/>
              </w:rPr>
            </w:pPr>
            <w:r w:rsidRPr="00C6052E">
              <w:rPr>
                <w:lang w:val="en-AU"/>
              </w:rPr>
              <w:t>100</w:t>
            </w:r>
          </w:p>
        </w:tc>
        <w:tc>
          <w:tcPr>
            <w:tcW w:w="1020" w:type="dxa"/>
            <w:noWrap/>
            <w:hideMark/>
          </w:tcPr>
          <w:p w14:paraId="79F3BB47" w14:textId="77777777" w:rsidR="00EE5BB8" w:rsidRPr="00C6052E" w:rsidRDefault="00EE5BB8" w:rsidP="0063097D">
            <w:pPr>
              <w:pStyle w:val="TableCopy"/>
              <w:jc w:val="right"/>
              <w:rPr>
                <w:lang w:val="en-AU"/>
              </w:rPr>
            </w:pPr>
            <w:r w:rsidRPr="00C6052E">
              <w:rPr>
                <w:lang w:val="en-AU"/>
              </w:rPr>
              <w:t>90</w:t>
            </w:r>
          </w:p>
        </w:tc>
        <w:tc>
          <w:tcPr>
            <w:tcW w:w="1361" w:type="dxa"/>
            <w:noWrap/>
            <w:hideMark/>
          </w:tcPr>
          <w:p w14:paraId="166498FE" w14:textId="77777777" w:rsidR="00EE5BB8" w:rsidRPr="00C6052E" w:rsidRDefault="00EE5BB8" w:rsidP="0063097D">
            <w:pPr>
              <w:pStyle w:val="TableCopy"/>
              <w:jc w:val="right"/>
              <w:rPr>
                <w:lang w:val="en-AU"/>
              </w:rPr>
            </w:pPr>
            <w:r w:rsidRPr="00C6052E">
              <w:rPr>
                <w:lang w:val="en-AU"/>
              </w:rPr>
              <w:t>11.1%</w:t>
            </w:r>
          </w:p>
        </w:tc>
        <w:tc>
          <w:tcPr>
            <w:tcW w:w="747" w:type="dxa"/>
            <w:noWrap/>
            <w:hideMark/>
          </w:tcPr>
          <w:p w14:paraId="2C4E080A" w14:textId="77777777" w:rsidR="00EE5BB8" w:rsidRPr="00C6052E" w:rsidRDefault="00EE5BB8" w:rsidP="00A42238">
            <w:pPr>
              <w:pStyle w:val="TableCopy"/>
              <w:jc w:val="right"/>
              <w:rPr>
                <w:lang w:val="en-AU"/>
              </w:rPr>
            </w:pPr>
            <w:r w:rsidRPr="00C6052E">
              <w:rPr>
                <w:lang w:val="en-AU"/>
              </w:rPr>
              <w:t>1</w:t>
            </w:r>
          </w:p>
        </w:tc>
      </w:tr>
      <w:tr w:rsidR="00EE5BB8" w:rsidRPr="00C6052E" w14:paraId="2CB69CCB" w14:textId="77777777" w:rsidTr="00C17A57">
        <w:trPr>
          <w:cantSplit/>
        </w:trPr>
        <w:tc>
          <w:tcPr>
            <w:tcW w:w="4620" w:type="dxa"/>
          </w:tcPr>
          <w:p w14:paraId="77BB4D07" w14:textId="77777777" w:rsidR="00EE5BB8" w:rsidRPr="00C6052E" w:rsidRDefault="00EE5BB8" w:rsidP="0063097D">
            <w:pPr>
              <w:pStyle w:val="TableHeading"/>
              <w:rPr>
                <w:lang w:val="en-AU"/>
              </w:rPr>
            </w:pPr>
            <w:r w:rsidRPr="00C6052E">
              <w:rPr>
                <w:lang w:val="en-AU"/>
              </w:rPr>
              <w:t>Timeliness</w:t>
            </w:r>
          </w:p>
        </w:tc>
        <w:tc>
          <w:tcPr>
            <w:tcW w:w="1004" w:type="dxa"/>
          </w:tcPr>
          <w:p w14:paraId="6786FA0E" w14:textId="77777777" w:rsidR="00EE5BB8" w:rsidRPr="00C6052E" w:rsidRDefault="00EE5BB8" w:rsidP="0063097D">
            <w:pPr>
              <w:pStyle w:val="TableHeading"/>
              <w:jc w:val="right"/>
              <w:rPr>
                <w:lang w:val="en-AU"/>
              </w:rPr>
            </w:pPr>
          </w:p>
        </w:tc>
        <w:tc>
          <w:tcPr>
            <w:tcW w:w="1020" w:type="dxa"/>
            <w:noWrap/>
          </w:tcPr>
          <w:p w14:paraId="4033D64F" w14:textId="77777777" w:rsidR="00EE5BB8" w:rsidRPr="00C6052E" w:rsidRDefault="00EE5BB8" w:rsidP="0063097D">
            <w:pPr>
              <w:pStyle w:val="TableHeading"/>
              <w:jc w:val="right"/>
              <w:rPr>
                <w:lang w:val="en-AU"/>
              </w:rPr>
            </w:pPr>
          </w:p>
        </w:tc>
        <w:tc>
          <w:tcPr>
            <w:tcW w:w="1020" w:type="dxa"/>
            <w:noWrap/>
          </w:tcPr>
          <w:p w14:paraId="1FB16BC5" w14:textId="77777777" w:rsidR="00EE5BB8" w:rsidRPr="00C6052E" w:rsidRDefault="00EE5BB8" w:rsidP="0063097D">
            <w:pPr>
              <w:pStyle w:val="TableHeading"/>
              <w:jc w:val="right"/>
              <w:rPr>
                <w:lang w:val="en-AU"/>
              </w:rPr>
            </w:pPr>
          </w:p>
        </w:tc>
        <w:tc>
          <w:tcPr>
            <w:tcW w:w="1361" w:type="dxa"/>
            <w:noWrap/>
          </w:tcPr>
          <w:p w14:paraId="74801A96" w14:textId="77777777" w:rsidR="00EE5BB8" w:rsidRPr="00C6052E" w:rsidRDefault="00EE5BB8" w:rsidP="0063097D">
            <w:pPr>
              <w:pStyle w:val="TableHeading"/>
              <w:jc w:val="right"/>
              <w:rPr>
                <w:lang w:val="en-AU"/>
              </w:rPr>
            </w:pPr>
          </w:p>
        </w:tc>
        <w:tc>
          <w:tcPr>
            <w:tcW w:w="747" w:type="dxa"/>
            <w:noWrap/>
          </w:tcPr>
          <w:p w14:paraId="7188EB45" w14:textId="77777777" w:rsidR="00EE5BB8" w:rsidRPr="00C6052E" w:rsidRDefault="00EE5BB8" w:rsidP="00A42238">
            <w:pPr>
              <w:pStyle w:val="TableCopy"/>
              <w:jc w:val="right"/>
              <w:rPr>
                <w:lang w:val="en-AU"/>
              </w:rPr>
            </w:pPr>
          </w:p>
        </w:tc>
      </w:tr>
      <w:tr w:rsidR="00EE5BB8" w:rsidRPr="00C6052E" w14:paraId="4ABE04E2" w14:textId="77777777" w:rsidTr="00C17A57">
        <w:trPr>
          <w:cantSplit/>
        </w:trPr>
        <w:tc>
          <w:tcPr>
            <w:tcW w:w="4620" w:type="dxa"/>
            <w:hideMark/>
          </w:tcPr>
          <w:p w14:paraId="74A9F2C8" w14:textId="0318DFE0" w:rsidR="00EE5BB8" w:rsidRPr="00C6052E" w:rsidRDefault="00EE5BB8" w:rsidP="0063097D">
            <w:pPr>
              <w:pStyle w:val="TableCopy"/>
              <w:rPr>
                <w:lang w:val="en-AU"/>
              </w:rPr>
            </w:pPr>
            <w:r w:rsidRPr="00C6052E">
              <w:rPr>
                <w:lang w:val="en-AU"/>
              </w:rPr>
              <w:t>Risk</w:t>
            </w:r>
            <w:r w:rsidR="00177848" w:rsidRPr="00C6052E">
              <w:rPr>
                <w:lang w:val="en-AU"/>
              </w:rPr>
              <w:t xml:space="preserve"> </w:t>
            </w:r>
            <w:r w:rsidRPr="00C6052E">
              <w:rPr>
                <w:lang w:val="en-AU"/>
              </w:rPr>
              <w:t>assessment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managed</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unmanaged</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waterways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high</w:t>
            </w:r>
            <w:r w:rsidR="00177848" w:rsidRPr="00C6052E">
              <w:rPr>
                <w:lang w:val="en-AU"/>
              </w:rPr>
              <w:t xml:space="preserve"> </w:t>
            </w:r>
            <w:r w:rsidRPr="00C6052E">
              <w:rPr>
                <w:lang w:val="en-AU"/>
              </w:rPr>
              <w:t>levels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boating</w:t>
            </w:r>
            <w:r w:rsidR="00177848" w:rsidRPr="00C6052E">
              <w:rPr>
                <w:lang w:val="en-AU"/>
              </w:rPr>
              <w:t xml:space="preserve"> </w:t>
            </w:r>
            <w:r w:rsidRPr="00C6052E">
              <w:rPr>
                <w:lang w:val="en-AU"/>
              </w:rPr>
              <w:t>activity</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competing</w:t>
            </w:r>
            <w:r w:rsidR="00177848" w:rsidRPr="00C6052E">
              <w:rPr>
                <w:lang w:val="en-AU"/>
              </w:rPr>
              <w:t xml:space="preserve"> </w:t>
            </w:r>
            <w:r w:rsidRPr="00C6052E">
              <w:rPr>
                <w:lang w:val="en-AU"/>
              </w:rPr>
              <w:t>use*</w:t>
            </w:r>
          </w:p>
        </w:tc>
        <w:tc>
          <w:tcPr>
            <w:tcW w:w="1004" w:type="dxa"/>
            <w:hideMark/>
          </w:tcPr>
          <w:p w14:paraId="36D3D719"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77EF980B" w14:textId="77777777" w:rsidR="00EE5BB8" w:rsidRPr="00C6052E" w:rsidRDefault="00EE5BB8" w:rsidP="0063097D">
            <w:pPr>
              <w:pStyle w:val="TableCopy"/>
              <w:jc w:val="right"/>
              <w:rPr>
                <w:lang w:val="en-AU"/>
              </w:rPr>
            </w:pPr>
            <w:r w:rsidRPr="00C6052E">
              <w:rPr>
                <w:lang w:val="en-AU"/>
              </w:rPr>
              <w:t>30</w:t>
            </w:r>
          </w:p>
        </w:tc>
        <w:tc>
          <w:tcPr>
            <w:tcW w:w="1020" w:type="dxa"/>
            <w:noWrap/>
            <w:hideMark/>
          </w:tcPr>
          <w:p w14:paraId="3DA8E684" w14:textId="77777777" w:rsidR="00EE5BB8" w:rsidRPr="00C6052E" w:rsidRDefault="00EE5BB8" w:rsidP="0063097D">
            <w:pPr>
              <w:pStyle w:val="TableCopy"/>
              <w:jc w:val="right"/>
              <w:rPr>
                <w:lang w:val="en-AU"/>
              </w:rPr>
            </w:pPr>
            <w:r w:rsidRPr="00C6052E">
              <w:rPr>
                <w:lang w:val="en-AU"/>
              </w:rPr>
              <w:t>30</w:t>
            </w:r>
          </w:p>
        </w:tc>
        <w:tc>
          <w:tcPr>
            <w:tcW w:w="1361" w:type="dxa"/>
            <w:noWrap/>
            <w:hideMark/>
          </w:tcPr>
          <w:p w14:paraId="13A02DFF"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03115387" w14:textId="77777777" w:rsidR="00EE5BB8" w:rsidRPr="00C6052E" w:rsidRDefault="00EE5BB8" w:rsidP="00A42238">
            <w:pPr>
              <w:pStyle w:val="TableCopy"/>
              <w:jc w:val="right"/>
              <w:rPr>
                <w:lang w:val="en-AU"/>
              </w:rPr>
            </w:pPr>
            <w:r w:rsidRPr="00C6052E">
              <w:rPr>
                <w:lang w:val="en-AU"/>
              </w:rPr>
              <w:t>1</w:t>
            </w:r>
          </w:p>
        </w:tc>
      </w:tr>
      <w:tr w:rsidR="00EE5BB8" w:rsidRPr="00C6052E" w14:paraId="5884C62F" w14:textId="77777777" w:rsidTr="00C17A57">
        <w:trPr>
          <w:cantSplit/>
        </w:trPr>
        <w:tc>
          <w:tcPr>
            <w:tcW w:w="4620" w:type="dxa"/>
            <w:hideMark/>
          </w:tcPr>
          <w:p w14:paraId="19C1051B" w14:textId="77777777" w:rsidR="00EE5BB8" w:rsidRDefault="00EE5BB8" w:rsidP="0063097D">
            <w:pPr>
              <w:pStyle w:val="TableCopy"/>
              <w:rPr>
                <w:lang w:val="en-AU"/>
              </w:rPr>
            </w:pPr>
            <w:r w:rsidRPr="00C6052E">
              <w:rPr>
                <w:lang w:val="en-AU"/>
              </w:rPr>
              <w:t>Facilitate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delivery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game</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line</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key</w:t>
            </w:r>
            <w:r w:rsidR="00177848" w:rsidRPr="00C6052E">
              <w:rPr>
                <w:lang w:val="en-AU"/>
              </w:rPr>
              <w:t xml:space="preserve"> </w:t>
            </w:r>
            <w:r w:rsidRPr="00C6052E">
              <w:rPr>
                <w:lang w:val="en-AU"/>
              </w:rPr>
              <w:t>project</w:t>
            </w:r>
            <w:r w:rsidR="00177848" w:rsidRPr="00C6052E">
              <w:rPr>
                <w:lang w:val="en-AU"/>
              </w:rPr>
              <w:t xml:space="preserve"> </w:t>
            </w:r>
            <w:r w:rsidRPr="00C6052E">
              <w:rPr>
                <w:lang w:val="en-AU"/>
              </w:rPr>
              <w:t>milestones</w:t>
            </w:r>
          </w:p>
          <w:p w14:paraId="76CE3DB3" w14:textId="003C53FC" w:rsidR="00C17A57" w:rsidRPr="00C6052E" w:rsidRDefault="00C17A57" w:rsidP="00C17A57">
            <w:pPr>
              <w:pStyle w:val="Tablenotes-indented"/>
              <w:ind w:left="227" w:firstLine="0"/>
              <w:rPr>
                <w:lang w:val="en-AU"/>
              </w:rPr>
            </w:pPr>
            <w:r w:rsidRPr="00C6052E">
              <w:rPr>
                <w:lang w:val="en-AU"/>
              </w:rPr>
              <w:t xml:space="preserve">Lower result due to projects placed on hold </w:t>
            </w:r>
            <w:proofErr w:type="gramStart"/>
            <w:r w:rsidRPr="00C6052E">
              <w:rPr>
                <w:lang w:val="en-AU"/>
              </w:rPr>
              <w:t>as a result of</w:t>
            </w:r>
            <w:proofErr w:type="gramEnd"/>
            <w:r w:rsidRPr="00C6052E">
              <w:rPr>
                <w:lang w:val="en-AU"/>
              </w:rPr>
              <w:t xml:space="preserve"> government’s consideration of the Select Committee report on Victoria’s Recreational Native Bird Hunting Arrangements.</w:t>
            </w:r>
          </w:p>
        </w:tc>
        <w:tc>
          <w:tcPr>
            <w:tcW w:w="1004" w:type="dxa"/>
            <w:hideMark/>
          </w:tcPr>
          <w:p w14:paraId="6121E693" w14:textId="7E91959A"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6C977AA1" w14:textId="77777777" w:rsidR="00EE5BB8" w:rsidRPr="00C6052E" w:rsidRDefault="00EE5BB8" w:rsidP="0063097D">
            <w:pPr>
              <w:pStyle w:val="TableCopy"/>
              <w:jc w:val="right"/>
              <w:rPr>
                <w:lang w:val="en-AU"/>
              </w:rPr>
            </w:pPr>
            <w:r w:rsidRPr="00C6052E">
              <w:rPr>
                <w:lang w:val="en-AU"/>
              </w:rPr>
              <w:t>95</w:t>
            </w:r>
          </w:p>
        </w:tc>
        <w:tc>
          <w:tcPr>
            <w:tcW w:w="1020" w:type="dxa"/>
            <w:noWrap/>
            <w:hideMark/>
          </w:tcPr>
          <w:p w14:paraId="0A485B8B" w14:textId="77777777" w:rsidR="00EE5BB8" w:rsidRPr="00C6052E" w:rsidRDefault="00EE5BB8" w:rsidP="0063097D">
            <w:pPr>
              <w:pStyle w:val="TableCopy"/>
              <w:jc w:val="right"/>
              <w:rPr>
                <w:lang w:val="en-AU"/>
              </w:rPr>
            </w:pPr>
            <w:r w:rsidRPr="00C6052E">
              <w:rPr>
                <w:lang w:val="en-AU"/>
              </w:rPr>
              <w:t>100</w:t>
            </w:r>
          </w:p>
        </w:tc>
        <w:tc>
          <w:tcPr>
            <w:tcW w:w="1361" w:type="dxa"/>
            <w:noWrap/>
            <w:hideMark/>
          </w:tcPr>
          <w:p w14:paraId="14EC8A16" w14:textId="77777777" w:rsidR="00EE5BB8" w:rsidRPr="00C6052E" w:rsidRDefault="00EE5BB8" w:rsidP="0063097D">
            <w:pPr>
              <w:pStyle w:val="TableCopy"/>
              <w:jc w:val="right"/>
              <w:rPr>
                <w:lang w:val="en-AU"/>
              </w:rPr>
            </w:pPr>
            <w:r w:rsidRPr="00C6052E">
              <w:rPr>
                <w:lang w:val="en-AU"/>
              </w:rPr>
              <w:t>-5.0%</w:t>
            </w:r>
          </w:p>
        </w:tc>
        <w:tc>
          <w:tcPr>
            <w:tcW w:w="747" w:type="dxa"/>
            <w:noWrap/>
            <w:hideMark/>
          </w:tcPr>
          <w:p w14:paraId="517A365F" w14:textId="77777777" w:rsidR="00EE5BB8" w:rsidRPr="00C6052E" w:rsidRDefault="00EE5BB8" w:rsidP="00A42238">
            <w:pPr>
              <w:pStyle w:val="TableCopy"/>
              <w:jc w:val="right"/>
              <w:rPr>
                <w:lang w:val="en-AU"/>
              </w:rPr>
            </w:pPr>
            <w:r w:rsidRPr="00C6052E">
              <w:rPr>
                <w:lang w:val="en-AU"/>
              </w:rPr>
              <w:t>3</w:t>
            </w:r>
          </w:p>
        </w:tc>
      </w:tr>
      <w:tr w:rsidR="00EE5BB8" w:rsidRPr="00C6052E" w14:paraId="28CF448F" w14:textId="77777777" w:rsidTr="00C17A57">
        <w:trPr>
          <w:cantSplit/>
        </w:trPr>
        <w:tc>
          <w:tcPr>
            <w:tcW w:w="4620" w:type="dxa"/>
            <w:hideMark/>
          </w:tcPr>
          <w:p w14:paraId="19BA07E5" w14:textId="1172F71E" w:rsidR="00EE5BB8" w:rsidRPr="00C6052E" w:rsidRDefault="00EE5BB8" w:rsidP="0063097D">
            <w:pPr>
              <w:pStyle w:val="TableCopy"/>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fisheries</w:t>
            </w:r>
            <w:r w:rsidR="00177848" w:rsidRPr="00C6052E">
              <w:rPr>
                <w:lang w:val="en-AU"/>
              </w:rPr>
              <w:t xml:space="preserve"> </w:t>
            </w:r>
            <w:r w:rsidRPr="00C6052E">
              <w:rPr>
                <w:lang w:val="en-AU"/>
              </w:rPr>
              <w:t>cost</w:t>
            </w:r>
            <w:r w:rsidR="00177848" w:rsidRPr="00C6052E">
              <w:rPr>
                <w:lang w:val="en-AU"/>
              </w:rPr>
              <w:t xml:space="preserve"> </w:t>
            </w:r>
            <w:r w:rsidRPr="00C6052E">
              <w:rPr>
                <w:lang w:val="en-AU"/>
              </w:rPr>
              <w:t>recovery</w:t>
            </w:r>
            <w:r w:rsidR="00177848" w:rsidRPr="00C6052E">
              <w:rPr>
                <w:lang w:val="en-AU"/>
              </w:rPr>
              <w:t xml:space="preserve"> </w:t>
            </w:r>
            <w:r w:rsidRPr="00C6052E">
              <w:rPr>
                <w:lang w:val="en-AU"/>
              </w:rPr>
              <w:t>levies</w:t>
            </w:r>
            <w:r w:rsidR="00177848" w:rsidRPr="00C6052E">
              <w:rPr>
                <w:lang w:val="en-AU"/>
              </w:rPr>
              <w:t xml:space="preserve"> </w:t>
            </w:r>
            <w:r w:rsidRPr="00C6052E">
              <w:rPr>
                <w:lang w:val="en-AU"/>
              </w:rPr>
              <w:t>reviewed</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set</w:t>
            </w:r>
            <w:r w:rsidR="00177848" w:rsidRPr="00C6052E">
              <w:rPr>
                <w:lang w:val="en-AU"/>
              </w:rPr>
              <w:t xml:space="preserve"> </w:t>
            </w:r>
            <w:r w:rsidRPr="00C6052E">
              <w:rPr>
                <w:lang w:val="en-AU"/>
              </w:rPr>
              <w:t>prior</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commencement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licensing</w:t>
            </w:r>
            <w:r w:rsidR="00177848" w:rsidRPr="00C6052E">
              <w:rPr>
                <w:lang w:val="en-AU"/>
              </w:rPr>
              <w:t xml:space="preserve"> </w:t>
            </w:r>
            <w:r w:rsidRPr="00C6052E">
              <w:rPr>
                <w:lang w:val="en-AU"/>
              </w:rPr>
              <w:t>year</w:t>
            </w:r>
          </w:p>
        </w:tc>
        <w:tc>
          <w:tcPr>
            <w:tcW w:w="1004" w:type="dxa"/>
            <w:hideMark/>
          </w:tcPr>
          <w:p w14:paraId="10CD8DDF" w14:textId="5AE98799"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8C867E6" w14:textId="77777777" w:rsidR="00EE5BB8" w:rsidRPr="00C6052E" w:rsidRDefault="00EE5BB8" w:rsidP="0063097D">
            <w:pPr>
              <w:pStyle w:val="TableCopy"/>
              <w:jc w:val="right"/>
              <w:rPr>
                <w:lang w:val="en-AU"/>
              </w:rPr>
            </w:pPr>
            <w:r w:rsidRPr="00C6052E">
              <w:rPr>
                <w:lang w:val="en-AU"/>
              </w:rPr>
              <w:t>100</w:t>
            </w:r>
          </w:p>
        </w:tc>
        <w:tc>
          <w:tcPr>
            <w:tcW w:w="1020" w:type="dxa"/>
            <w:noWrap/>
            <w:hideMark/>
          </w:tcPr>
          <w:p w14:paraId="7B46ABC2" w14:textId="77777777" w:rsidR="00EE5BB8" w:rsidRPr="00C6052E" w:rsidRDefault="00EE5BB8" w:rsidP="0063097D">
            <w:pPr>
              <w:pStyle w:val="TableCopy"/>
              <w:jc w:val="right"/>
              <w:rPr>
                <w:lang w:val="en-AU"/>
              </w:rPr>
            </w:pPr>
            <w:r w:rsidRPr="00C6052E">
              <w:rPr>
                <w:lang w:val="en-AU"/>
              </w:rPr>
              <w:t>100</w:t>
            </w:r>
          </w:p>
        </w:tc>
        <w:tc>
          <w:tcPr>
            <w:tcW w:w="1361" w:type="dxa"/>
            <w:noWrap/>
            <w:hideMark/>
          </w:tcPr>
          <w:p w14:paraId="61381D12"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40C03573" w14:textId="77777777" w:rsidR="00EE5BB8" w:rsidRPr="00C6052E" w:rsidRDefault="00EE5BB8" w:rsidP="00A42238">
            <w:pPr>
              <w:pStyle w:val="TableCopy"/>
              <w:jc w:val="right"/>
              <w:rPr>
                <w:lang w:val="en-AU"/>
              </w:rPr>
            </w:pPr>
            <w:r w:rsidRPr="00C6052E">
              <w:rPr>
                <w:lang w:val="en-AU"/>
              </w:rPr>
              <w:t>1</w:t>
            </w:r>
          </w:p>
        </w:tc>
      </w:tr>
      <w:tr w:rsidR="00EE5BB8" w:rsidRPr="00C6052E" w14:paraId="21EB3FE7" w14:textId="77777777" w:rsidTr="00C17A57">
        <w:trPr>
          <w:cantSplit/>
        </w:trPr>
        <w:tc>
          <w:tcPr>
            <w:tcW w:w="4620" w:type="dxa"/>
            <w:hideMark/>
          </w:tcPr>
          <w:p w14:paraId="3285FC3D" w14:textId="3DF6F2EC" w:rsidR="00EE5BB8" w:rsidRPr="00C6052E" w:rsidRDefault="00EE5BB8" w:rsidP="0063097D">
            <w:pPr>
              <w:pStyle w:val="TableCopy"/>
              <w:rPr>
                <w:lang w:val="en-AU"/>
              </w:rPr>
            </w:pPr>
            <w:r w:rsidRPr="00C6052E">
              <w:rPr>
                <w:lang w:val="en-AU"/>
              </w:rPr>
              <w:t>Research</w:t>
            </w:r>
            <w:r w:rsidR="00177848" w:rsidRPr="00C6052E">
              <w:rPr>
                <w:lang w:val="en-AU"/>
              </w:rPr>
              <w:t xml:space="preserve"> </w:t>
            </w:r>
            <w:r w:rsidRPr="00C6052E">
              <w:rPr>
                <w:lang w:val="en-AU"/>
              </w:rPr>
              <w:t>project</w:t>
            </w:r>
            <w:r w:rsidR="00177848" w:rsidRPr="00C6052E">
              <w:rPr>
                <w:lang w:val="en-AU"/>
              </w:rPr>
              <w:t xml:space="preserve"> </w:t>
            </w:r>
            <w:r w:rsidRPr="00C6052E">
              <w:rPr>
                <w:lang w:val="en-AU"/>
              </w:rPr>
              <w:t>milestones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reports</w:t>
            </w:r>
            <w:r w:rsidR="00177848" w:rsidRPr="00C6052E">
              <w:rPr>
                <w:lang w:val="en-AU"/>
              </w:rPr>
              <w:t xml:space="preserve"> </w:t>
            </w:r>
            <w:r w:rsidRPr="00C6052E">
              <w:rPr>
                <w:lang w:val="en-AU"/>
              </w:rPr>
              <w:t>completed</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time</w:t>
            </w:r>
          </w:p>
        </w:tc>
        <w:tc>
          <w:tcPr>
            <w:tcW w:w="1004" w:type="dxa"/>
            <w:hideMark/>
          </w:tcPr>
          <w:p w14:paraId="592A8547" w14:textId="2B27E183"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4F47DBD2" w14:textId="77777777" w:rsidR="00EE5BB8" w:rsidRPr="00C6052E" w:rsidRDefault="00EE5BB8" w:rsidP="0063097D">
            <w:pPr>
              <w:pStyle w:val="TableCopy"/>
              <w:jc w:val="right"/>
              <w:rPr>
                <w:lang w:val="en-AU"/>
              </w:rPr>
            </w:pPr>
            <w:r w:rsidRPr="00C6052E">
              <w:rPr>
                <w:lang w:val="en-AU"/>
              </w:rPr>
              <w:t>90</w:t>
            </w:r>
          </w:p>
        </w:tc>
        <w:tc>
          <w:tcPr>
            <w:tcW w:w="1020" w:type="dxa"/>
            <w:noWrap/>
            <w:hideMark/>
          </w:tcPr>
          <w:p w14:paraId="12C8D7C4" w14:textId="77777777" w:rsidR="00EE5BB8" w:rsidRPr="00C6052E" w:rsidRDefault="00EE5BB8" w:rsidP="0063097D">
            <w:pPr>
              <w:pStyle w:val="TableCopy"/>
              <w:jc w:val="right"/>
              <w:rPr>
                <w:lang w:val="en-AU"/>
              </w:rPr>
            </w:pPr>
            <w:r w:rsidRPr="00C6052E">
              <w:rPr>
                <w:lang w:val="en-AU"/>
              </w:rPr>
              <w:t>90</w:t>
            </w:r>
          </w:p>
        </w:tc>
        <w:tc>
          <w:tcPr>
            <w:tcW w:w="1361" w:type="dxa"/>
            <w:noWrap/>
            <w:hideMark/>
          </w:tcPr>
          <w:p w14:paraId="3E0A30D4" w14:textId="77777777" w:rsidR="00EE5BB8" w:rsidRPr="00C6052E" w:rsidRDefault="00EE5BB8" w:rsidP="0063097D">
            <w:pPr>
              <w:pStyle w:val="TableCopy"/>
              <w:jc w:val="right"/>
              <w:rPr>
                <w:lang w:val="en-AU"/>
              </w:rPr>
            </w:pPr>
            <w:r w:rsidRPr="00C6052E">
              <w:rPr>
                <w:lang w:val="en-AU"/>
              </w:rPr>
              <w:t>0.0%</w:t>
            </w:r>
          </w:p>
        </w:tc>
        <w:tc>
          <w:tcPr>
            <w:tcW w:w="747" w:type="dxa"/>
            <w:noWrap/>
            <w:hideMark/>
          </w:tcPr>
          <w:p w14:paraId="27FFF874" w14:textId="77777777" w:rsidR="00EE5BB8" w:rsidRPr="00C6052E" w:rsidRDefault="00EE5BB8" w:rsidP="00A42238">
            <w:pPr>
              <w:pStyle w:val="TableCopy"/>
              <w:jc w:val="right"/>
              <w:rPr>
                <w:lang w:val="en-AU"/>
              </w:rPr>
            </w:pPr>
            <w:r w:rsidRPr="00C6052E">
              <w:rPr>
                <w:lang w:val="en-AU"/>
              </w:rPr>
              <w:t>1</w:t>
            </w:r>
          </w:p>
        </w:tc>
      </w:tr>
      <w:tr w:rsidR="00EE5BB8" w:rsidRPr="00C6052E" w14:paraId="5D3F7E9A" w14:textId="77777777" w:rsidTr="00C17A57">
        <w:trPr>
          <w:cantSplit/>
        </w:trPr>
        <w:tc>
          <w:tcPr>
            <w:tcW w:w="4620" w:type="dxa"/>
          </w:tcPr>
          <w:p w14:paraId="58FF3883" w14:textId="77777777" w:rsidR="00EE5BB8" w:rsidRPr="00C6052E" w:rsidRDefault="00EE5BB8" w:rsidP="0063097D">
            <w:pPr>
              <w:pStyle w:val="TableHeading"/>
              <w:rPr>
                <w:lang w:val="en-AU"/>
              </w:rPr>
            </w:pPr>
            <w:r w:rsidRPr="00C6052E">
              <w:rPr>
                <w:lang w:val="en-AU"/>
              </w:rPr>
              <w:lastRenderedPageBreak/>
              <w:t>Cost</w:t>
            </w:r>
          </w:p>
        </w:tc>
        <w:tc>
          <w:tcPr>
            <w:tcW w:w="1004" w:type="dxa"/>
          </w:tcPr>
          <w:p w14:paraId="5227F140" w14:textId="77777777" w:rsidR="00EE5BB8" w:rsidRPr="00C6052E" w:rsidRDefault="00EE5BB8" w:rsidP="0063097D">
            <w:pPr>
              <w:pStyle w:val="TableHeading"/>
              <w:jc w:val="right"/>
              <w:rPr>
                <w:lang w:val="en-AU"/>
              </w:rPr>
            </w:pPr>
          </w:p>
        </w:tc>
        <w:tc>
          <w:tcPr>
            <w:tcW w:w="1020" w:type="dxa"/>
            <w:noWrap/>
          </w:tcPr>
          <w:p w14:paraId="615F0129" w14:textId="77777777" w:rsidR="00EE5BB8" w:rsidRPr="00C6052E" w:rsidRDefault="00EE5BB8" w:rsidP="0063097D">
            <w:pPr>
              <w:pStyle w:val="TableHeading"/>
              <w:jc w:val="right"/>
              <w:rPr>
                <w:lang w:val="en-AU"/>
              </w:rPr>
            </w:pPr>
          </w:p>
        </w:tc>
        <w:tc>
          <w:tcPr>
            <w:tcW w:w="1020" w:type="dxa"/>
            <w:noWrap/>
          </w:tcPr>
          <w:p w14:paraId="14BC64BA" w14:textId="77777777" w:rsidR="00EE5BB8" w:rsidRPr="00C6052E" w:rsidRDefault="00EE5BB8" w:rsidP="0063097D">
            <w:pPr>
              <w:pStyle w:val="TableHeading"/>
              <w:jc w:val="right"/>
              <w:rPr>
                <w:lang w:val="en-AU"/>
              </w:rPr>
            </w:pPr>
          </w:p>
        </w:tc>
        <w:tc>
          <w:tcPr>
            <w:tcW w:w="1361" w:type="dxa"/>
            <w:noWrap/>
          </w:tcPr>
          <w:p w14:paraId="1A70FD74" w14:textId="77777777" w:rsidR="00EE5BB8" w:rsidRPr="00C6052E" w:rsidRDefault="00EE5BB8" w:rsidP="0063097D">
            <w:pPr>
              <w:pStyle w:val="TableHeading"/>
              <w:jc w:val="right"/>
              <w:rPr>
                <w:lang w:val="en-AU"/>
              </w:rPr>
            </w:pPr>
          </w:p>
        </w:tc>
        <w:tc>
          <w:tcPr>
            <w:tcW w:w="747" w:type="dxa"/>
            <w:noWrap/>
          </w:tcPr>
          <w:p w14:paraId="7BB8025C" w14:textId="77777777" w:rsidR="00EE5BB8" w:rsidRPr="00C6052E" w:rsidRDefault="00EE5BB8" w:rsidP="00A42238">
            <w:pPr>
              <w:pStyle w:val="TableCopy"/>
              <w:jc w:val="right"/>
              <w:rPr>
                <w:lang w:val="en-AU"/>
              </w:rPr>
            </w:pPr>
          </w:p>
        </w:tc>
      </w:tr>
      <w:tr w:rsidR="00EE5BB8" w:rsidRPr="00C6052E" w14:paraId="64AA17D5" w14:textId="77777777" w:rsidTr="00C17A57">
        <w:trPr>
          <w:cantSplit/>
        </w:trPr>
        <w:tc>
          <w:tcPr>
            <w:tcW w:w="4620" w:type="dxa"/>
            <w:hideMark/>
          </w:tcPr>
          <w:p w14:paraId="67E8CB76" w14:textId="6DFA8C5E" w:rsidR="00EE5BB8" w:rsidRPr="00C6052E"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tc>
        <w:tc>
          <w:tcPr>
            <w:tcW w:w="1004" w:type="dxa"/>
            <w:hideMark/>
          </w:tcPr>
          <w:p w14:paraId="68D24ED2" w14:textId="3C52862B" w:rsidR="00EE5BB8" w:rsidRPr="00C6052E" w:rsidRDefault="00EE5BB8" w:rsidP="00B53837">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6726D023" w14:textId="77777777" w:rsidR="00EE5BB8" w:rsidRPr="00C6052E" w:rsidRDefault="00EE5BB8" w:rsidP="00B53837">
            <w:pPr>
              <w:pStyle w:val="Tabletotal"/>
              <w:jc w:val="right"/>
              <w:rPr>
                <w:lang w:val="en-AU"/>
              </w:rPr>
            </w:pPr>
            <w:r w:rsidRPr="00C6052E">
              <w:rPr>
                <w:lang w:val="en-AU"/>
              </w:rPr>
              <w:t>108.3</w:t>
            </w:r>
          </w:p>
        </w:tc>
        <w:tc>
          <w:tcPr>
            <w:tcW w:w="1020" w:type="dxa"/>
            <w:noWrap/>
            <w:hideMark/>
          </w:tcPr>
          <w:p w14:paraId="570BC699" w14:textId="77777777" w:rsidR="00EE5BB8" w:rsidRPr="00C6052E" w:rsidRDefault="00EE5BB8" w:rsidP="00B53837">
            <w:pPr>
              <w:pStyle w:val="Tabletotal"/>
              <w:jc w:val="right"/>
              <w:rPr>
                <w:lang w:val="en-AU"/>
              </w:rPr>
            </w:pPr>
            <w:r w:rsidRPr="00C6052E">
              <w:rPr>
                <w:lang w:val="en-AU"/>
              </w:rPr>
              <w:t>106.4</w:t>
            </w:r>
          </w:p>
        </w:tc>
        <w:tc>
          <w:tcPr>
            <w:tcW w:w="1361" w:type="dxa"/>
            <w:noWrap/>
            <w:hideMark/>
          </w:tcPr>
          <w:p w14:paraId="79CECD65" w14:textId="77777777" w:rsidR="00EE5BB8" w:rsidRPr="00C6052E" w:rsidRDefault="00EE5BB8" w:rsidP="00B53837">
            <w:pPr>
              <w:pStyle w:val="Tabletotal"/>
              <w:jc w:val="right"/>
              <w:rPr>
                <w:lang w:val="en-AU"/>
              </w:rPr>
            </w:pPr>
            <w:r w:rsidRPr="00C6052E">
              <w:rPr>
                <w:lang w:val="en-AU"/>
              </w:rPr>
              <w:t>1.7%</w:t>
            </w:r>
          </w:p>
        </w:tc>
        <w:tc>
          <w:tcPr>
            <w:tcW w:w="747" w:type="dxa"/>
            <w:noWrap/>
            <w:hideMark/>
          </w:tcPr>
          <w:p w14:paraId="0DAA9886" w14:textId="77777777" w:rsidR="00EE5BB8" w:rsidRPr="00C6052E" w:rsidRDefault="00EE5BB8" w:rsidP="00B53837">
            <w:pPr>
              <w:pStyle w:val="Tabletotal"/>
              <w:jc w:val="right"/>
              <w:rPr>
                <w:lang w:val="en-AU"/>
              </w:rPr>
            </w:pPr>
            <w:r w:rsidRPr="00C6052E">
              <w:rPr>
                <w:lang w:val="en-AU"/>
              </w:rPr>
              <w:t>2</w:t>
            </w:r>
          </w:p>
        </w:tc>
      </w:tr>
    </w:tbl>
    <w:p w14:paraId="6C612755" w14:textId="7934DC53" w:rsidR="00EE5BB8" w:rsidRPr="00C6052E" w:rsidRDefault="00EE5BB8" w:rsidP="00EE5BB8">
      <w:pPr>
        <w:pStyle w:val="Tablenotes"/>
        <w:spacing w:before="0" w:after="60"/>
      </w:pPr>
      <w:r w:rsidRPr="00C6052E">
        <w:t>*</w:t>
      </w:r>
      <w:r w:rsidR="00177848" w:rsidRPr="00C6052E">
        <w:t xml:space="preserve"> </w:t>
      </w:r>
      <w:r w:rsidRPr="00C6052E">
        <w:t>These</w:t>
      </w:r>
      <w:r w:rsidR="00177848" w:rsidRPr="00C6052E">
        <w:t xml:space="preserve"> </w:t>
      </w:r>
      <w:r w:rsidRPr="00C6052E">
        <w:t>measures</w:t>
      </w:r>
      <w:r w:rsidR="00177848" w:rsidRPr="00C6052E">
        <w:t xml:space="preserve"> </w:t>
      </w:r>
      <w:r w:rsidRPr="00C6052E">
        <w:t>were</w:t>
      </w:r>
      <w:r w:rsidR="00177848" w:rsidRPr="00C6052E">
        <w:t xml:space="preserve"> </w:t>
      </w:r>
      <w:r w:rsidRPr="00C6052E">
        <w:t>transferred</w:t>
      </w:r>
      <w:r w:rsidR="00177848" w:rsidRPr="00C6052E">
        <w:t xml:space="preserve"> </w:t>
      </w:r>
      <w:r w:rsidRPr="00C6052E">
        <w:t>from</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of</w:t>
      </w:r>
      <w:r w:rsidR="00177848" w:rsidRPr="00C6052E">
        <w:t xml:space="preserve"> </w:t>
      </w:r>
      <w:r w:rsidRPr="00C6052E">
        <w:t>Transport</w:t>
      </w:r>
      <w:r w:rsidR="00177848" w:rsidRPr="00C6052E">
        <w:t xml:space="preserve"> </w:t>
      </w:r>
      <w:r w:rsidRPr="00C6052E">
        <w:t>and</w:t>
      </w:r>
      <w:r w:rsidR="00177848" w:rsidRPr="00C6052E">
        <w:t xml:space="preserve"> </w:t>
      </w:r>
      <w:r w:rsidRPr="00C6052E">
        <w:t>Planning</w:t>
      </w:r>
      <w:r w:rsidR="00177848" w:rsidRPr="00C6052E">
        <w:t xml:space="preserve"> </w:t>
      </w:r>
      <w:r w:rsidRPr="00C6052E">
        <w:t>to</w:t>
      </w:r>
      <w:r w:rsidR="00177848" w:rsidRPr="00C6052E">
        <w:t xml:space="preserve"> </w:t>
      </w:r>
      <w:r w:rsidRPr="00C6052E">
        <w:t>reflect</w:t>
      </w:r>
      <w:r w:rsidR="00177848" w:rsidRPr="00C6052E">
        <w:t xml:space="preserve"> </w:t>
      </w:r>
      <w:r w:rsidRPr="00C6052E">
        <w:t>the</w:t>
      </w:r>
      <w:r w:rsidR="00177848" w:rsidRPr="00C6052E">
        <w:t xml:space="preserve"> </w:t>
      </w:r>
      <w:r w:rsidRPr="00C6052E">
        <w:t>program’s</w:t>
      </w:r>
      <w:r w:rsidR="00177848" w:rsidRPr="00C6052E">
        <w:t xml:space="preserve"> </w:t>
      </w:r>
      <w:r w:rsidRPr="00C6052E">
        <w:t>funding</w:t>
      </w:r>
    </w:p>
    <w:p w14:paraId="662EE9BA" w14:textId="18382198" w:rsidR="00EE5BB8" w:rsidRPr="00C6052E" w:rsidRDefault="00EE5BB8" w:rsidP="00EE5BB8">
      <w:pPr>
        <w:pStyle w:val="Tablenotes"/>
        <w:spacing w:after="240"/>
        <w:rPr>
          <w:szCs w:val="18"/>
        </w:rPr>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30C97C88" w14:textId="35D61B01" w:rsidR="00EE5BB8" w:rsidRPr="00C6052E" w:rsidRDefault="00EE5BB8" w:rsidP="00B53837">
      <w:r w:rsidRPr="00C6052E">
        <w:t>Table</w:t>
      </w:r>
      <w:r w:rsidR="00177848" w:rsidRPr="00C6052E">
        <w:t xml:space="preserve"> </w:t>
      </w:r>
      <w:r w:rsidRPr="00C6052E">
        <w:t>15</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Regional</w:t>
      </w:r>
      <w:r w:rsidR="00177848" w:rsidRPr="00C6052E">
        <w:t xml:space="preserve"> </w:t>
      </w:r>
      <w:r w:rsidRPr="00C6052E">
        <w:t>Development</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supports</w:t>
      </w:r>
      <w:r w:rsidR="00177848" w:rsidRPr="00C6052E">
        <w:t xml:space="preserve"> </w:t>
      </w:r>
      <w:r w:rsidRPr="00C6052E">
        <w:t>targeted</w:t>
      </w:r>
      <w:r w:rsidR="00177848" w:rsidRPr="00C6052E">
        <w:t xml:space="preserve"> </w:t>
      </w:r>
      <w:r w:rsidRPr="00C6052E">
        <w:t>place</w:t>
      </w:r>
      <w:r w:rsidRPr="00C6052E">
        <w:noBreakHyphen/>
        <w:t>based</w:t>
      </w:r>
      <w:r w:rsidR="00177848" w:rsidRPr="00C6052E">
        <w:t xml:space="preserve"> </w:t>
      </w:r>
      <w:r w:rsidRPr="00C6052E">
        <w:t>services</w:t>
      </w:r>
      <w:r w:rsidR="00177848" w:rsidRPr="00C6052E">
        <w:t xml:space="preserve"> </w:t>
      </w:r>
      <w:r w:rsidRPr="00C6052E">
        <w:t>and</w:t>
      </w:r>
      <w:r w:rsidR="00177848" w:rsidRPr="00C6052E">
        <w:t xml:space="preserve"> </w:t>
      </w:r>
      <w:r w:rsidRPr="00C6052E">
        <w:t>collaboration</w:t>
      </w:r>
      <w:r w:rsidR="00177848" w:rsidRPr="00C6052E">
        <w:t xml:space="preserve"> </w:t>
      </w:r>
      <w:r w:rsidRPr="00C6052E">
        <w:t>with</w:t>
      </w:r>
      <w:r w:rsidR="00177848" w:rsidRPr="00C6052E">
        <w:t xml:space="preserve"> </w:t>
      </w:r>
      <w:r w:rsidRPr="00C6052E">
        <w:t>industry,</w:t>
      </w:r>
      <w:r w:rsidR="00177848" w:rsidRPr="00C6052E">
        <w:t xml:space="preserve"> </w:t>
      </w:r>
      <w:r w:rsidRPr="00C6052E">
        <w:t>businesses,</w:t>
      </w:r>
      <w:r w:rsidR="00177848" w:rsidRPr="00C6052E">
        <w:t xml:space="preserve"> </w:t>
      </w:r>
      <w:r w:rsidRPr="00C6052E">
        <w:t>communities,</w:t>
      </w:r>
      <w:r w:rsidR="00177848" w:rsidRPr="00C6052E">
        <w:t xml:space="preserve"> </w:t>
      </w:r>
      <w:r w:rsidRPr="00C6052E">
        <w:t>local</w:t>
      </w:r>
      <w:r w:rsidR="00177848" w:rsidRPr="00C6052E">
        <w:t xml:space="preserve"> </w:t>
      </w:r>
      <w:r w:rsidRPr="00C6052E">
        <w:t>councils</w:t>
      </w:r>
      <w:r w:rsidR="00177848" w:rsidRPr="00C6052E">
        <w:t xml:space="preserve"> </w:t>
      </w:r>
      <w:r w:rsidRPr="00C6052E">
        <w:t>and</w:t>
      </w:r>
      <w:r w:rsidR="00177848" w:rsidRPr="00C6052E">
        <w:t xml:space="preserve"> </w:t>
      </w:r>
      <w:r w:rsidRPr="00C6052E">
        <w:t>government</w:t>
      </w:r>
      <w:r w:rsidR="00177848" w:rsidRPr="00C6052E">
        <w:t xml:space="preserve"> </w:t>
      </w:r>
      <w:r w:rsidRPr="00C6052E">
        <w:t>departments,</w:t>
      </w:r>
      <w:r w:rsidR="00177848" w:rsidRPr="00C6052E">
        <w:t xml:space="preserve"> </w:t>
      </w:r>
      <w:r w:rsidRPr="00C6052E">
        <w:t>to</w:t>
      </w:r>
      <w:r w:rsidR="00177848" w:rsidRPr="00C6052E">
        <w:t xml:space="preserve"> </w:t>
      </w:r>
      <w:r w:rsidRPr="00C6052E">
        <w:t>enable</w:t>
      </w:r>
      <w:r w:rsidR="00177848" w:rsidRPr="00C6052E">
        <w:t xml:space="preserve"> </w:t>
      </w:r>
      <w:r w:rsidRPr="00C6052E">
        <w:t>and</w:t>
      </w:r>
      <w:r w:rsidR="00177848" w:rsidRPr="00C6052E">
        <w:t xml:space="preserve"> </w:t>
      </w:r>
      <w:r w:rsidRPr="00C6052E">
        <w:t>support</w:t>
      </w:r>
      <w:r w:rsidR="00177848" w:rsidRPr="00C6052E">
        <w:t xml:space="preserve"> </w:t>
      </w:r>
      <w:r w:rsidRPr="00C6052E">
        <w:t>economic</w:t>
      </w:r>
      <w:r w:rsidR="00177848" w:rsidRPr="00C6052E">
        <w:t xml:space="preserve"> </w:t>
      </w:r>
      <w:r w:rsidRPr="00C6052E">
        <w:t>growth.</w:t>
      </w:r>
      <w:r w:rsidR="00177848" w:rsidRPr="00C6052E">
        <w:t xml:space="preserve"> </w:t>
      </w:r>
      <w:r w:rsidRPr="00C6052E">
        <w:t>This</w:t>
      </w:r>
      <w:r w:rsidR="00177848" w:rsidRPr="00C6052E">
        <w:t xml:space="preserve"> </w:t>
      </w:r>
      <w:r w:rsidRPr="00C6052E">
        <w:t>includes</w:t>
      </w:r>
      <w:r w:rsidR="00177848" w:rsidRPr="00C6052E">
        <w:t xml:space="preserve"> </w:t>
      </w:r>
      <w:r w:rsidRPr="00C6052E">
        <w:t>facilitating</w:t>
      </w:r>
      <w:r w:rsidR="00177848" w:rsidRPr="00C6052E">
        <w:t xml:space="preserve"> </w:t>
      </w:r>
      <w:r w:rsidRPr="00C6052E">
        <w:t>job</w:t>
      </w:r>
      <w:r w:rsidR="00177848" w:rsidRPr="00C6052E">
        <w:t xml:space="preserve"> </w:t>
      </w:r>
      <w:r w:rsidRPr="00C6052E">
        <w:t>growth,</w:t>
      </w:r>
      <w:r w:rsidR="00177848" w:rsidRPr="00C6052E">
        <w:t xml:space="preserve"> </w:t>
      </w:r>
      <w:r w:rsidRPr="00C6052E">
        <w:t>infrastructure</w:t>
      </w:r>
      <w:r w:rsidR="00177848" w:rsidRPr="00C6052E">
        <w:t xml:space="preserve"> </w:t>
      </w:r>
      <w:r w:rsidRPr="00C6052E">
        <w:t>and</w:t>
      </w:r>
      <w:r w:rsidR="00177848" w:rsidRPr="00C6052E">
        <w:t xml:space="preserve"> </w:t>
      </w:r>
      <w:r w:rsidRPr="00C6052E">
        <w:t>new</w:t>
      </w:r>
      <w:r w:rsidR="00177848" w:rsidRPr="00C6052E">
        <w:t xml:space="preserve"> </w:t>
      </w:r>
      <w:r w:rsidRPr="00C6052E">
        <w:t>investment</w:t>
      </w:r>
      <w:r w:rsidR="00177848" w:rsidRPr="00C6052E">
        <w:t xml:space="preserve"> </w:t>
      </w:r>
      <w:r w:rsidRPr="00C6052E">
        <w:t>in</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and</w:t>
      </w:r>
      <w:r w:rsidR="00177848" w:rsidRPr="00C6052E">
        <w:t xml:space="preserve"> </w:t>
      </w:r>
      <w:r w:rsidRPr="00C6052E">
        <w:t>enhancing</w:t>
      </w:r>
      <w:r w:rsidR="00177848" w:rsidRPr="00C6052E">
        <w:t xml:space="preserve"> </w:t>
      </w:r>
      <w:r w:rsidRPr="00C6052E">
        <w:t>the</w:t>
      </w:r>
      <w:r w:rsidR="00177848" w:rsidRPr="00C6052E">
        <w:t xml:space="preserve"> </w:t>
      </w:r>
      <w:r w:rsidRPr="00C6052E">
        <w:t>liveability</w:t>
      </w:r>
      <w:r w:rsidR="00177848" w:rsidRPr="00C6052E">
        <w:t xml:space="preserve"> </w:t>
      </w:r>
      <w:r w:rsidRPr="00C6052E">
        <w:t>of</w:t>
      </w:r>
      <w:r w:rsidR="00177848" w:rsidRPr="00C6052E">
        <w:t xml:space="preserve"> </w:t>
      </w:r>
      <w:r w:rsidRPr="00C6052E">
        <w:t>Victoria’s</w:t>
      </w:r>
      <w:r w:rsidR="00177848" w:rsidRPr="00C6052E">
        <w:t xml:space="preserve"> </w:t>
      </w:r>
      <w:r w:rsidRPr="00C6052E">
        <w:t>regional</w:t>
      </w:r>
      <w:r w:rsidR="00177848" w:rsidRPr="00C6052E">
        <w:t xml:space="preserve"> </w:t>
      </w:r>
      <w:r w:rsidRPr="00C6052E">
        <w:t>cities</w:t>
      </w:r>
      <w:r w:rsidR="00177848" w:rsidRPr="00C6052E">
        <w:t xml:space="preserve"> </w:t>
      </w:r>
      <w:r w:rsidRPr="00C6052E">
        <w:t>and</w:t>
      </w:r>
      <w:r w:rsidR="00177848" w:rsidRPr="00C6052E">
        <w:t xml:space="preserve"> </w:t>
      </w:r>
      <w:r w:rsidRPr="00C6052E">
        <w:t>towns.</w:t>
      </w:r>
    </w:p>
    <w:p w14:paraId="3CBB3FD4" w14:textId="632A77C9" w:rsidR="00EE5BB8" w:rsidRPr="00C6052E" w:rsidRDefault="00EE5BB8" w:rsidP="00EE5BB8">
      <w:pPr>
        <w:pStyle w:val="TableHeading"/>
      </w:pPr>
      <w:r w:rsidRPr="00C6052E">
        <w:t>Table</w:t>
      </w:r>
      <w:r w:rsidR="00177848" w:rsidRPr="00C6052E">
        <w:t xml:space="preserve"> </w:t>
      </w:r>
      <w:r w:rsidRPr="00C6052E">
        <w:t>15:</w:t>
      </w:r>
      <w:r w:rsidR="00177848" w:rsidRPr="00C6052E">
        <w:t xml:space="preserve"> </w:t>
      </w:r>
      <w:r w:rsidRPr="00C6052E">
        <w:t>Output</w:t>
      </w:r>
      <w:r w:rsidR="00177848" w:rsidRPr="00C6052E">
        <w:t xml:space="preserve"> </w:t>
      </w:r>
      <w:r w:rsidRPr="00C6052E">
        <w:t>–</w:t>
      </w:r>
      <w:r w:rsidR="00177848" w:rsidRPr="00C6052E">
        <w:t xml:space="preserve"> </w:t>
      </w:r>
      <w:r w:rsidRPr="00C6052E">
        <w:t>Regional</w:t>
      </w:r>
      <w:r w:rsidR="00177848" w:rsidRPr="00C6052E">
        <w:t xml:space="preserve"> </w:t>
      </w:r>
      <w:r w:rsidRPr="00C6052E">
        <w:t>Development</w:t>
      </w:r>
    </w:p>
    <w:tbl>
      <w:tblPr>
        <w:tblStyle w:val="TableGrid"/>
        <w:tblW w:w="9747" w:type="dxa"/>
        <w:tblLayout w:type="fixed"/>
        <w:tblLook w:val="04A0" w:firstRow="1" w:lastRow="0" w:firstColumn="1" w:lastColumn="0" w:noHBand="0" w:noVBand="1"/>
      </w:tblPr>
      <w:tblGrid>
        <w:gridCol w:w="4531"/>
        <w:gridCol w:w="1020"/>
        <w:gridCol w:w="1020"/>
        <w:gridCol w:w="1020"/>
        <w:gridCol w:w="1361"/>
        <w:gridCol w:w="795"/>
      </w:tblGrid>
      <w:tr w:rsidR="00EE5BB8" w:rsidRPr="00C6052E" w14:paraId="5CFE25CB" w14:textId="77777777" w:rsidTr="0063097D">
        <w:trPr>
          <w:tblHeader/>
        </w:trPr>
        <w:tc>
          <w:tcPr>
            <w:tcW w:w="4531" w:type="dxa"/>
            <w:hideMark/>
          </w:tcPr>
          <w:p w14:paraId="768C7A5C" w14:textId="5D86A5A8" w:rsidR="00EE5BB8" w:rsidRPr="00C6052E" w:rsidRDefault="00EE5BB8" w:rsidP="0063097D">
            <w:pPr>
              <w:pStyle w:val="TableColumnHeading"/>
              <w:rPr>
                <w:lang w:val="en-AU"/>
              </w:rPr>
            </w:pPr>
            <w:bookmarkStart w:id="30" w:name="TableColumnHeadings_23"/>
            <w:bookmarkEnd w:id="30"/>
            <w:r w:rsidRPr="00C6052E">
              <w:rPr>
                <w:lang w:val="en-AU"/>
              </w:rPr>
              <w:t>Performance</w:t>
            </w:r>
            <w:r w:rsidR="00177848" w:rsidRPr="00C6052E">
              <w:rPr>
                <w:lang w:val="en-AU"/>
              </w:rPr>
              <w:t xml:space="preserve"> </w:t>
            </w:r>
            <w:r w:rsidRPr="00C6052E">
              <w:rPr>
                <w:lang w:val="en-AU"/>
              </w:rPr>
              <w:t>measures</w:t>
            </w:r>
          </w:p>
        </w:tc>
        <w:tc>
          <w:tcPr>
            <w:tcW w:w="1020" w:type="dxa"/>
            <w:hideMark/>
          </w:tcPr>
          <w:p w14:paraId="063F0D2B" w14:textId="027AED06" w:rsidR="00EE5BB8" w:rsidRPr="00C6052E" w:rsidRDefault="00EE5BB8" w:rsidP="0063097D">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3BE8D3E8" w14:textId="77777777" w:rsidR="00EE5BB8" w:rsidRPr="00C6052E" w:rsidRDefault="00EE5BB8" w:rsidP="0063097D">
            <w:pPr>
              <w:pStyle w:val="TableColumnHeading"/>
              <w:jc w:val="right"/>
              <w:rPr>
                <w:lang w:val="en-AU"/>
              </w:rPr>
            </w:pPr>
            <w:r w:rsidRPr="00C6052E">
              <w:rPr>
                <w:lang w:val="en-AU"/>
              </w:rPr>
              <w:t>2024–25</w:t>
            </w:r>
            <w:r w:rsidRPr="00C6052E">
              <w:rPr>
                <w:lang w:val="en-AU"/>
              </w:rPr>
              <w:br/>
              <w:t>Actual</w:t>
            </w:r>
          </w:p>
        </w:tc>
        <w:tc>
          <w:tcPr>
            <w:tcW w:w="1020" w:type="dxa"/>
            <w:hideMark/>
          </w:tcPr>
          <w:p w14:paraId="6E164857" w14:textId="7B801ABC" w:rsidR="00EE5BB8" w:rsidRPr="00C6052E" w:rsidRDefault="00EE5BB8" w:rsidP="0063097D">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67E2225F" w14:textId="3D37028D" w:rsidR="00EE5BB8" w:rsidRPr="00C6052E" w:rsidRDefault="00EE5BB8" w:rsidP="0063097D">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95" w:type="dxa"/>
            <w:hideMark/>
          </w:tcPr>
          <w:p w14:paraId="694D7E96" w14:textId="77777777" w:rsidR="00EE5BB8" w:rsidRPr="00C6052E" w:rsidRDefault="00EE5BB8" w:rsidP="0063097D">
            <w:pPr>
              <w:pStyle w:val="TableColumnHeading"/>
              <w:jc w:val="right"/>
              <w:rPr>
                <w:lang w:val="en-AU"/>
              </w:rPr>
            </w:pPr>
            <w:r w:rsidRPr="00C6052E">
              <w:rPr>
                <w:lang w:val="en-AU"/>
              </w:rPr>
              <w:t>Result</w:t>
            </w:r>
          </w:p>
        </w:tc>
      </w:tr>
      <w:tr w:rsidR="00EE5BB8" w:rsidRPr="00C6052E" w14:paraId="08C6EA9E" w14:textId="77777777" w:rsidTr="0063097D">
        <w:tc>
          <w:tcPr>
            <w:tcW w:w="4531" w:type="dxa"/>
          </w:tcPr>
          <w:p w14:paraId="1CFCCCC4" w14:textId="77777777" w:rsidR="00EE5BB8" w:rsidRPr="00C6052E" w:rsidRDefault="00EE5BB8" w:rsidP="0063097D">
            <w:pPr>
              <w:pStyle w:val="TableHeading"/>
              <w:rPr>
                <w:lang w:val="en-AU"/>
              </w:rPr>
            </w:pPr>
            <w:r w:rsidRPr="00C6052E">
              <w:rPr>
                <w:lang w:val="en-AU"/>
              </w:rPr>
              <w:t>Quantity</w:t>
            </w:r>
          </w:p>
        </w:tc>
        <w:tc>
          <w:tcPr>
            <w:tcW w:w="1020" w:type="dxa"/>
          </w:tcPr>
          <w:p w14:paraId="294843E3" w14:textId="77777777" w:rsidR="00EE5BB8" w:rsidRPr="00C6052E" w:rsidRDefault="00EE5BB8" w:rsidP="0063097D">
            <w:pPr>
              <w:pStyle w:val="TableHeading"/>
              <w:jc w:val="right"/>
              <w:rPr>
                <w:lang w:val="en-AU"/>
              </w:rPr>
            </w:pPr>
          </w:p>
        </w:tc>
        <w:tc>
          <w:tcPr>
            <w:tcW w:w="1020" w:type="dxa"/>
            <w:noWrap/>
          </w:tcPr>
          <w:p w14:paraId="54611648" w14:textId="77777777" w:rsidR="00EE5BB8" w:rsidRPr="00C6052E" w:rsidRDefault="00EE5BB8" w:rsidP="0063097D">
            <w:pPr>
              <w:pStyle w:val="TableHeading"/>
              <w:jc w:val="right"/>
              <w:rPr>
                <w:lang w:val="en-AU"/>
              </w:rPr>
            </w:pPr>
          </w:p>
        </w:tc>
        <w:tc>
          <w:tcPr>
            <w:tcW w:w="1020" w:type="dxa"/>
            <w:noWrap/>
          </w:tcPr>
          <w:p w14:paraId="2BA0B88D" w14:textId="77777777" w:rsidR="00EE5BB8" w:rsidRPr="00C6052E" w:rsidRDefault="00EE5BB8" w:rsidP="0063097D">
            <w:pPr>
              <w:pStyle w:val="TableHeading"/>
              <w:jc w:val="right"/>
              <w:rPr>
                <w:lang w:val="en-AU"/>
              </w:rPr>
            </w:pPr>
          </w:p>
        </w:tc>
        <w:tc>
          <w:tcPr>
            <w:tcW w:w="1361" w:type="dxa"/>
            <w:noWrap/>
          </w:tcPr>
          <w:p w14:paraId="4FD4BE61" w14:textId="77777777" w:rsidR="00EE5BB8" w:rsidRPr="00C6052E" w:rsidRDefault="00EE5BB8" w:rsidP="0063097D">
            <w:pPr>
              <w:pStyle w:val="TableHeading"/>
              <w:jc w:val="right"/>
              <w:rPr>
                <w:lang w:val="en-AU"/>
              </w:rPr>
            </w:pPr>
          </w:p>
        </w:tc>
        <w:tc>
          <w:tcPr>
            <w:tcW w:w="795" w:type="dxa"/>
            <w:noWrap/>
          </w:tcPr>
          <w:p w14:paraId="2F98822E" w14:textId="77777777" w:rsidR="00EE5BB8" w:rsidRPr="00C6052E" w:rsidRDefault="00EE5BB8" w:rsidP="0063097D">
            <w:pPr>
              <w:pStyle w:val="TableHeading"/>
              <w:jc w:val="right"/>
              <w:rPr>
                <w:rStyle w:val="Wingdings"/>
                <w:rFonts w:hint="eastAsia"/>
                <w:lang w:val="en-AU"/>
              </w:rPr>
            </w:pPr>
          </w:p>
        </w:tc>
      </w:tr>
      <w:tr w:rsidR="00EE5BB8" w:rsidRPr="00C6052E" w14:paraId="4B127046" w14:textId="77777777" w:rsidTr="0063097D">
        <w:tc>
          <w:tcPr>
            <w:tcW w:w="4531" w:type="dxa"/>
            <w:hideMark/>
          </w:tcPr>
          <w:p w14:paraId="1E1BD017" w14:textId="77777777" w:rsidR="00EE5BB8" w:rsidRDefault="00EE5BB8" w:rsidP="0063097D">
            <w:pPr>
              <w:pStyle w:val="TableCopy"/>
              <w:rPr>
                <w:lang w:val="en-AU"/>
              </w:rPr>
            </w:pPr>
            <w:r w:rsidRPr="00C6052E">
              <w:rPr>
                <w:lang w:val="en-AU"/>
              </w:rPr>
              <w:t>Actual</w:t>
            </w:r>
            <w:r w:rsidR="00177848" w:rsidRPr="00C6052E">
              <w:rPr>
                <w:lang w:val="en-AU"/>
              </w:rPr>
              <w:t xml:space="preserve"> </w:t>
            </w:r>
            <w:r w:rsidRPr="00C6052E">
              <w:rPr>
                <w:lang w:val="en-AU"/>
              </w:rPr>
              <w:t>export</w:t>
            </w:r>
            <w:r w:rsidR="00177848" w:rsidRPr="00C6052E">
              <w:rPr>
                <w:lang w:val="en-AU"/>
              </w:rPr>
              <w:t xml:space="preserve"> </w:t>
            </w:r>
            <w:r w:rsidRPr="00C6052E">
              <w:rPr>
                <w:lang w:val="en-AU"/>
              </w:rPr>
              <w:t>sales</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businesses</w:t>
            </w:r>
            <w:r w:rsidR="00177848" w:rsidRPr="00C6052E">
              <w:rPr>
                <w:lang w:val="en-AU"/>
              </w:rPr>
              <w:t xml:space="preserve"> </w:t>
            </w:r>
            <w:proofErr w:type="gramStart"/>
            <w:r w:rsidRPr="00C6052E">
              <w:rPr>
                <w:lang w:val="en-AU"/>
              </w:rPr>
              <w:t>as</w:t>
            </w:r>
            <w:r w:rsidR="00177848" w:rsidRPr="00C6052E">
              <w:rPr>
                <w:lang w:val="en-AU"/>
              </w:rPr>
              <w:t xml:space="preserve"> </w:t>
            </w:r>
            <w:r w:rsidRPr="00C6052E">
              <w:rPr>
                <w:lang w:val="en-AU"/>
              </w:rPr>
              <w:t>a</w:t>
            </w:r>
            <w:r w:rsidR="00177848" w:rsidRPr="00C6052E">
              <w:rPr>
                <w:lang w:val="en-AU"/>
              </w:rPr>
              <w:t xml:space="preserve"> </w:t>
            </w:r>
            <w:r w:rsidRPr="00C6052E">
              <w:rPr>
                <w:lang w:val="en-AU"/>
              </w:rPr>
              <w:t>result</w:t>
            </w:r>
            <w:r w:rsidR="00177848" w:rsidRPr="00C6052E">
              <w:rPr>
                <w:lang w:val="en-AU"/>
              </w:rPr>
              <w:t xml:space="preserve"> </w:t>
            </w:r>
            <w:r w:rsidRPr="00C6052E">
              <w:rPr>
                <w:lang w:val="en-AU"/>
              </w:rPr>
              <w:t>of</w:t>
            </w:r>
            <w:proofErr w:type="gramEnd"/>
            <w:r w:rsidR="00177848" w:rsidRPr="00C6052E">
              <w:rPr>
                <w:lang w:val="en-AU"/>
              </w:rPr>
              <w:t xml:space="preserve"> </w:t>
            </w:r>
            <w:r w:rsidRPr="00C6052E">
              <w:rPr>
                <w:lang w:val="en-AU"/>
              </w:rPr>
              <w:t>participation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programs</w:t>
            </w:r>
          </w:p>
          <w:p w14:paraId="522362F3" w14:textId="7E86FE33" w:rsidR="00C17A57" w:rsidRPr="00C6052E" w:rsidRDefault="00C17A57" w:rsidP="00C17A57">
            <w:pPr>
              <w:pStyle w:val="Tablenotes-indented"/>
              <w:ind w:left="227" w:firstLine="0"/>
              <w:rPr>
                <w:lang w:val="en-AU"/>
              </w:rPr>
            </w:pPr>
            <w:r w:rsidRPr="00C6052E">
              <w:rPr>
                <w:lang w:val="en-AU"/>
              </w:rPr>
              <w:t>Higher result due to larger than anticipated exports achieved from long term trade activities and programs that were realised in 2024-25.</w:t>
            </w:r>
          </w:p>
        </w:tc>
        <w:tc>
          <w:tcPr>
            <w:tcW w:w="1020" w:type="dxa"/>
            <w:hideMark/>
          </w:tcPr>
          <w:p w14:paraId="3297DCEB" w14:textId="0812160B" w:rsidR="00EE5BB8" w:rsidRPr="00C6052E" w:rsidRDefault="00EE5BB8" w:rsidP="0063097D">
            <w:pPr>
              <w:pStyle w:val="TableCopy"/>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0702F8A5" w14:textId="77777777" w:rsidR="00EE5BB8" w:rsidRPr="00C6052E" w:rsidRDefault="00EE5BB8" w:rsidP="0063097D">
            <w:pPr>
              <w:pStyle w:val="TableCopy"/>
              <w:jc w:val="right"/>
              <w:rPr>
                <w:lang w:val="en-AU"/>
              </w:rPr>
            </w:pPr>
            <w:r w:rsidRPr="00C6052E">
              <w:rPr>
                <w:lang w:val="en-AU"/>
              </w:rPr>
              <w:t>101</w:t>
            </w:r>
          </w:p>
        </w:tc>
        <w:tc>
          <w:tcPr>
            <w:tcW w:w="1020" w:type="dxa"/>
            <w:noWrap/>
            <w:hideMark/>
          </w:tcPr>
          <w:p w14:paraId="18097A2E" w14:textId="77777777" w:rsidR="00EE5BB8" w:rsidRPr="00C6052E" w:rsidRDefault="00EE5BB8" w:rsidP="0063097D">
            <w:pPr>
              <w:pStyle w:val="TableCopy"/>
              <w:jc w:val="right"/>
              <w:rPr>
                <w:lang w:val="en-AU"/>
              </w:rPr>
            </w:pPr>
            <w:r w:rsidRPr="00C6052E">
              <w:rPr>
                <w:lang w:val="en-AU"/>
              </w:rPr>
              <w:t>35</w:t>
            </w:r>
          </w:p>
        </w:tc>
        <w:tc>
          <w:tcPr>
            <w:tcW w:w="1361" w:type="dxa"/>
            <w:noWrap/>
            <w:hideMark/>
          </w:tcPr>
          <w:p w14:paraId="3EA0FEF1" w14:textId="77777777" w:rsidR="00EE5BB8" w:rsidRPr="00C6052E" w:rsidRDefault="00EE5BB8" w:rsidP="0063097D">
            <w:pPr>
              <w:pStyle w:val="TableCopy"/>
              <w:jc w:val="right"/>
              <w:rPr>
                <w:lang w:val="en-AU"/>
              </w:rPr>
            </w:pPr>
            <w:r w:rsidRPr="00C6052E">
              <w:rPr>
                <w:lang w:val="en-AU"/>
              </w:rPr>
              <w:t>188.6%</w:t>
            </w:r>
          </w:p>
        </w:tc>
        <w:tc>
          <w:tcPr>
            <w:tcW w:w="795" w:type="dxa"/>
            <w:noWrap/>
            <w:hideMark/>
          </w:tcPr>
          <w:p w14:paraId="41614149" w14:textId="77777777" w:rsidR="00EE5BB8" w:rsidRPr="00C6052E" w:rsidRDefault="00EE5BB8" w:rsidP="0063097D">
            <w:pPr>
              <w:jc w:val="right"/>
              <w:rPr>
                <w:lang w:val="en-AU"/>
              </w:rPr>
            </w:pPr>
            <w:r w:rsidRPr="00C6052E">
              <w:rPr>
                <w:lang w:val="en-AU"/>
              </w:rPr>
              <w:t>1</w:t>
            </w:r>
          </w:p>
        </w:tc>
      </w:tr>
      <w:tr w:rsidR="00EE5BB8" w:rsidRPr="00C6052E" w14:paraId="225C8B53" w14:textId="77777777" w:rsidTr="0063097D">
        <w:tc>
          <w:tcPr>
            <w:tcW w:w="4531" w:type="dxa"/>
            <w:hideMark/>
          </w:tcPr>
          <w:p w14:paraId="06726F06" w14:textId="77777777" w:rsidR="00EE5BB8" w:rsidRDefault="00EE5BB8" w:rsidP="0063097D">
            <w:pPr>
              <w:pStyle w:val="TableCopy"/>
              <w:rPr>
                <w:lang w:val="en-AU"/>
              </w:rPr>
            </w:pPr>
            <w:r w:rsidRPr="00C6052E">
              <w:rPr>
                <w:lang w:val="en-AU"/>
              </w:rPr>
              <w:t>Economic</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service</w:t>
            </w:r>
            <w:r w:rsidR="00177848" w:rsidRPr="00C6052E">
              <w:rPr>
                <w:lang w:val="en-AU"/>
              </w:rPr>
              <w:t xml:space="preserve"> </w:t>
            </w:r>
            <w:r w:rsidRPr="00C6052E">
              <w:rPr>
                <w:lang w:val="en-AU"/>
              </w:rPr>
              <w:t>delivery</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supported</w:t>
            </w:r>
          </w:p>
          <w:p w14:paraId="11FE373A" w14:textId="76B0EEB8" w:rsidR="00C17A57" w:rsidRPr="00C6052E" w:rsidRDefault="00C17A57" w:rsidP="00C17A57">
            <w:pPr>
              <w:pStyle w:val="Tablenotes-indented"/>
              <w:ind w:left="227" w:firstLine="0"/>
              <w:rPr>
                <w:lang w:val="en-AU"/>
              </w:rPr>
            </w:pPr>
            <w:r w:rsidRPr="00C6052E">
              <w:rPr>
                <w:lang w:val="en-AU"/>
              </w:rPr>
              <w:t>Higher result due to new Federation Funding Agreement arrangements for the department to deliver projects, as well as a larger than anticipated number of Tiny Towns Fund projects being supported.</w:t>
            </w:r>
          </w:p>
        </w:tc>
        <w:tc>
          <w:tcPr>
            <w:tcW w:w="1020" w:type="dxa"/>
            <w:hideMark/>
          </w:tcPr>
          <w:p w14:paraId="60997952"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7AD0230A" w14:textId="77777777" w:rsidR="00EE5BB8" w:rsidRPr="00C6052E" w:rsidRDefault="00EE5BB8" w:rsidP="0063097D">
            <w:pPr>
              <w:pStyle w:val="TableCopy"/>
              <w:jc w:val="right"/>
              <w:rPr>
                <w:lang w:val="en-AU"/>
              </w:rPr>
            </w:pPr>
            <w:r w:rsidRPr="00C6052E">
              <w:rPr>
                <w:lang w:val="en-AU"/>
              </w:rPr>
              <w:t>262</w:t>
            </w:r>
          </w:p>
        </w:tc>
        <w:tc>
          <w:tcPr>
            <w:tcW w:w="1020" w:type="dxa"/>
            <w:noWrap/>
            <w:hideMark/>
          </w:tcPr>
          <w:p w14:paraId="1DDD3830" w14:textId="77777777" w:rsidR="00EE5BB8" w:rsidRPr="00C6052E" w:rsidRDefault="00EE5BB8" w:rsidP="0063097D">
            <w:pPr>
              <w:pStyle w:val="TableCopy"/>
              <w:jc w:val="right"/>
              <w:rPr>
                <w:lang w:val="en-AU"/>
              </w:rPr>
            </w:pPr>
            <w:r w:rsidRPr="00C6052E">
              <w:rPr>
                <w:lang w:val="en-AU"/>
              </w:rPr>
              <w:t>120</w:t>
            </w:r>
          </w:p>
        </w:tc>
        <w:tc>
          <w:tcPr>
            <w:tcW w:w="1361" w:type="dxa"/>
            <w:noWrap/>
            <w:hideMark/>
          </w:tcPr>
          <w:p w14:paraId="4AC13F29" w14:textId="77777777" w:rsidR="00EE5BB8" w:rsidRPr="00C6052E" w:rsidRDefault="00EE5BB8" w:rsidP="0063097D">
            <w:pPr>
              <w:pStyle w:val="TableCopy"/>
              <w:jc w:val="right"/>
              <w:rPr>
                <w:lang w:val="en-AU"/>
              </w:rPr>
            </w:pPr>
            <w:r w:rsidRPr="00C6052E">
              <w:rPr>
                <w:lang w:val="en-AU"/>
              </w:rPr>
              <w:t>118.3%</w:t>
            </w:r>
          </w:p>
        </w:tc>
        <w:tc>
          <w:tcPr>
            <w:tcW w:w="795" w:type="dxa"/>
            <w:noWrap/>
            <w:hideMark/>
          </w:tcPr>
          <w:p w14:paraId="72A0EACC" w14:textId="77777777" w:rsidR="00EE5BB8" w:rsidRPr="00C6052E" w:rsidRDefault="00EE5BB8" w:rsidP="0063097D">
            <w:pPr>
              <w:jc w:val="right"/>
              <w:rPr>
                <w:lang w:val="en-AU"/>
              </w:rPr>
            </w:pPr>
            <w:r w:rsidRPr="00C6052E">
              <w:rPr>
                <w:lang w:val="en-AU"/>
              </w:rPr>
              <w:t>1</w:t>
            </w:r>
          </w:p>
        </w:tc>
      </w:tr>
      <w:tr w:rsidR="00EE5BB8" w:rsidRPr="00C6052E" w14:paraId="10405825" w14:textId="77777777" w:rsidTr="0063097D">
        <w:tc>
          <w:tcPr>
            <w:tcW w:w="4531" w:type="dxa"/>
            <w:hideMark/>
          </w:tcPr>
          <w:p w14:paraId="5E22A701" w14:textId="77777777" w:rsidR="00EE5BB8" w:rsidRDefault="00EE5BB8" w:rsidP="0063097D">
            <w:pPr>
              <w:pStyle w:val="TableCopy"/>
              <w:rPr>
                <w:lang w:val="en-AU"/>
              </w:rPr>
            </w:pPr>
            <w:r w:rsidRPr="00C6052E">
              <w:rPr>
                <w:lang w:val="en-AU"/>
              </w:rPr>
              <w:t>Jobs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resulting</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p>
          <w:p w14:paraId="46BB7FEC" w14:textId="7B59DC4A" w:rsidR="00C17A57" w:rsidRPr="00C6052E" w:rsidRDefault="00C17A57" w:rsidP="00C17A57">
            <w:pPr>
              <w:pStyle w:val="Tablenotes-indented"/>
              <w:ind w:left="227" w:firstLine="0"/>
              <w:rPr>
                <w:lang w:val="en-AU"/>
              </w:rPr>
            </w:pPr>
            <w:r w:rsidRPr="00C6052E">
              <w:rPr>
                <w:lang w:val="en-AU"/>
              </w:rPr>
              <w:t xml:space="preserve">Higher result due to a larger than anticipated number of jobs created in regional Victoria through programs and facilitation across the department, including </w:t>
            </w:r>
            <w:proofErr w:type="gramStart"/>
            <w:r w:rsidRPr="00C6052E">
              <w:rPr>
                <w:lang w:val="en-AU"/>
              </w:rPr>
              <w:t>a number of</w:t>
            </w:r>
            <w:proofErr w:type="gramEnd"/>
            <w:r w:rsidRPr="00C6052E">
              <w:rPr>
                <w:lang w:val="en-AU"/>
              </w:rPr>
              <w:t xml:space="preserve"> long-term projects.</w:t>
            </w:r>
          </w:p>
        </w:tc>
        <w:tc>
          <w:tcPr>
            <w:tcW w:w="1020" w:type="dxa"/>
            <w:hideMark/>
          </w:tcPr>
          <w:p w14:paraId="22274C7D"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58AE2EDA" w14:textId="77777777" w:rsidR="00EE5BB8" w:rsidRPr="00C6052E" w:rsidRDefault="00EE5BB8" w:rsidP="0063097D">
            <w:pPr>
              <w:pStyle w:val="TableCopy"/>
              <w:jc w:val="right"/>
              <w:rPr>
                <w:lang w:val="en-AU"/>
              </w:rPr>
            </w:pPr>
            <w:r w:rsidRPr="00C6052E">
              <w:rPr>
                <w:lang w:val="en-AU"/>
              </w:rPr>
              <w:t>428</w:t>
            </w:r>
          </w:p>
        </w:tc>
        <w:tc>
          <w:tcPr>
            <w:tcW w:w="1020" w:type="dxa"/>
            <w:noWrap/>
            <w:hideMark/>
          </w:tcPr>
          <w:p w14:paraId="2D483A10" w14:textId="77777777" w:rsidR="00EE5BB8" w:rsidRPr="00C6052E" w:rsidRDefault="00EE5BB8" w:rsidP="0063097D">
            <w:pPr>
              <w:pStyle w:val="TableCopy"/>
              <w:jc w:val="right"/>
              <w:rPr>
                <w:lang w:val="en-AU"/>
              </w:rPr>
            </w:pPr>
            <w:r w:rsidRPr="00C6052E">
              <w:rPr>
                <w:lang w:val="en-AU"/>
              </w:rPr>
              <w:t>250</w:t>
            </w:r>
          </w:p>
        </w:tc>
        <w:tc>
          <w:tcPr>
            <w:tcW w:w="1361" w:type="dxa"/>
            <w:noWrap/>
            <w:hideMark/>
          </w:tcPr>
          <w:p w14:paraId="46E83B9F" w14:textId="77777777" w:rsidR="00EE5BB8" w:rsidRPr="00C6052E" w:rsidRDefault="00EE5BB8" w:rsidP="0063097D">
            <w:pPr>
              <w:pStyle w:val="TableCopy"/>
              <w:jc w:val="right"/>
              <w:rPr>
                <w:lang w:val="en-AU"/>
              </w:rPr>
            </w:pPr>
            <w:r w:rsidRPr="00C6052E">
              <w:rPr>
                <w:lang w:val="en-AU"/>
              </w:rPr>
              <w:t>71.2%</w:t>
            </w:r>
          </w:p>
        </w:tc>
        <w:tc>
          <w:tcPr>
            <w:tcW w:w="795" w:type="dxa"/>
            <w:noWrap/>
            <w:hideMark/>
          </w:tcPr>
          <w:p w14:paraId="56442B5C" w14:textId="77777777" w:rsidR="00EE5BB8" w:rsidRPr="00C6052E" w:rsidRDefault="00EE5BB8" w:rsidP="0063097D">
            <w:pPr>
              <w:jc w:val="right"/>
              <w:rPr>
                <w:lang w:val="en-AU"/>
              </w:rPr>
            </w:pPr>
            <w:r w:rsidRPr="00C6052E">
              <w:rPr>
                <w:lang w:val="en-AU"/>
              </w:rPr>
              <w:t>1</w:t>
            </w:r>
          </w:p>
        </w:tc>
      </w:tr>
      <w:tr w:rsidR="00EE5BB8" w:rsidRPr="00C6052E" w14:paraId="508043F1" w14:textId="77777777" w:rsidTr="0063097D">
        <w:tc>
          <w:tcPr>
            <w:tcW w:w="4531" w:type="dxa"/>
            <w:hideMark/>
          </w:tcPr>
          <w:p w14:paraId="5942EB30" w14:textId="77777777" w:rsidR="00EE5BB8" w:rsidRDefault="00EE5BB8" w:rsidP="00445EF8">
            <w:pPr>
              <w:pStyle w:val="TableCopy"/>
              <w:keepNext/>
              <w:rPr>
                <w:lang w:val="en-AU"/>
              </w:rPr>
            </w:pPr>
            <w:r w:rsidRPr="00C6052E">
              <w:rPr>
                <w:lang w:val="en-AU"/>
              </w:rPr>
              <w:lastRenderedPageBreak/>
              <w:t>New</w:t>
            </w:r>
            <w:r w:rsidR="00177848" w:rsidRPr="00C6052E">
              <w:rPr>
                <w:lang w:val="en-AU"/>
              </w:rPr>
              <w:t xml:space="preserve"> </w:t>
            </w:r>
            <w:r w:rsidRPr="00C6052E">
              <w:rPr>
                <w:lang w:val="en-AU"/>
              </w:rPr>
              <w:t>investment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resulting</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facilitation</w:t>
            </w:r>
            <w:r w:rsidR="00177848" w:rsidRPr="00C6052E">
              <w:rPr>
                <w:lang w:val="en-AU"/>
              </w:rPr>
              <w:t xml:space="preserve"> </w:t>
            </w:r>
            <w:r w:rsidRPr="00C6052E">
              <w:rPr>
                <w:lang w:val="en-AU"/>
              </w:rPr>
              <w:t>services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assistance</w:t>
            </w:r>
          </w:p>
          <w:p w14:paraId="5055E1BD" w14:textId="6EBF1200" w:rsidR="00C17A57" w:rsidRPr="00C6052E" w:rsidRDefault="00C17A57" w:rsidP="00C17A57">
            <w:pPr>
              <w:pStyle w:val="Tablenotes-indented"/>
              <w:ind w:left="227" w:firstLine="0"/>
              <w:rPr>
                <w:lang w:val="en-AU"/>
              </w:rPr>
            </w:pPr>
            <w:r w:rsidRPr="00C6052E">
              <w:rPr>
                <w:lang w:val="en-AU"/>
              </w:rPr>
              <w:t xml:space="preserve">Higher result due to larger than anticipated capital investment in regional Victoria through programs and facilitation across the department, including </w:t>
            </w:r>
            <w:proofErr w:type="gramStart"/>
            <w:r w:rsidRPr="00C6052E">
              <w:rPr>
                <w:lang w:val="en-AU"/>
              </w:rPr>
              <w:t>a number of</w:t>
            </w:r>
            <w:proofErr w:type="gramEnd"/>
            <w:r w:rsidRPr="00C6052E">
              <w:rPr>
                <w:lang w:val="en-AU"/>
              </w:rPr>
              <w:t xml:space="preserve"> long-term projects.</w:t>
            </w:r>
          </w:p>
        </w:tc>
        <w:tc>
          <w:tcPr>
            <w:tcW w:w="1020" w:type="dxa"/>
            <w:hideMark/>
          </w:tcPr>
          <w:p w14:paraId="09C1FB7C" w14:textId="614C70BF" w:rsidR="00EE5BB8" w:rsidRPr="00C6052E" w:rsidRDefault="00EE5BB8" w:rsidP="00445EF8">
            <w:pPr>
              <w:pStyle w:val="TableCopy"/>
              <w:keepNext/>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71D98622" w14:textId="77777777" w:rsidR="00EE5BB8" w:rsidRPr="00C6052E" w:rsidRDefault="00EE5BB8" w:rsidP="00445EF8">
            <w:pPr>
              <w:pStyle w:val="TableCopy"/>
              <w:keepNext/>
              <w:jc w:val="right"/>
              <w:rPr>
                <w:lang w:val="en-AU"/>
              </w:rPr>
            </w:pPr>
            <w:r w:rsidRPr="00C6052E">
              <w:rPr>
                <w:lang w:val="en-AU"/>
              </w:rPr>
              <w:t>403</w:t>
            </w:r>
          </w:p>
        </w:tc>
        <w:tc>
          <w:tcPr>
            <w:tcW w:w="1020" w:type="dxa"/>
            <w:noWrap/>
            <w:hideMark/>
          </w:tcPr>
          <w:p w14:paraId="40FBA822" w14:textId="77777777" w:rsidR="00EE5BB8" w:rsidRPr="00C6052E" w:rsidRDefault="00EE5BB8" w:rsidP="00445EF8">
            <w:pPr>
              <w:pStyle w:val="TableCopy"/>
              <w:keepNext/>
              <w:jc w:val="right"/>
              <w:rPr>
                <w:lang w:val="en-AU"/>
              </w:rPr>
            </w:pPr>
            <w:r w:rsidRPr="00C6052E">
              <w:rPr>
                <w:lang w:val="en-AU"/>
              </w:rPr>
              <w:t>250</w:t>
            </w:r>
          </w:p>
        </w:tc>
        <w:tc>
          <w:tcPr>
            <w:tcW w:w="1361" w:type="dxa"/>
            <w:noWrap/>
            <w:hideMark/>
          </w:tcPr>
          <w:p w14:paraId="116DFBD8" w14:textId="77777777" w:rsidR="00EE5BB8" w:rsidRPr="00C6052E" w:rsidRDefault="00EE5BB8" w:rsidP="00445EF8">
            <w:pPr>
              <w:pStyle w:val="TableCopy"/>
              <w:keepNext/>
              <w:jc w:val="right"/>
              <w:rPr>
                <w:lang w:val="en-AU"/>
              </w:rPr>
            </w:pPr>
            <w:r w:rsidRPr="00C6052E">
              <w:rPr>
                <w:lang w:val="en-AU"/>
              </w:rPr>
              <w:t>61.2%</w:t>
            </w:r>
          </w:p>
        </w:tc>
        <w:tc>
          <w:tcPr>
            <w:tcW w:w="795" w:type="dxa"/>
            <w:noWrap/>
            <w:hideMark/>
          </w:tcPr>
          <w:p w14:paraId="436338A1" w14:textId="77777777" w:rsidR="00EE5BB8" w:rsidRPr="00C6052E" w:rsidRDefault="00EE5BB8" w:rsidP="00445EF8">
            <w:pPr>
              <w:keepNext/>
              <w:jc w:val="right"/>
              <w:rPr>
                <w:lang w:val="en-AU"/>
              </w:rPr>
            </w:pPr>
            <w:r w:rsidRPr="00C6052E">
              <w:rPr>
                <w:lang w:val="en-AU"/>
              </w:rPr>
              <w:t>1</w:t>
            </w:r>
          </w:p>
        </w:tc>
      </w:tr>
      <w:tr w:rsidR="00EE5BB8" w:rsidRPr="00C6052E" w14:paraId="11DE5C9E" w14:textId="77777777" w:rsidTr="0063097D">
        <w:tc>
          <w:tcPr>
            <w:tcW w:w="4531" w:type="dxa"/>
          </w:tcPr>
          <w:p w14:paraId="5D096245" w14:textId="77777777" w:rsidR="00EE5BB8" w:rsidRPr="00C6052E" w:rsidRDefault="00EE5BB8" w:rsidP="0063097D">
            <w:pPr>
              <w:pStyle w:val="TableHeading"/>
              <w:rPr>
                <w:lang w:val="en-AU"/>
              </w:rPr>
            </w:pPr>
            <w:r w:rsidRPr="00C6052E">
              <w:rPr>
                <w:lang w:val="en-AU"/>
              </w:rPr>
              <w:t>Quality</w:t>
            </w:r>
          </w:p>
        </w:tc>
        <w:tc>
          <w:tcPr>
            <w:tcW w:w="1020" w:type="dxa"/>
          </w:tcPr>
          <w:p w14:paraId="4C0BE3C8" w14:textId="77777777" w:rsidR="00EE5BB8" w:rsidRPr="00C6052E" w:rsidRDefault="00EE5BB8" w:rsidP="0063097D">
            <w:pPr>
              <w:pStyle w:val="TableHeading"/>
              <w:jc w:val="right"/>
              <w:rPr>
                <w:lang w:val="en-AU"/>
              </w:rPr>
            </w:pPr>
          </w:p>
        </w:tc>
        <w:tc>
          <w:tcPr>
            <w:tcW w:w="1020" w:type="dxa"/>
            <w:noWrap/>
          </w:tcPr>
          <w:p w14:paraId="7F2E4D03" w14:textId="77777777" w:rsidR="00EE5BB8" w:rsidRPr="00C6052E" w:rsidRDefault="00EE5BB8" w:rsidP="0063097D">
            <w:pPr>
              <w:pStyle w:val="TableHeading"/>
              <w:jc w:val="right"/>
              <w:rPr>
                <w:lang w:val="en-AU"/>
              </w:rPr>
            </w:pPr>
          </w:p>
        </w:tc>
        <w:tc>
          <w:tcPr>
            <w:tcW w:w="1020" w:type="dxa"/>
            <w:noWrap/>
          </w:tcPr>
          <w:p w14:paraId="2E4D78BB" w14:textId="77777777" w:rsidR="00EE5BB8" w:rsidRPr="00C6052E" w:rsidRDefault="00EE5BB8" w:rsidP="0063097D">
            <w:pPr>
              <w:pStyle w:val="TableHeading"/>
              <w:jc w:val="right"/>
              <w:rPr>
                <w:lang w:val="en-AU"/>
              </w:rPr>
            </w:pPr>
          </w:p>
        </w:tc>
        <w:tc>
          <w:tcPr>
            <w:tcW w:w="1361" w:type="dxa"/>
            <w:noWrap/>
          </w:tcPr>
          <w:p w14:paraId="6D1D7586" w14:textId="77777777" w:rsidR="00EE5BB8" w:rsidRPr="00C6052E" w:rsidRDefault="00EE5BB8" w:rsidP="0063097D">
            <w:pPr>
              <w:pStyle w:val="TableHeading"/>
              <w:jc w:val="right"/>
              <w:rPr>
                <w:lang w:val="en-AU"/>
              </w:rPr>
            </w:pPr>
          </w:p>
        </w:tc>
        <w:tc>
          <w:tcPr>
            <w:tcW w:w="795" w:type="dxa"/>
            <w:noWrap/>
          </w:tcPr>
          <w:p w14:paraId="1E327C7C" w14:textId="77777777" w:rsidR="00EE5BB8" w:rsidRPr="00C6052E" w:rsidRDefault="00EE5BB8" w:rsidP="0063097D">
            <w:pPr>
              <w:pStyle w:val="TableHeading"/>
              <w:jc w:val="right"/>
              <w:rPr>
                <w:rStyle w:val="Wingdings"/>
                <w:rFonts w:hint="eastAsia"/>
                <w:lang w:val="en-AU"/>
              </w:rPr>
            </w:pPr>
          </w:p>
        </w:tc>
      </w:tr>
      <w:tr w:rsidR="00EE5BB8" w:rsidRPr="00C6052E" w14:paraId="50DF6A18" w14:textId="77777777" w:rsidTr="0063097D">
        <w:tc>
          <w:tcPr>
            <w:tcW w:w="4531" w:type="dxa"/>
            <w:hideMark/>
          </w:tcPr>
          <w:p w14:paraId="4C4E1EF8" w14:textId="77777777" w:rsidR="00EE5BB8" w:rsidRDefault="00EE5BB8" w:rsidP="0063097D">
            <w:pPr>
              <w:pStyle w:val="TableCopy"/>
              <w:rPr>
                <w:lang w:val="en-AU"/>
              </w:rPr>
            </w:pPr>
            <w:r w:rsidRPr="00C6052E">
              <w:rPr>
                <w:lang w:val="en-AU"/>
              </w:rPr>
              <w:t>Participant</w:t>
            </w:r>
            <w:r w:rsidR="00177848" w:rsidRPr="00C6052E">
              <w:rPr>
                <w:lang w:val="en-AU"/>
              </w:rPr>
              <w:t xml:space="preserve"> </w:t>
            </w:r>
            <w:r w:rsidRPr="00C6052E">
              <w:rPr>
                <w:lang w:val="en-AU"/>
              </w:rPr>
              <w:t>satisfaction</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implementation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programs</w:t>
            </w:r>
          </w:p>
          <w:p w14:paraId="1A93DC63" w14:textId="5EEDDC08" w:rsidR="00C17A57" w:rsidRPr="00C6052E" w:rsidRDefault="00C17A57" w:rsidP="00C17A57">
            <w:pPr>
              <w:pStyle w:val="Tablenotes-indented"/>
              <w:ind w:left="227" w:firstLine="0"/>
              <w:rPr>
                <w:lang w:val="en-AU"/>
              </w:rPr>
            </w:pPr>
            <w:r w:rsidRPr="00C6052E">
              <w:rPr>
                <w:lang w:val="en-AU"/>
              </w:rPr>
              <w:t>Higher result reflects grant recipients reporting satisfaction with program accessibility, clarity and support with applications.</w:t>
            </w:r>
          </w:p>
        </w:tc>
        <w:tc>
          <w:tcPr>
            <w:tcW w:w="1020" w:type="dxa"/>
            <w:hideMark/>
          </w:tcPr>
          <w:p w14:paraId="357A8447" w14:textId="1A4100FF"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831681E" w14:textId="77777777" w:rsidR="00EE5BB8" w:rsidRPr="00C6052E" w:rsidRDefault="00EE5BB8" w:rsidP="0063097D">
            <w:pPr>
              <w:pStyle w:val="TableCopy"/>
              <w:jc w:val="right"/>
              <w:rPr>
                <w:lang w:val="en-AU"/>
              </w:rPr>
            </w:pPr>
            <w:r w:rsidRPr="00C6052E">
              <w:rPr>
                <w:lang w:val="en-AU"/>
              </w:rPr>
              <w:t>98</w:t>
            </w:r>
          </w:p>
        </w:tc>
        <w:tc>
          <w:tcPr>
            <w:tcW w:w="1020" w:type="dxa"/>
            <w:noWrap/>
            <w:hideMark/>
          </w:tcPr>
          <w:p w14:paraId="5A7415F2" w14:textId="77777777" w:rsidR="00EE5BB8" w:rsidRPr="00C6052E" w:rsidRDefault="00EE5BB8" w:rsidP="0063097D">
            <w:pPr>
              <w:pStyle w:val="TableCopy"/>
              <w:jc w:val="right"/>
              <w:rPr>
                <w:lang w:val="en-AU"/>
              </w:rPr>
            </w:pPr>
            <w:r w:rsidRPr="00C6052E">
              <w:rPr>
                <w:lang w:val="en-AU"/>
              </w:rPr>
              <w:t>90</w:t>
            </w:r>
          </w:p>
        </w:tc>
        <w:tc>
          <w:tcPr>
            <w:tcW w:w="1361" w:type="dxa"/>
            <w:noWrap/>
            <w:hideMark/>
          </w:tcPr>
          <w:p w14:paraId="327AD6F5" w14:textId="77777777" w:rsidR="00EE5BB8" w:rsidRPr="00C6052E" w:rsidRDefault="00EE5BB8" w:rsidP="0063097D">
            <w:pPr>
              <w:pStyle w:val="TableCopy"/>
              <w:jc w:val="right"/>
              <w:rPr>
                <w:lang w:val="en-AU"/>
              </w:rPr>
            </w:pPr>
            <w:r w:rsidRPr="00C6052E">
              <w:rPr>
                <w:lang w:val="en-AU"/>
              </w:rPr>
              <w:t>8.9%</w:t>
            </w:r>
          </w:p>
        </w:tc>
        <w:tc>
          <w:tcPr>
            <w:tcW w:w="795" w:type="dxa"/>
            <w:noWrap/>
            <w:hideMark/>
          </w:tcPr>
          <w:p w14:paraId="2D953A04" w14:textId="77777777" w:rsidR="00EE5BB8" w:rsidRPr="00C6052E" w:rsidRDefault="00EE5BB8" w:rsidP="0063097D">
            <w:pPr>
              <w:jc w:val="right"/>
              <w:rPr>
                <w:lang w:val="en-AU"/>
              </w:rPr>
            </w:pPr>
            <w:r w:rsidRPr="00C6052E">
              <w:rPr>
                <w:lang w:val="en-AU"/>
              </w:rPr>
              <w:t>1</w:t>
            </w:r>
          </w:p>
        </w:tc>
      </w:tr>
      <w:tr w:rsidR="00EE5BB8" w:rsidRPr="00C6052E" w14:paraId="09FED158" w14:textId="77777777" w:rsidTr="0063097D">
        <w:tc>
          <w:tcPr>
            <w:tcW w:w="4531" w:type="dxa"/>
          </w:tcPr>
          <w:p w14:paraId="436E07FB" w14:textId="77777777" w:rsidR="00EE5BB8" w:rsidRPr="00C6052E" w:rsidRDefault="00EE5BB8" w:rsidP="0063097D">
            <w:pPr>
              <w:pStyle w:val="TableHeading"/>
              <w:rPr>
                <w:lang w:val="en-AU"/>
              </w:rPr>
            </w:pPr>
            <w:r w:rsidRPr="00C6052E">
              <w:rPr>
                <w:lang w:val="en-AU"/>
              </w:rPr>
              <w:t>Cost</w:t>
            </w:r>
          </w:p>
        </w:tc>
        <w:tc>
          <w:tcPr>
            <w:tcW w:w="1020" w:type="dxa"/>
          </w:tcPr>
          <w:p w14:paraId="6F3501B8" w14:textId="77777777" w:rsidR="00EE5BB8" w:rsidRPr="00C6052E" w:rsidRDefault="00EE5BB8" w:rsidP="0063097D">
            <w:pPr>
              <w:pStyle w:val="TableHeading"/>
              <w:jc w:val="right"/>
              <w:rPr>
                <w:lang w:val="en-AU"/>
              </w:rPr>
            </w:pPr>
          </w:p>
        </w:tc>
        <w:tc>
          <w:tcPr>
            <w:tcW w:w="1020" w:type="dxa"/>
            <w:noWrap/>
          </w:tcPr>
          <w:p w14:paraId="5F8FF25E" w14:textId="77777777" w:rsidR="00EE5BB8" w:rsidRPr="00C6052E" w:rsidRDefault="00EE5BB8" w:rsidP="0063097D">
            <w:pPr>
              <w:pStyle w:val="TableHeading"/>
              <w:jc w:val="right"/>
              <w:rPr>
                <w:lang w:val="en-AU"/>
              </w:rPr>
            </w:pPr>
          </w:p>
        </w:tc>
        <w:tc>
          <w:tcPr>
            <w:tcW w:w="1020" w:type="dxa"/>
            <w:noWrap/>
          </w:tcPr>
          <w:p w14:paraId="3051EA2C" w14:textId="77777777" w:rsidR="00EE5BB8" w:rsidRPr="00C6052E" w:rsidRDefault="00EE5BB8" w:rsidP="0063097D">
            <w:pPr>
              <w:pStyle w:val="TableHeading"/>
              <w:jc w:val="right"/>
              <w:rPr>
                <w:lang w:val="en-AU"/>
              </w:rPr>
            </w:pPr>
          </w:p>
        </w:tc>
        <w:tc>
          <w:tcPr>
            <w:tcW w:w="1361" w:type="dxa"/>
            <w:noWrap/>
          </w:tcPr>
          <w:p w14:paraId="519174A6" w14:textId="77777777" w:rsidR="00EE5BB8" w:rsidRPr="00C6052E" w:rsidRDefault="00EE5BB8" w:rsidP="0063097D">
            <w:pPr>
              <w:pStyle w:val="TableHeading"/>
              <w:jc w:val="right"/>
              <w:rPr>
                <w:lang w:val="en-AU"/>
              </w:rPr>
            </w:pPr>
          </w:p>
        </w:tc>
        <w:tc>
          <w:tcPr>
            <w:tcW w:w="795" w:type="dxa"/>
            <w:noWrap/>
          </w:tcPr>
          <w:p w14:paraId="5434D5E7" w14:textId="77777777" w:rsidR="00EE5BB8" w:rsidRPr="00C6052E" w:rsidRDefault="00EE5BB8" w:rsidP="009952C1">
            <w:pPr>
              <w:pStyle w:val="TableHeading"/>
              <w:rPr>
                <w:lang w:val="en-AU"/>
              </w:rPr>
            </w:pPr>
          </w:p>
        </w:tc>
      </w:tr>
      <w:tr w:rsidR="00EE5BB8" w:rsidRPr="00C6052E" w14:paraId="3CAED3CE" w14:textId="77777777" w:rsidTr="0063097D">
        <w:trPr>
          <w:cantSplit/>
        </w:trPr>
        <w:tc>
          <w:tcPr>
            <w:tcW w:w="4531" w:type="dxa"/>
            <w:hideMark/>
          </w:tcPr>
          <w:p w14:paraId="517DD7EA" w14:textId="77777777" w:rsidR="00EE5BB8"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p w14:paraId="0FB1C8F4" w14:textId="585CA432" w:rsidR="00C17A57" w:rsidRPr="00C6052E" w:rsidRDefault="00C17A57" w:rsidP="00C17A57">
            <w:pPr>
              <w:pStyle w:val="Tablenotes-indented"/>
              <w:ind w:left="227" w:firstLine="0"/>
              <w:rPr>
                <w:lang w:val="en-AU"/>
              </w:rPr>
            </w:pPr>
            <w:r w:rsidRPr="00C6052E">
              <w:rPr>
                <w:lang w:val="en-AU"/>
              </w:rPr>
              <w:t>The 2024-25 result is lower than the 2024-25 budget mainly due to the timing of payments for the Regional Economic Development and Participation Package and the Geelong City Deal, with milestone payments now expected to be made in future years.</w:t>
            </w:r>
          </w:p>
        </w:tc>
        <w:tc>
          <w:tcPr>
            <w:tcW w:w="1020" w:type="dxa"/>
            <w:hideMark/>
          </w:tcPr>
          <w:p w14:paraId="32770405" w14:textId="218F01F7" w:rsidR="00EE5BB8" w:rsidRPr="00C6052E" w:rsidRDefault="00EE5BB8" w:rsidP="00B53837">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1AE20351" w14:textId="0C0D8781" w:rsidR="00EE5BB8" w:rsidRPr="00C6052E" w:rsidRDefault="00EE5BB8" w:rsidP="00B53837">
            <w:pPr>
              <w:pStyle w:val="Tabletotal"/>
              <w:jc w:val="right"/>
              <w:rPr>
                <w:lang w:val="en-AU"/>
              </w:rPr>
            </w:pPr>
            <w:r w:rsidRPr="00C6052E">
              <w:rPr>
                <w:lang w:val="en-AU"/>
              </w:rPr>
              <w:t>188.2</w:t>
            </w:r>
            <w:r w:rsidR="00177848" w:rsidRPr="00C6052E">
              <w:rPr>
                <w:lang w:val="en-AU"/>
              </w:rPr>
              <w:t xml:space="preserve"> </w:t>
            </w:r>
          </w:p>
        </w:tc>
        <w:tc>
          <w:tcPr>
            <w:tcW w:w="1020" w:type="dxa"/>
            <w:noWrap/>
            <w:hideMark/>
          </w:tcPr>
          <w:p w14:paraId="6BA6098C" w14:textId="628D29E8" w:rsidR="00EE5BB8" w:rsidRPr="00C6052E" w:rsidRDefault="00EE5BB8" w:rsidP="00B53837">
            <w:pPr>
              <w:pStyle w:val="Tabletotal"/>
              <w:jc w:val="right"/>
              <w:rPr>
                <w:lang w:val="en-AU"/>
              </w:rPr>
            </w:pPr>
            <w:r w:rsidRPr="00C6052E">
              <w:rPr>
                <w:lang w:val="en-AU"/>
              </w:rPr>
              <w:t>296.7</w:t>
            </w:r>
            <w:r w:rsidR="00177848" w:rsidRPr="00C6052E">
              <w:rPr>
                <w:lang w:val="en-AU"/>
              </w:rPr>
              <w:t xml:space="preserve"> </w:t>
            </w:r>
          </w:p>
        </w:tc>
        <w:tc>
          <w:tcPr>
            <w:tcW w:w="1361" w:type="dxa"/>
            <w:noWrap/>
            <w:hideMark/>
          </w:tcPr>
          <w:p w14:paraId="5BC938DE" w14:textId="77777777" w:rsidR="00EE5BB8" w:rsidRPr="00C6052E" w:rsidRDefault="00EE5BB8" w:rsidP="00B53837">
            <w:pPr>
              <w:pStyle w:val="Tabletotal"/>
              <w:jc w:val="right"/>
              <w:rPr>
                <w:lang w:val="en-AU"/>
              </w:rPr>
            </w:pPr>
            <w:r w:rsidRPr="00C6052E">
              <w:rPr>
                <w:lang w:val="en-AU"/>
              </w:rPr>
              <w:t>-36.6%</w:t>
            </w:r>
          </w:p>
        </w:tc>
        <w:tc>
          <w:tcPr>
            <w:tcW w:w="795" w:type="dxa"/>
            <w:noWrap/>
            <w:hideMark/>
          </w:tcPr>
          <w:p w14:paraId="519783F9" w14:textId="77777777" w:rsidR="00EE5BB8" w:rsidRPr="00C6052E" w:rsidRDefault="00EE5BB8" w:rsidP="00B53837">
            <w:pPr>
              <w:pStyle w:val="Tabletotal"/>
              <w:jc w:val="right"/>
              <w:rPr>
                <w:lang w:val="en-AU"/>
              </w:rPr>
            </w:pPr>
            <w:r w:rsidRPr="00C6052E">
              <w:rPr>
                <w:lang w:val="en-AU"/>
              </w:rPr>
              <w:t>1</w:t>
            </w:r>
          </w:p>
        </w:tc>
      </w:tr>
    </w:tbl>
    <w:p w14:paraId="74182D48" w14:textId="4B2859D0" w:rsidR="00EE5BB8" w:rsidRPr="00C6052E" w:rsidRDefault="00EE5BB8" w:rsidP="00EE5BB8">
      <w:pPr>
        <w:pStyle w:val="Tablenotes"/>
        <w:spacing w:after="240"/>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5E8E2036" w14:textId="537EE39C" w:rsidR="00EE5BB8" w:rsidRPr="00C6052E" w:rsidRDefault="00EE5BB8" w:rsidP="00EE5BB8">
      <w:pPr>
        <w:pStyle w:val="Heading3"/>
      </w:pPr>
      <w:bookmarkStart w:id="31" w:name="_Toc152067227"/>
      <w:r w:rsidRPr="00C6052E">
        <w:t>Objective</w:t>
      </w:r>
      <w:r w:rsidR="00177848" w:rsidRPr="00C6052E">
        <w:t xml:space="preserve"> </w:t>
      </w:r>
      <w:r w:rsidRPr="00C6052E">
        <w:t>5:</w:t>
      </w:r>
      <w:r w:rsidR="00177848" w:rsidRPr="00C6052E">
        <w:t xml:space="preserve"> </w:t>
      </w:r>
      <w:r w:rsidRPr="00C6052E">
        <w:t>Grow</w:t>
      </w:r>
      <w:r w:rsidR="00177848" w:rsidRPr="00C6052E">
        <w:t xml:space="preserve"> </w:t>
      </w:r>
      <w:r w:rsidRPr="00C6052E">
        <w:t>vibrant,</w:t>
      </w:r>
      <w:r w:rsidR="00177848" w:rsidRPr="00C6052E">
        <w:t xml:space="preserve"> </w:t>
      </w:r>
      <w:r w:rsidRPr="00C6052E">
        <w:t>active</w:t>
      </w:r>
      <w:r w:rsidR="00177848" w:rsidRPr="00C6052E">
        <w:t xml:space="preserve"> </w:t>
      </w:r>
      <w:r w:rsidRPr="00C6052E">
        <w:t>and</w:t>
      </w:r>
      <w:r w:rsidR="00177848" w:rsidRPr="00C6052E">
        <w:t xml:space="preserve"> </w:t>
      </w:r>
      <w:r w:rsidRPr="00C6052E">
        <w:t>creative</w:t>
      </w:r>
      <w:r w:rsidR="00177848" w:rsidRPr="00C6052E">
        <w:t xml:space="preserve"> </w:t>
      </w:r>
      <w:r w:rsidRPr="00C6052E">
        <w:t>communities</w:t>
      </w:r>
      <w:bookmarkEnd w:id="31"/>
    </w:p>
    <w:p w14:paraId="0D76A53E" w14:textId="575AAD7D"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increase</w:t>
      </w:r>
      <w:r w:rsidR="00177848" w:rsidRPr="00C6052E">
        <w:t xml:space="preserve"> </w:t>
      </w:r>
      <w:r w:rsidRPr="00C6052E">
        <w:t>the</w:t>
      </w:r>
      <w:r w:rsidR="00177848" w:rsidRPr="00C6052E">
        <w:t xml:space="preserve"> </w:t>
      </w:r>
      <w:r w:rsidRPr="00C6052E">
        <w:t>economic,</w:t>
      </w:r>
      <w:r w:rsidR="00177848" w:rsidRPr="00C6052E">
        <w:t xml:space="preserve"> </w:t>
      </w:r>
      <w:r w:rsidRPr="00C6052E">
        <w:t>social</w:t>
      </w:r>
      <w:r w:rsidR="00177848" w:rsidRPr="00C6052E">
        <w:t xml:space="preserve"> </w:t>
      </w:r>
      <w:r w:rsidRPr="00C6052E">
        <w:t>and</w:t>
      </w:r>
      <w:r w:rsidR="00177848" w:rsidRPr="00C6052E">
        <w:t xml:space="preserve"> </w:t>
      </w:r>
      <w:r w:rsidRPr="00C6052E">
        <w:t>cultural</w:t>
      </w:r>
      <w:r w:rsidR="00177848" w:rsidRPr="00C6052E">
        <w:t xml:space="preserve"> </w:t>
      </w:r>
      <w:r w:rsidRPr="00C6052E">
        <w:t>value</w:t>
      </w:r>
      <w:r w:rsidR="00177848" w:rsidRPr="00C6052E">
        <w:t xml:space="preserve"> </w:t>
      </w:r>
      <w:r w:rsidRPr="00C6052E">
        <w:t>of</w:t>
      </w:r>
      <w:r w:rsidR="00177848" w:rsidRPr="00C6052E">
        <w:t xml:space="preserve"> </w:t>
      </w:r>
      <w:r w:rsidRPr="00C6052E">
        <w:t>the</w:t>
      </w:r>
      <w:r w:rsidR="00177848" w:rsidRPr="00C6052E">
        <w:t xml:space="preserve"> </w:t>
      </w:r>
      <w:r w:rsidRPr="00C6052E">
        <w:t>creative,</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industries</w:t>
      </w:r>
      <w:r w:rsidR="00177848" w:rsidRPr="00C6052E">
        <w:t xml:space="preserve"> </w:t>
      </w:r>
      <w:r w:rsidRPr="00C6052E">
        <w:t>to</w:t>
      </w:r>
      <w:r w:rsidR="00177848" w:rsidRPr="00C6052E">
        <w:t xml:space="preserve"> </w:t>
      </w:r>
      <w:r w:rsidRPr="00C6052E">
        <w:t>Victoria,</w:t>
      </w:r>
      <w:r w:rsidR="00177848" w:rsidRPr="00C6052E">
        <w:t xml:space="preserve"> </w:t>
      </w:r>
      <w:r w:rsidRPr="00C6052E">
        <w:t>grow</w:t>
      </w:r>
      <w:r w:rsidR="00177848" w:rsidRPr="00C6052E">
        <w:t xml:space="preserve"> </w:t>
      </w:r>
      <w:r w:rsidRPr="00C6052E">
        <w:t>the</w:t>
      </w:r>
      <w:r w:rsidR="00177848" w:rsidRPr="00C6052E">
        <w:t xml:space="preserve"> </w:t>
      </w:r>
      <w:r w:rsidRPr="00C6052E">
        <w:t>number</w:t>
      </w:r>
      <w:r w:rsidR="00177848" w:rsidRPr="00C6052E">
        <w:t xml:space="preserve"> </w:t>
      </w:r>
      <w:r w:rsidRPr="00C6052E">
        <w:t>and</w:t>
      </w:r>
      <w:r w:rsidR="00177848" w:rsidRPr="00C6052E">
        <w:t xml:space="preserve"> </w:t>
      </w:r>
      <w:r w:rsidRPr="00C6052E">
        <w:t>yield</w:t>
      </w:r>
      <w:r w:rsidR="00177848" w:rsidRPr="00C6052E">
        <w:t xml:space="preserve"> </w:t>
      </w:r>
      <w:r w:rsidRPr="00C6052E">
        <w:t>of</w:t>
      </w:r>
      <w:r w:rsidR="00177848" w:rsidRPr="00C6052E">
        <w:t xml:space="preserve"> </w:t>
      </w:r>
      <w:r w:rsidRPr="00C6052E">
        <w:t>visitors,</w:t>
      </w:r>
      <w:r w:rsidR="00177848" w:rsidRPr="00C6052E">
        <w:t xml:space="preserve"> </w:t>
      </w:r>
      <w:r w:rsidRPr="00C6052E">
        <w:t>position</w:t>
      </w:r>
      <w:r w:rsidR="00177848" w:rsidRPr="00C6052E">
        <w:t xml:space="preserve"> </w:t>
      </w:r>
      <w:r w:rsidRPr="00C6052E">
        <w:t>Victoria</w:t>
      </w:r>
      <w:r w:rsidR="00177848" w:rsidRPr="00C6052E">
        <w:t xml:space="preserve"> </w:t>
      </w:r>
      <w:r w:rsidRPr="00C6052E">
        <w:t>as</w:t>
      </w:r>
      <w:r w:rsidR="00177848" w:rsidRPr="00C6052E">
        <w:t xml:space="preserve"> </w:t>
      </w:r>
      <w:r w:rsidRPr="00C6052E">
        <w:t>a</w:t>
      </w:r>
      <w:r w:rsidR="00177848" w:rsidRPr="00C6052E">
        <w:t xml:space="preserve"> </w:t>
      </w:r>
      <w:r w:rsidRPr="00C6052E">
        <w:t>major</w:t>
      </w:r>
      <w:r w:rsidR="00177848" w:rsidRPr="00C6052E">
        <w:t xml:space="preserve"> </w:t>
      </w:r>
      <w:r w:rsidRPr="00C6052E">
        <w:t>events</w:t>
      </w:r>
      <w:r w:rsidR="00177848" w:rsidRPr="00C6052E">
        <w:t xml:space="preserve"> </w:t>
      </w:r>
      <w:r w:rsidRPr="00C6052E">
        <w:t>destination,</w:t>
      </w:r>
      <w:r w:rsidR="00177848" w:rsidRPr="00C6052E">
        <w:t xml:space="preserve"> </w:t>
      </w:r>
      <w:r w:rsidRPr="00C6052E">
        <w:t>and</w:t>
      </w:r>
      <w:r w:rsidR="00177848" w:rsidRPr="00C6052E">
        <w:t xml:space="preserve"> </w:t>
      </w:r>
      <w:r w:rsidRPr="00C6052E">
        <w:t>ensure</w:t>
      </w:r>
      <w:r w:rsidR="00177848" w:rsidRPr="00C6052E">
        <w:t xml:space="preserve"> </w:t>
      </w:r>
      <w:r w:rsidRPr="00C6052E">
        <w:t>the</w:t>
      </w:r>
      <w:r w:rsidR="00177848" w:rsidRPr="00C6052E">
        <w:t xml:space="preserve"> </w:t>
      </w:r>
      <w:r w:rsidRPr="00C6052E">
        <w:t>best</w:t>
      </w:r>
      <w:r w:rsidR="00177848" w:rsidRPr="00C6052E">
        <w:t xml:space="preserve"> </w:t>
      </w:r>
      <w:r w:rsidRPr="00C6052E">
        <w:t>cultural</w:t>
      </w:r>
      <w:r w:rsidR="00177848" w:rsidRPr="00C6052E">
        <w:t xml:space="preserve"> </w:t>
      </w:r>
      <w:r w:rsidRPr="00C6052E">
        <w:t>and</w:t>
      </w:r>
      <w:r w:rsidR="00177848" w:rsidRPr="00C6052E">
        <w:t xml:space="preserve"> </w:t>
      </w:r>
      <w:r w:rsidRPr="00C6052E">
        <w:t>sporting</w:t>
      </w:r>
      <w:r w:rsidR="00177848" w:rsidRPr="00C6052E">
        <w:t xml:space="preserve"> </w:t>
      </w:r>
      <w:r w:rsidRPr="00C6052E">
        <w:t>experiences</w:t>
      </w:r>
      <w:r w:rsidR="00177848" w:rsidRPr="00C6052E">
        <w:t xml:space="preserve"> </w:t>
      </w:r>
      <w:r w:rsidRPr="00C6052E">
        <w:t>are</w:t>
      </w:r>
      <w:r w:rsidR="00177848" w:rsidRPr="00C6052E">
        <w:t xml:space="preserve"> </w:t>
      </w:r>
      <w:r w:rsidRPr="00C6052E">
        <w:t>accessible</w:t>
      </w:r>
      <w:r w:rsidR="00177848" w:rsidRPr="00C6052E">
        <w:t xml:space="preserve"> </w:t>
      </w:r>
      <w:r w:rsidRPr="00C6052E">
        <w:t>to</w:t>
      </w:r>
      <w:r w:rsidR="00177848" w:rsidRPr="00C6052E">
        <w:t xml:space="preserve"> </w:t>
      </w:r>
      <w:r w:rsidRPr="00C6052E">
        <w:t>everyone.</w:t>
      </w:r>
    </w:p>
    <w:p w14:paraId="1BADE509" w14:textId="32B7D840" w:rsidR="00EE5BB8" w:rsidRPr="00C6052E" w:rsidRDefault="00EE5BB8" w:rsidP="00EE5BB8">
      <w:pPr>
        <w:pStyle w:val="Heading4"/>
      </w:pPr>
      <w:r w:rsidRPr="00C6052E">
        <w:t>Progress</w:t>
      </w:r>
      <w:r w:rsidR="00177848" w:rsidRPr="00C6052E">
        <w:t xml:space="preserve"> </w:t>
      </w:r>
      <w:r w:rsidRPr="00C6052E">
        <w:t>towards</w:t>
      </w:r>
      <w:r w:rsidR="00177848" w:rsidRPr="00C6052E">
        <w:t xml:space="preserve"> </w:t>
      </w:r>
      <w:r w:rsidRPr="00C6052E">
        <w:t>achieving</w:t>
      </w:r>
      <w:r w:rsidR="00177848" w:rsidRPr="00C6052E">
        <w:t xml:space="preserve"> </w:t>
      </w:r>
      <w:r w:rsidRPr="00C6052E">
        <w:t>this</w:t>
      </w:r>
      <w:r w:rsidR="00177848" w:rsidRPr="00C6052E">
        <w:t xml:space="preserve"> </w:t>
      </w:r>
      <w:r w:rsidRPr="00C6052E">
        <w:t>objective</w:t>
      </w:r>
    </w:p>
    <w:p w14:paraId="793855DE" w14:textId="00BC61B2" w:rsidR="00EE5BB8" w:rsidRPr="00C6052E" w:rsidRDefault="00EE5BB8" w:rsidP="0028635E">
      <w:pPr>
        <w:pStyle w:val="Normalbeforebullets"/>
      </w:pPr>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reported</w:t>
      </w:r>
      <w:r w:rsidR="00177848" w:rsidRPr="00C6052E">
        <w:t xml:space="preserve"> </w:t>
      </w:r>
      <w:r w:rsidRPr="00C6052E">
        <w:t>progress</w:t>
      </w:r>
      <w:r w:rsidR="00177848" w:rsidRPr="00C6052E">
        <w:t xml:space="preserve"> </w:t>
      </w:r>
      <w:r w:rsidRPr="00C6052E">
        <w:t>against</w:t>
      </w:r>
      <w:r w:rsidR="00177848" w:rsidRPr="00C6052E">
        <w:t xml:space="preserve"> </w:t>
      </w:r>
      <w:r w:rsidRPr="00C6052E">
        <w:t>this</w:t>
      </w:r>
      <w:r w:rsidR="00177848" w:rsidRPr="00C6052E">
        <w:t xml:space="preserve"> </w:t>
      </w:r>
      <w:r w:rsidRPr="00C6052E">
        <w:t>objective</w:t>
      </w:r>
      <w:r w:rsidR="00177848" w:rsidRPr="00C6052E">
        <w:t xml:space="preserve"> </w:t>
      </w:r>
      <w:r w:rsidRPr="00C6052E">
        <w:t>using</w:t>
      </w:r>
      <w:r w:rsidR="00177848" w:rsidRPr="00C6052E">
        <w:t xml:space="preserve"> </w:t>
      </w:r>
      <w:r w:rsidRPr="00C6052E">
        <w:t>the</w:t>
      </w:r>
      <w:r w:rsidR="00177848" w:rsidRPr="00C6052E">
        <w:t xml:space="preserve"> </w:t>
      </w:r>
      <w:r w:rsidRPr="00C6052E">
        <w:t>following</w:t>
      </w:r>
      <w:r w:rsidR="00177848" w:rsidRPr="00C6052E">
        <w:t xml:space="preserve"> </w:t>
      </w:r>
      <w:r w:rsidRPr="00C6052E">
        <w:t>indicators</w:t>
      </w:r>
      <w:r w:rsidR="00177848" w:rsidRPr="00C6052E">
        <w:t xml:space="preserve"> </w:t>
      </w:r>
      <w:r w:rsidRPr="00C6052E">
        <w:t>and</w:t>
      </w:r>
      <w:r w:rsidR="00177848" w:rsidRPr="00C6052E">
        <w:t xml:space="preserve"> </w:t>
      </w:r>
      <w:r w:rsidRPr="00C6052E">
        <w:t>outputs:</w:t>
      </w:r>
    </w:p>
    <w:p w14:paraId="0143306B" w14:textId="583EF313" w:rsidR="00EE5BB8" w:rsidRPr="00C6052E" w:rsidRDefault="00EE5BB8" w:rsidP="00EE5BB8">
      <w:pPr>
        <w:pStyle w:val="Heading5"/>
        <w:numPr>
          <w:ilvl w:val="0"/>
          <w:numId w:val="0"/>
        </w:numPr>
      </w:pPr>
      <w:r w:rsidRPr="00C6052E">
        <w:t>Objective</w:t>
      </w:r>
      <w:r w:rsidR="00177848" w:rsidRPr="00C6052E">
        <w:t xml:space="preserve"> </w:t>
      </w:r>
      <w:r w:rsidRPr="00C6052E">
        <w:t>Indicators</w:t>
      </w:r>
    </w:p>
    <w:p w14:paraId="09A53BA3" w14:textId="2CCB9506" w:rsidR="00EE5BB8" w:rsidRPr="00C6052E" w:rsidRDefault="00EE5BB8" w:rsidP="00EE5BB8">
      <w:pPr>
        <w:pStyle w:val="Bullet1"/>
        <w:numPr>
          <w:ilvl w:val="0"/>
          <w:numId w:val="1"/>
        </w:numPr>
        <w:spacing w:line="278" w:lineRule="auto"/>
        <w:ind w:left="284" w:hanging="284"/>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agencies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funded</w:t>
      </w:r>
      <w:r w:rsidR="00177848" w:rsidRPr="00C6052E">
        <w:rPr>
          <w:lang w:val="en-AU"/>
        </w:rPr>
        <w:t xml:space="preserve"> </w:t>
      </w:r>
      <w:r w:rsidRPr="00C6052E">
        <w:rPr>
          <w:lang w:val="en-AU"/>
        </w:rPr>
        <w:t>major</w:t>
      </w:r>
      <w:r w:rsidR="00177848" w:rsidRPr="00C6052E">
        <w:rPr>
          <w:lang w:val="en-AU"/>
        </w:rPr>
        <w:t xml:space="preserve"> </w:t>
      </w:r>
      <w:r w:rsidRPr="00C6052E">
        <w:rPr>
          <w:lang w:val="en-AU"/>
        </w:rPr>
        <w:t>performing</w:t>
      </w:r>
      <w:r w:rsidR="00177848" w:rsidRPr="00C6052E">
        <w:rPr>
          <w:lang w:val="en-AU"/>
        </w:rPr>
        <w:t xml:space="preserve"> </w:t>
      </w:r>
      <w:r w:rsidRPr="00C6052E">
        <w:rPr>
          <w:lang w:val="en-AU"/>
        </w:rPr>
        <w:t>arts</w:t>
      </w:r>
      <w:r w:rsidR="00177848" w:rsidRPr="00C6052E">
        <w:rPr>
          <w:lang w:val="en-AU"/>
        </w:rPr>
        <w:t xml:space="preserve"> </w:t>
      </w:r>
      <w:r w:rsidRPr="00C6052E">
        <w:rPr>
          <w:lang w:val="en-AU"/>
        </w:rPr>
        <w:t>organisations</w:t>
      </w:r>
      <w:r w:rsidR="00177848" w:rsidRPr="00C6052E">
        <w:rPr>
          <w:lang w:val="en-AU"/>
        </w:rPr>
        <w:t xml:space="preserve"> </w:t>
      </w:r>
    </w:p>
    <w:p w14:paraId="22ED89A0" w14:textId="1F21A824" w:rsidR="00EE5BB8" w:rsidRPr="00C6052E" w:rsidRDefault="00EE5BB8" w:rsidP="00EE5BB8">
      <w:pPr>
        <w:pStyle w:val="Bullet1"/>
        <w:numPr>
          <w:ilvl w:val="0"/>
          <w:numId w:val="1"/>
        </w:numPr>
        <w:spacing w:line="278" w:lineRule="auto"/>
        <w:ind w:left="284" w:hanging="284"/>
        <w:rPr>
          <w:lang w:val="en-AU"/>
        </w:rPr>
      </w:pPr>
      <w:r w:rsidRPr="00C6052E">
        <w:rPr>
          <w:lang w:val="en-AU"/>
        </w:rPr>
        <w:t>Employment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sector</w:t>
      </w:r>
    </w:p>
    <w:p w14:paraId="0DC580F4" w14:textId="4DCDAADD" w:rsidR="00EE5BB8" w:rsidRPr="00C6052E" w:rsidRDefault="00EE5BB8" w:rsidP="00EE5BB8">
      <w:pPr>
        <w:pStyle w:val="Bullet1"/>
        <w:numPr>
          <w:ilvl w:val="0"/>
          <w:numId w:val="1"/>
        </w:numPr>
        <w:spacing w:line="278" w:lineRule="auto"/>
        <w:ind w:left="284" w:hanging="284"/>
        <w:rPr>
          <w:lang w:val="en-AU"/>
        </w:rPr>
      </w:pPr>
      <w:r w:rsidRPr="00C6052E">
        <w:rPr>
          <w:lang w:val="en-AU"/>
        </w:rPr>
        <w:t>Employment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Visitor</w:t>
      </w:r>
      <w:r w:rsidR="00177848" w:rsidRPr="00C6052E">
        <w:rPr>
          <w:lang w:val="en-AU"/>
        </w:rPr>
        <w:t xml:space="preserve"> </w:t>
      </w:r>
      <w:r w:rsidRPr="00C6052E">
        <w:rPr>
          <w:lang w:val="en-AU"/>
        </w:rPr>
        <w:t>Economy</w:t>
      </w:r>
      <w:r w:rsidR="00177848" w:rsidRPr="00C6052E">
        <w:rPr>
          <w:lang w:val="en-AU"/>
        </w:rPr>
        <w:t xml:space="preserve"> </w:t>
      </w:r>
      <w:r w:rsidRPr="00C6052E">
        <w:rPr>
          <w:lang w:val="en-AU"/>
        </w:rPr>
        <w:t>sector</w:t>
      </w:r>
    </w:p>
    <w:p w14:paraId="6CF0C6D9" w14:textId="0002F89A" w:rsidR="00EE5BB8" w:rsidRPr="00C6052E" w:rsidRDefault="00EE5BB8" w:rsidP="00EE5BB8">
      <w:pPr>
        <w:pStyle w:val="Bullet1"/>
        <w:numPr>
          <w:ilvl w:val="0"/>
          <w:numId w:val="1"/>
        </w:numPr>
        <w:spacing w:line="278" w:lineRule="auto"/>
        <w:ind w:left="284" w:hanging="284"/>
        <w:rPr>
          <w:lang w:val="en-AU"/>
        </w:rPr>
      </w:pPr>
      <w:r w:rsidRPr="00C6052E">
        <w:rPr>
          <w:lang w:val="en-AU"/>
        </w:rPr>
        <w:t>Tourists</w:t>
      </w:r>
      <w:r w:rsidR="00177848" w:rsidRPr="00C6052E">
        <w:rPr>
          <w:lang w:val="en-AU"/>
        </w:rPr>
        <w:t xml:space="preserve"> </w:t>
      </w:r>
      <w:r w:rsidRPr="00C6052E">
        <w:rPr>
          <w:lang w:val="en-AU"/>
        </w:rPr>
        <w:t>attracted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Victoria</w:t>
      </w:r>
    </w:p>
    <w:p w14:paraId="6C096FD9" w14:textId="5E31EC15" w:rsidR="00EE5BB8" w:rsidRPr="00C6052E" w:rsidRDefault="00EE5BB8" w:rsidP="00EE5BB8">
      <w:pPr>
        <w:pStyle w:val="Bullet1last"/>
        <w:numPr>
          <w:ilvl w:val="0"/>
          <w:numId w:val="1"/>
        </w:numPr>
        <w:spacing w:line="278" w:lineRule="auto"/>
        <w:ind w:left="284" w:hanging="284"/>
        <w:rPr>
          <w:lang w:val="en-AU"/>
        </w:rPr>
      </w:pPr>
      <w:r w:rsidRPr="00C6052E">
        <w:rPr>
          <w:lang w:val="en-AU"/>
        </w:rPr>
        <w:lastRenderedPageBreak/>
        <w:t>Increase</w:t>
      </w:r>
      <w:r w:rsidR="00177848" w:rsidRPr="00C6052E">
        <w:rPr>
          <w:lang w:val="en-AU"/>
        </w:rPr>
        <w:t xml:space="preserve"> </w:t>
      </w:r>
      <w:r w:rsidRPr="00C6052E">
        <w:rPr>
          <w:lang w:val="en-AU"/>
        </w:rPr>
        <w:t>rates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community</w:t>
      </w:r>
      <w:r w:rsidR="00177848" w:rsidRPr="00C6052E">
        <w:rPr>
          <w:lang w:val="en-AU"/>
        </w:rPr>
        <w:t xml:space="preserve"> </w:t>
      </w:r>
      <w:r w:rsidRPr="00C6052E">
        <w:rPr>
          <w:lang w:val="en-AU"/>
        </w:rPr>
        <w:t>engagement,</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participation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sport,</w:t>
      </w:r>
      <w:r w:rsidR="00177848" w:rsidRPr="00C6052E">
        <w:rPr>
          <w:lang w:val="en-AU"/>
        </w:rPr>
        <w:t xml:space="preserve"> </w:t>
      </w:r>
      <w:r w:rsidRPr="00C6052E">
        <w:rPr>
          <w:lang w:val="en-AU"/>
        </w:rPr>
        <w:t>recreation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cultural</w:t>
      </w:r>
      <w:r w:rsidR="00177848" w:rsidRPr="00C6052E">
        <w:rPr>
          <w:lang w:val="en-AU"/>
        </w:rPr>
        <w:t xml:space="preserve"> </w:t>
      </w:r>
      <w:r w:rsidRPr="00C6052E">
        <w:rPr>
          <w:lang w:val="en-AU"/>
        </w:rPr>
        <w:t>activities</w:t>
      </w:r>
    </w:p>
    <w:p w14:paraId="4114C78D" w14:textId="77777777" w:rsidR="00EE5BB8" w:rsidRPr="00C6052E" w:rsidRDefault="00EE5BB8" w:rsidP="00EE5BB8">
      <w:pPr>
        <w:pStyle w:val="Heading5"/>
        <w:numPr>
          <w:ilvl w:val="0"/>
          <w:numId w:val="0"/>
        </w:numPr>
      </w:pPr>
      <w:r w:rsidRPr="00C6052E">
        <w:t>Outputs</w:t>
      </w:r>
    </w:p>
    <w:p w14:paraId="55383F78" w14:textId="1006B54E" w:rsidR="00EE5BB8" w:rsidRPr="00C6052E" w:rsidRDefault="00EE5BB8" w:rsidP="00EE5BB8">
      <w:pPr>
        <w:pStyle w:val="Bullet1"/>
        <w:numPr>
          <w:ilvl w:val="0"/>
          <w:numId w:val="1"/>
        </w:numPr>
        <w:spacing w:line="278" w:lineRule="auto"/>
        <w:ind w:left="284" w:hanging="284"/>
        <w:rPr>
          <w:lang w:val="en-AU"/>
        </w:rPr>
      </w:pP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Access,</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Innovation</w:t>
      </w:r>
    </w:p>
    <w:p w14:paraId="69E7B0DD" w14:textId="09FE6EC6" w:rsidR="00EE5BB8" w:rsidRPr="00C6052E" w:rsidRDefault="00EE5BB8" w:rsidP="00EE5BB8">
      <w:pPr>
        <w:pStyle w:val="Bullet1"/>
        <w:numPr>
          <w:ilvl w:val="0"/>
          <w:numId w:val="1"/>
        </w:numPr>
        <w:spacing w:line="278" w:lineRule="auto"/>
        <w:ind w:left="284" w:hanging="284"/>
        <w:rPr>
          <w:lang w:val="en-AU"/>
        </w:rPr>
      </w:pP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Portfolio</w:t>
      </w:r>
      <w:r w:rsidR="00177848" w:rsidRPr="00C6052E">
        <w:rPr>
          <w:lang w:val="en-AU"/>
        </w:rPr>
        <w:t xml:space="preserve"> </w:t>
      </w:r>
      <w:r w:rsidRPr="00C6052E">
        <w:rPr>
          <w:lang w:val="en-AU"/>
        </w:rPr>
        <w:t>Agencies</w:t>
      </w:r>
    </w:p>
    <w:p w14:paraId="7878F90E" w14:textId="44BA913E" w:rsidR="00EE5BB8" w:rsidRPr="00C6052E" w:rsidRDefault="00EE5BB8" w:rsidP="00EE5BB8">
      <w:pPr>
        <w:pStyle w:val="Bullet1"/>
        <w:numPr>
          <w:ilvl w:val="0"/>
          <w:numId w:val="1"/>
        </w:numPr>
        <w:spacing w:line="278" w:lineRule="auto"/>
        <w:ind w:left="284" w:hanging="284"/>
        <w:rPr>
          <w:lang w:val="en-AU"/>
        </w:rPr>
      </w:pPr>
      <w:r w:rsidRPr="00C6052E">
        <w:rPr>
          <w:lang w:val="en-AU"/>
        </w:rPr>
        <w:t>Cultural</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Facilities</w:t>
      </w:r>
    </w:p>
    <w:p w14:paraId="53F78811" w14:textId="13B6A638" w:rsidR="00EE5BB8" w:rsidRPr="00C6052E" w:rsidRDefault="00EE5BB8" w:rsidP="00EE5BB8">
      <w:pPr>
        <w:pStyle w:val="Bullet1"/>
        <w:numPr>
          <w:ilvl w:val="0"/>
          <w:numId w:val="1"/>
        </w:numPr>
        <w:spacing w:line="278" w:lineRule="auto"/>
        <w:ind w:left="284" w:hanging="284"/>
        <w:rPr>
          <w:lang w:val="en-AU"/>
        </w:rPr>
      </w:pPr>
      <w:r w:rsidRPr="00C6052E">
        <w:rPr>
          <w:lang w:val="en-AU"/>
        </w:rPr>
        <w:t>Sport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Recreation</w:t>
      </w:r>
    </w:p>
    <w:p w14:paraId="5A2BE94A" w14:textId="39E14DC6" w:rsidR="00EE5BB8" w:rsidRPr="00C6052E" w:rsidRDefault="00EE5BB8" w:rsidP="00EE5BB8">
      <w:pPr>
        <w:pStyle w:val="Bullet1last"/>
        <w:numPr>
          <w:ilvl w:val="0"/>
          <w:numId w:val="1"/>
        </w:numPr>
        <w:spacing w:line="278" w:lineRule="auto"/>
        <w:ind w:left="284" w:hanging="284"/>
        <w:rPr>
          <w:lang w:val="en-AU"/>
        </w:rPr>
      </w:pPr>
      <w:r w:rsidRPr="00C6052E">
        <w:rPr>
          <w:lang w:val="en-AU"/>
        </w:rPr>
        <w:t>Tourism</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Major</w:t>
      </w:r>
      <w:r w:rsidR="00177848" w:rsidRPr="00C6052E">
        <w:rPr>
          <w:lang w:val="en-AU"/>
        </w:rPr>
        <w:t xml:space="preserve"> </w:t>
      </w:r>
      <w:r w:rsidRPr="00C6052E">
        <w:rPr>
          <w:lang w:val="en-AU"/>
        </w:rPr>
        <w:t>Events</w:t>
      </w:r>
    </w:p>
    <w:p w14:paraId="61A1920C" w14:textId="0DF54253" w:rsidR="00EE5BB8" w:rsidRPr="00C6052E" w:rsidRDefault="00EE5BB8" w:rsidP="00EE5BB8">
      <w:pPr>
        <w:pStyle w:val="Heading3"/>
      </w:pPr>
      <w:bookmarkStart w:id="32" w:name="_Toc152067228"/>
      <w:r w:rsidRPr="00C6052E">
        <w:t>Indicator:</w:t>
      </w:r>
      <w:r w:rsidR="00177848" w:rsidRPr="00C6052E">
        <w:t xml:space="preserve"> </w:t>
      </w:r>
      <w:r w:rsidRPr="00C6052E">
        <w:t>Attendances</w:t>
      </w:r>
      <w:r w:rsidR="00177848" w:rsidRPr="00C6052E">
        <w:t xml:space="preserve"> </w:t>
      </w:r>
      <w:r w:rsidRPr="00C6052E">
        <w:t>at</w:t>
      </w:r>
      <w:r w:rsidR="00177848" w:rsidRPr="00C6052E">
        <w:t xml:space="preserve"> </w:t>
      </w:r>
      <w:r w:rsidRPr="00C6052E">
        <w:t>Creative</w:t>
      </w:r>
      <w:r w:rsidR="00177848" w:rsidRPr="00C6052E">
        <w:t xml:space="preserve"> </w:t>
      </w:r>
      <w:r w:rsidRPr="00C6052E" w:rsidDel="00D1462F">
        <w:t>I</w:t>
      </w:r>
      <w:r w:rsidRPr="00C6052E">
        <w:t>ndustries</w:t>
      </w:r>
      <w:r w:rsidR="00177848" w:rsidRPr="00C6052E">
        <w:t xml:space="preserve"> </w:t>
      </w:r>
      <w:r w:rsidRPr="00C6052E">
        <w:t>agencies</w:t>
      </w:r>
      <w:r w:rsidR="00177848" w:rsidRPr="00C6052E">
        <w:t xml:space="preserve"> </w:t>
      </w:r>
      <w:r w:rsidRPr="00C6052E">
        <w:t>and</w:t>
      </w:r>
      <w:r w:rsidR="00177848" w:rsidRPr="00C6052E">
        <w:t xml:space="preserve"> </w:t>
      </w:r>
      <w:r w:rsidRPr="00C6052E">
        <w:t>funded</w:t>
      </w:r>
      <w:r w:rsidR="00177848" w:rsidRPr="00C6052E">
        <w:t xml:space="preserve"> </w:t>
      </w:r>
      <w:r w:rsidRPr="00C6052E">
        <w:t>major</w:t>
      </w:r>
      <w:r w:rsidR="00177848" w:rsidRPr="00C6052E">
        <w:t xml:space="preserve"> </w:t>
      </w:r>
      <w:r w:rsidRPr="00C6052E">
        <w:t>performing</w:t>
      </w:r>
      <w:r w:rsidR="00177848" w:rsidRPr="00C6052E">
        <w:t xml:space="preserve"> </w:t>
      </w:r>
      <w:r w:rsidRPr="00C6052E">
        <w:t>arts</w:t>
      </w:r>
      <w:r w:rsidR="00177848" w:rsidRPr="00C6052E">
        <w:t xml:space="preserve"> </w:t>
      </w:r>
      <w:r w:rsidRPr="00C6052E">
        <w:t>organisations</w:t>
      </w:r>
      <w:bookmarkEnd w:id="32"/>
    </w:p>
    <w:p w14:paraId="0E6CD238" w14:textId="096A9367" w:rsidR="00EE5BB8" w:rsidRPr="00C6052E" w:rsidRDefault="00EE5BB8" w:rsidP="00EE5BB8">
      <w:pPr>
        <w:pStyle w:val="TableHeading"/>
      </w:pPr>
      <w:r w:rsidRPr="00C6052E">
        <w:t>Table</w:t>
      </w:r>
      <w:r w:rsidR="00177848" w:rsidRPr="00C6052E">
        <w:t xml:space="preserve"> </w:t>
      </w:r>
      <w:r w:rsidRPr="00C6052E">
        <w:t>16:</w:t>
      </w:r>
      <w:r w:rsidR="00177848" w:rsidRPr="00C6052E">
        <w:t xml:space="preserve"> </w:t>
      </w:r>
      <w:r w:rsidRPr="00C6052E">
        <w:t>Attendances</w:t>
      </w:r>
      <w:r w:rsidR="00177848" w:rsidRPr="00C6052E">
        <w:t xml:space="preserve"> </w:t>
      </w:r>
      <w:r w:rsidRPr="00C6052E">
        <w:t>at</w:t>
      </w:r>
      <w:r w:rsidR="00177848" w:rsidRPr="00C6052E">
        <w:t xml:space="preserve"> </w:t>
      </w:r>
      <w:r w:rsidRPr="00C6052E">
        <w:t>Creative</w:t>
      </w:r>
      <w:r w:rsidR="00177848" w:rsidRPr="00C6052E">
        <w:t xml:space="preserve"> </w:t>
      </w:r>
      <w:r w:rsidRPr="00C6052E" w:rsidDel="00D1462F">
        <w:t>I</w:t>
      </w:r>
      <w:r w:rsidRPr="00C6052E">
        <w:t>ndustries</w:t>
      </w:r>
      <w:r w:rsidR="00177848" w:rsidRPr="00C6052E">
        <w:t xml:space="preserve"> </w:t>
      </w:r>
      <w:r w:rsidRPr="00C6052E">
        <w:t>agencies</w:t>
      </w:r>
    </w:p>
    <w:tbl>
      <w:tblPr>
        <w:tblStyle w:val="TableGrid"/>
        <w:tblW w:w="9634" w:type="dxa"/>
        <w:tblLayout w:type="fixed"/>
        <w:tblLook w:val="0020" w:firstRow="1" w:lastRow="0" w:firstColumn="0" w:lastColumn="0" w:noHBand="0" w:noVBand="0"/>
      </w:tblPr>
      <w:tblGrid>
        <w:gridCol w:w="4957"/>
        <w:gridCol w:w="1169"/>
        <w:gridCol w:w="1169"/>
        <w:gridCol w:w="1169"/>
        <w:gridCol w:w="1170"/>
      </w:tblGrid>
      <w:tr w:rsidR="00EE5BB8" w:rsidRPr="00C6052E" w14:paraId="4A7B0D50" w14:textId="77777777" w:rsidTr="0063097D">
        <w:tc>
          <w:tcPr>
            <w:tcW w:w="4957" w:type="dxa"/>
          </w:tcPr>
          <w:p w14:paraId="7FC96B7B" w14:textId="45F9B4E8" w:rsidR="00EE5BB8" w:rsidRPr="00C6052E" w:rsidRDefault="00EE5BB8" w:rsidP="0063097D">
            <w:pPr>
              <w:pStyle w:val="TableColumnHeading"/>
              <w:rPr>
                <w:lang w:val="en-AU"/>
              </w:rPr>
            </w:pPr>
            <w:bookmarkStart w:id="33" w:name="TableColumnHeadings_24"/>
            <w:bookmarkEnd w:id="33"/>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169" w:type="dxa"/>
          </w:tcPr>
          <w:p w14:paraId="6D2D5647" w14:textId="77777777" w:rsidR="00EE5BB8" w:rsidRPr="00C6052E" w:rsidRDefault="00EE5BB8" w:rsidP="0063097D">
            <w:pPr>
              <w:pStyle w:val="TableColumnHeading"/>
              <w:jc w:val="right"/>
              <w:rPr>
                <w:lang w:val="en-AU"/>
              </w:rPr>
            </w:pPr>
            <w:r w:rsidRPr="00C6052E">
              <w:rPr>
                <w:lang w:val="en-AU"/>
              </w:rPr>
              <w:t>2021–22</w:t>
            </w:r>
          </w:p>
        </w:tc>
        <w:tc>
          <w:tcPr>
            <w:tcW w:w="1169" w:type="dxa"/>
          </w:tcPr>
          <w:p w14:paraId="7F53C0B9" w14:textId="77777777" w:rsidR="00EE5BB8" w:rsidRPr="00C6052E" w:rsidRDefault="00EE5BB8" w:rsidP="0063097D">
            <w:pPr>
              <w:pStyle w:val="TableColumnHeading"/>
              <w:jc w:val="right"/>
              <w:rPr>
                <w:lang w:val="en-AU"/>
              </w:rPr>
            </w:pPr>
            <w:r w:rsidRPr="00C6052E">
              <w:rPr>
                <w:lang w:val="en-AU"/>
              </w:rPr>
              <w:t>2022–23</w:t>
            </w:r>
          </w:p>
        </w:tc>
        <w:tc>
          <w:tcPr>
            <w:tcW w:w="1169" w:type="dxa"/>
          </w:tcPr>
          <w:p w14:paraId="4B157ECE" w14:textId="77777777" w:rsidR="00EE5BB8" w:rsidRPr="00C6052E" w:rsidRDefault="00EE5BB8" w:rsidP="0063097D">
            <w:pPr>
              <w:pStyle w:val="TableColumnHeading"/>
              <w:jc w:val="right"/>
              <w:rPr>
                <w:lang w:val="en-AU"/>
              </w:rPr>
            </w:pPr>
            <w:r w:rsidRPr="00C6052E">
              <w:rPr>
                <w:lang w:val="en-AU"/>
              </w:rPr>
              <w:t>2023–24</w:t>
            </w:r>
          </w:p>
        </w:tc>
        <w:tc>
          <w:tcPr>
            <w:tcW w:w="1170" w:type="dxa"/>
          </w:tcPr>
          <w:p w14:paraId="12AE7995"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56AE05D3" w14:textId="77777777" w:rsidTr="0063097D">
        <w:tc>
          <w:tcPr>
            <w:tcW w:w="4957" w:type="dxa"/>
          </w:tcPr>
          <w:p w14:paraId="6DBA9B23" w14:textId="705E8937" w:rsidR="00EE5BB8" w:rsidRPr="00C6052E"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portfolio</w:t>
            </w:r>
            <w:r w:rsidR="00177848" w:rsidRPr="00C6052E">
              <w:rPr>
                <w:lang w:val="en-AU"/>
              </w:rPr>
              <w:t xml:space="preserve"> </w:t>
            </w:r>
            <w:r w:rsidRPr="00C6052E">
              <w:rPr>
                <w:lang w:val="en-AU"/>
              </w:rPr>
              <w:t>agencies</w:t>
            </w:r>
            <w:r w:rsidR="00177848" w:rsidRPr="00C6052E">
              <w:rPr>
                <w:lang w:val="en-AU"/>
              </w:rPr>
              <w:t xml:space="preserve"> </w:t>
            </w:r>
            <w:r w:rsidRPr="00C6052E">
              <w:rPr>
                <w:lang w:val="en-AU"/>
              </w:rPr>
              <w:br/>
              <w:t>(number</w:t>
            </w:r>
            <w:r w:rsidR="00177848" w:rsidRPr="00C6052E">
              <w:rPr>
                <w:lang w:val="en-AU"/>
              </w:rPr>
              <w:t xml:space="preserve"> </w:t>
            </w:r>
            <w:r w:rsidRPr="00C6052E">
              <w:rPr>
                <w:lang w:val="en-AU"/>
              </w:rPr>
              <w:t>(‘000))</w:t>
            </w:r>
          </w:p>
        </w:tc>
        <w:tc>
          <w:tcPr>
            <w:tcW w:w="1169" w:type="dxa"/>
          </w:tcPr>
          <w:p w14:paraId="2ADE8F31" w14:textId="77777777" w:rsidR="00EE5BB8" w:rsidRPr="00C6052E" w:rsidRDefault="00EE5BB8" w:rsidP="0063097D">
            <w:pPr>
              <w:pStyle w:val="TableCopy"/>
              <w:jc w:val="right"/>
              <w:rPr>
                <w:lang w:val="en-AU"/>
              </w:rPr>
            </w:pPr>
            <w:r w:rsidRPr="00C6052E">
              <w:rPr>
                <w:lang w:val="en-AU"/>
              </w:rPr>
              <w:t>4,934</w:t>
            </w:r>
          </w:p>
        </w:tc>
        <w:tc>
          <w:tcPr>
            <w:tcW w:w="1169" w:type="dxa"/>
          </w:tcPr>
          <w:p w14:paraId="37281FD8" w14:textId="77777777" w:rsidR="00EE5BB8" w:rsidRPr="00C6052E" w:rsidRDefault="00EE5BB8" w:rsidP="0063097D">
            <w:pPr>
              <w:pStyle w:val="TableCopy"/>
              <w:jc w:val="right"/>
              <w:rPr>
                <w:lang w:val="en-AU"/>
              </w:rPr>
            </w:pPr>
            <w:r w:rsidRPr="00C6052E">
              <w:rPr>
                <w:lang w:val="en-AU"/>
              </w:rPr>
              <w:t>10,841</w:t>
            </w:r>
          </w:p>
        </w:tc>
        <w:tc>
          <w:tcPr>
            <w:tcW w:w="1169" w:type="dxa"/>
          </w:tcPr>
          <w:p w14:paraId="195A8188" w14:textId="77777777" w:rsidR="00EE5BB8" w:rsidRPr="00C6052E" w:rsidRDefault="00EE5BB8" w:rsidP="0063097D">
            <w:pPr>
              <w:pStyle w:val="TableCopy"/>
              <w:jc w:val="right"/>
              <w:rPr>
                <w:lang w:val="en-AU"/>
              </w:rPr>
            </w:pPr>
            <w:r w:rsidRPr="00C6052E">
              <w:rPr>
                <w:lang w:val="en-AU"/>
              </w:rPr>
              <w:t>11,201</w:t>
            </w:r>
          </w:p>
        </w:tc>
        <w:tc>
          <w:tcPr>
            <w:tcW w:w="1170" w:type="dxa"/>
          </w:tcPr>
          <w:p w14:paraId="4027ECA3" w14:textId="77777777" w:rsidR="00EE5BB8" w:rsidRPr="00C6052E" w:rsidRDefault="00EE5BB8" w:rsidP="0063097D">
            <w:pPr>
              <w:pStyle w:val="TableCopy"/>
              <w:jc w:val="right"/>
              <w:rPr>
                <w:lang w:val="en-AU"/>
              </w:rPr>
            </w:pPr>
            <w:r w:rsidRPr="00C6052E">
              <w:rPr>
                <w:lang w:val="en-AU"/>
              </w:rPr>
              <w:t>11,650</w:t>
            </w:r>
          </w:p>
        </w:tc>
      </w:tr>
    </w:tbl>
    <w:p w14:paraId="6D225CF8" w14:textId="77777777" w:rsidR="00EE5BB8" w:rsidRPr="00C6052E" w:rsidRDefault="00EE5BB8" w:rsidP="00EE5BB8"/>
    <w:p w14:paraId="5A5596D2" w14:textId="1694A623" w:rsidR="00EE5BB8" w:rsidRPr="00C6052E" w:rsidRDefault="00EE5BB8" w:rsidP="00EE5BB8">
      <w:pPr>
        <w:pStyle w:val="TableHeading"/>
      </w:pPr>
      <w:r w:rsidRPr="00C6052E">
        <w:t>Figure</w:t>
      </w:r>
      <w:r w:rsidR="00177848" w:rsidRPr="00C6052E">
        <w:t xml:space="preserve"> </w:t>
      </w:r>
      <w:r w:rsidRPr="00C6052E">
        <w:t>15:</w:t>
      </w:r>
      <w:r w:rsidR="00177848" w:rsidRPr="00C6052E">
        <w:t xml:space="preserve"> </w:t>
      </w:r>
      <w:r w:rsidRPr="00C6052E">
        <w:t>Attendances</w:t>
      </w:r>
      <w:r w:rsidR="00177848" w:rsidRPr="00C6052E">
        <w:t xml:space="preserve"> </w:t>
      </w:r>
      <w:r w:rsidRPr="00C6052E">
        <w:t>at</w:t>
      </w:r>
      <w:r w:rsidR="00177848" w:rsidRPr="00C6052E">
        <w:t xml:space="preserve"> </w:t>
      </w:r>
      <w:r w:rsidRPr="00C6052E">
        <w:t>Creative</w:t>
      </w:r>
      <w:r w:rsidR="00177848" w:rsidRPr="00C6052E">
        <w:t xml:space="preserve"> </w:t>
      </w:r>
      <w:r w:rsidRPr="00C6052E" w:rsidDel="00D1462F">
        <w:t>I</w:t>
      </w:r>
      <w:r w:rsidRPr="00C6052E">
        <w:t>ndustries</w:t>
      </w:r>
      <w:r w:rsidR="00177848" w:rsidRPr="00C6052E">
        <w:t xml:space="preserve"> </w:t>
      </w:r>
      <w:r w:rsidRPr="00C6052E">
        <w:t>portfolio</w:t>
      </w:r>
      <w:r w:rsidR="00177848" w:rsidRPr="00C6052E">
        <w:t xml:space="preserve"> </w:t>
      </w:r>
      <w:r w:rsidRPr="00C6052E">
        <w:t>agencies</w:t>
      </w:r>
    </w:p>
    <w:p w14:paraId="2087D287" w14:textId="77777777" w:rsidR="00EE5BB8" w:rsidRPr="00C6052E" w:rsidRDefault="00EE5BB8" w:rsidP="00EE5BB8">
      <w:pPr>
        <w:pStyle w:val="Graph"/>
        <w:rPr>
          <w:noProof w:val="0"/>
        </w:rPr>
      </w:pPr>
      <w:r w:rsidRPr="00C6052E">
        <w:drawing>
          <wp:inline distT="0" distB="0" distL="0" distR="0" wp14:anchorId="2EC90AE1" wp14:editId="07F10C57">
            <wp:extent cx="4050000" cy="2700000"/>
            <wp:effectExtent l="0" t="0" r="0" b="0"/>
            <wp:docPr id="123692504" name="Chart 1" descr="Line graph showing data from Table 16: Attendances at Creative Industries agencies (above).">
              <a:extLst xmlns:a="http://schemas.openxmlformats.org/drawingml/2006/main">
                <a:ext uri="{FF2B5EF4-FFF2-40B4-BE49-F238E27FC236}">
                  <a16:creationId xmlns:a16="http://schemas.microsoft.com/office/drawing/2014/main" id="{00000000-0008-0000-06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5A44F86" w14:textId="34C8E559" w:rsidR="00EE5BB8" w:rsidRPr="00C6052E" w:rsidRDefault="00EE5BB8" w:rsidP="00EE5BB8">
      <w:r w:rsidRPr="00C6052E">
        <w:t>In</w:t>
      </w:r>
      <w:r w:rsidR="00177848" w:rsidRPr="00C6052E">
        <w:t xml:space="preserve"> </w:t>
      </w:r>
      <w:r w:rsidRPr="00C6052E">
        <w:t>2024–25</w:t>
      </w:r>
      <w:r w:rsidR="00177848" w:rsidRPr="00C6052E">
        <w:t xml:space="preserve"> </w:t>
      </w:r>
      <w:r w:rsidRPr="00C6052E">
        <w:t>Victoria’s</w:t>
      </w:r>
      <w:r w:rsidR="00177848" w:rsidRPr="00C6052E">
        <w:t xml:space="preserve"> </w:t>
      </w:r>
      <w:r w:rsidRPr="00C6052E">
        <w:t>state-owned</w:t>
      </w:r>
      <w:r w:rsidR="00177848" w:rsidRPr="00C6052E">
        <w:t xml:space="preserve"> </w:t>
      </w:r>
      <w:r w:rsidRPr="00C6052E">
        <w:t>arts</w:t>
      </w:r>
      <w:r w:rsidR="00177848" w:rsidRPr="00C6052E">
        <w:t xml:space="preserve"> </w:t>
      </w:r>
      <w:r w:rsidRPr="00C6052E">
        <w:t>and</w:t>
      </w:r>
      <w:r w:rsidR="00177848" w:rsidRPr="00C6052E">
        <w:t xml:space="preserve"> </w:t>
      </w:r>
      <w:r w:rsidRPr="00C6052E">
        <w:t>cultural</w:t>
      </w:r>
      <w:r w:rsidR="00177848" w:rsidRPr="00C6052E">
        <w:t xml:space="preserve"> </w:t>
      </w:r>
      <w:r w:rsidRPr="00C6052E">
        <w:t>institutions</w:t>
      </w:r>
      <w:r w:rsidR="00177848" w:rsidRPr="00C6052E">
        <w:t xml:space="preserve"> </w:t>
      </w:r>
      <w:r w:rsidRPr="00C6052E">
        <w:t>–</w:t>
      </w:r>
      <w:r w:rsidR="00177848" w:rsidRPr="00C6052E">
        <w:t xml:space="preserve"> </w:t>
      </w:r>
      <w:r w:rsidRPr="00C6052E">
        <w:t>Arts</w:t>
      </w:r>
      <w:r w:rsidR="00177848" w:rsidRPr="00C6052E">
        <w:t xml:space="preserve"> </w:t>
      </w:r>
      <w:r w:rsidRPr="00C6052E">
        <w:t>Centre</w:t>
      </w:r>
      <w:r w:rsidR="00177848" w:rsidRPr="00C6052E">
        <w:t xml:space="preserve"> </w:t>
      </w:r>
      <w:r w:rsidRPr="00C6052E">
        <w:t>Melbourne,</w:t>
      </w:r>
      <w:r w:rsidR="00177848" w:rsidRPr="00C6052E">
        <w:t xml:space="preserve"> </w:t>
      </w:r>
      <w:r w:rsidRPr="00C6052E">
        <w:t>Australian</w:t>
      </w:r>
      <w:r w:rsidR="00177848" w:rsidRPr="00C6052E">
        <w:t xml:space="preserve"> </w:t>
      </w:r>
      <w:r w:rsidRPr="00C6052E">
        <w:t>Centre</w:t>
      </w:r>
      <w:r w:rsidR="00177848" w:rsidRPr="00C6052E">
        <w:t xml:space="preserve"> </w:t>
      </w:r>
      <w:r w:rsidRPr="00C6052E">
        <w:t>for</w:t>
      </w:r>
      <w:r w:rsidR="00177848" w:rsidRPr="00C6052E">
        <w:t xml:space="preserve"> </w:t>
      </w:r>
      <w:r w:rsidRPr="00C6052E">
        <w:t>the</w:t>
      </w:r>
      <w:r w:rsidR="00177848" w:rsidRPr="00C6052E">
        <w:t xml:space="preserve"> </w:t>
      </w:r>
      <w:r w:rsidRPr="00C6052E">
        <w:t>Moving</w:t>
      </w:r>
      <w:r w:rsidR="00177848" w:rsidRPr="00C6052E">
        <w:t xml:space="preserve"> </w:t>
      </w:r>
      <w:r w:rsidRPr="00C6052E">
        <w:t>Image</w:t>
      </w:r>
      <w:r w:rsidR="00177848" w:rsidRPr="00C6052E">
        <w:t xml:space="preserve"> </w:t>
      </w:r>
      <w:r w:rsidRPr="00C6052E">
        <w:t>(ACMI),</w:t>
      </w:r>
      <w:r w:rsidR="00177848" w:rsidRPr="00C6052E">
        <w:t xml:space="preserve"> </w:t>
      </w:r>
      <w:r w:rsidRPr="00C6052E">
        <w:t>Geelong</w:t>
      </w:r>
      <w:r w:rsidR="00177848" w:rsidRPr="00C6052E">
        <w:t xml:space="preserve"> </w:t>
      </w:r>
      <w:r w:rsidRPr="00C6052E">
        <w:t>Arts</w:t>
      </w:r>
      <w:r w:rsidR="00177848" w:rsidRPr="00C6052E">
        <w:t xml:space="preserve"> </w:t>
      </w:r>
      <w:r w:rsidRPr="00C6052E">
        <w:t>Centre,</w:t>
      </w:r>
      <w:r w:rsidR="00177848" w:rsidRPr="00C6052E">
        <w:t xml:space="preserve"> </w:t>
      </w:r>
      <w:r w:rsidRPr="00C6052E">
        <w:t>Melbourne</w:t>
      </w:r>
      <w:r w:rsidR="00177848" w:rsidRPr="00C6052E">
        <w:t xml:space="preserve"> </w:t>
      </w:r>
      <w:r w:rsidRPr="00C6052E">
        <w:t>Recital</w:t>
      </w:r>
      <w:r w:rsidR="00177848" w:rsidRPr="00C6052E">
        <w:t xml:space="preserve"> </w:t>
      </w:r>
      <w:r w:rsidRPr="00C6052E">
        <w:t>Centre,</w:t>
      </w:r>
      <w:r w:rsidR="00177848" w:rsidRPr="00C6052E">
        <w:t xml:space="preserve"> </w:t>
      </w:r>
      <w:r w:rsidRPr="00C6052E">
        <w:t>Museums</w:t>
      </w:r>
      <w:r w:rsidR="00177848" w:rsidRPr="00C6052E">
        <w:t xml:space="preserve"> </w:t>
      </w:r>
      <w:r w:rsidRPr="00C6052E">
        <w:t>Victoria,</w:t>
      </w:r>
      <w:r w:rsidR="00177848" w:rsidRPr="00C6052E">
        <w:t xml:space="preserve"> </w:t>
      </w:r>
      <w:r w:rsidRPr="00C6052E">
        <w:t>National</w:t>
      </w:r>
      <w:r w:rsidR="00177848" w:rsidRPr="00C6052E">
        <w:t xml:space="preserve"> </w:t>
      </w:r>
      <w:r w:rsidRPr="00C6052E">
        <w:t>Gallery</w:t>
      </w:r>
      <w:r w:rsidR="00177848" w:rsidRPr="00C6052E">
        <w:t xml:space="preserve"> </w:t>
      </w:r>
      <w:r w:rsidRPr="00C6052E">
        <w:t>of</w:t>
      </w:r>
      <w:r w:rsidR="00177848" w:rsidRPr="00C6052E">
        <w:t xml:space="preserve"> </w:t>
      </w:r>
      <w:r w:rsidRPr="00C6052E">
        <w:t>Victoria</w:t>
      </w:r>
      <w:r w:rsidR="00177848" w:rsidRPr="00C6052E">
        <w:t xml:space="preserve"> </w:t>
      </w:r>
      <w:r w:rsidRPr="00C6052E">
        <w:t>(NGV)</w:t>
      </w:r>
      <w:r w:rsidR="00177848" w:rsidRPr="00C6052E">
        <w:t xml:space="preserve"> </w:t>
      </w:r>
      <w:r w:rsidRPr="00C6052E">
        <w:t>and</w:t>
      </w:r>
      <w:r w:rsidR="00177848" w:rsidRPr="00C6052E">
        <w:t xml:space="preserve"> </w:t>
      </w:r>
      <w:r w:rsidRPr="00C6052E">
        <w:t>State</w:t>
      </w:r>
      <w:r w:rsidR="00177848" w:rsidRPr="00C6052E">
        <w:t xml:space="preserve"> </w:t>
      </w:r>
      <w:r w:rsidRPr="00C6052E">
        <w:t>Library</w:t>
      </w:r>
      <w:r w:rsidR="00177848" w:rsidRPr="00C6052E">
        <w:t xml:space="preserve"> </w:t>
      </w:r>
      <w:r w:rsidRPr="00C6052E">
        <w:t>Victoria</w:t>
      </w:r>
      <w:r w:rsidR="00177848" w:rsidRPr="00C6052E">
        <w:t xml:space="preserve"> </w:t>
      </w:r>
      <w:r w:rsidRPr="00C6052E">
        <w:t>–</w:t>
      </w:r>
      <w:r w:rsidR="00177848" w:rsidRPr="00C6052E">
        <w:t xml:space="preserve"> </w:t>
      </w:r>
      <w:r w:rsidRPr="00C6052E">
        <w:t>were</w:t>
      </w:r>
      <w:r w:rsidR="00177848" w:rsidRPr="00C6052E">
        <w:t xml:space="preserve"> </w:t>
      </w:r>
      <w:r w:rsidRPr="00C6052E">
        <w:t>attended</w:t>
      </w:r>
      <w:r w:rsidR="00177848" w:rsidRPr="00C6052E">
        <w:t xml:space="preserve"> </w:t>
      </w:r>
      <w:r w:rsidRPr="00C6052E">
        <w:t>by</w:t>
      </w:r>
      <w:r w:rsidR="00177848" w:rsidRPr="00C6052E">
        <w:t xml:space="preserve"> </w:t>
      </w:r>
      <w:r w:rsidRPr="00C6052E">
        <w:t>more</w:t>
      </w:r>
      <w:r w:rsidR="00177848" w:rsidRPr="00C6052E">
        <w:t xml:space="preserve"> </w:t>
      </w:r>
      <w:r w:rsidRPr="00C6052E">
        <w:t>than</w:t>
      </w:r>
      <w:r w:rsidR="00177848" w:rsidRPr="00C6052E">
        <w:t xml:space="preserve"> </w:t>
      </w:r>
      <w:r w:rsidRPr="00C6052E">
        <w:t>11.6</w:t>
      </w:r>
      <w:r w:rsidR="00177848" w:rsidRPr="00C6052E">
        <w:t xml:space="preserve"> </w:t>
      </w:r>
      <w:r w:rsidRPr="00C6052E">
        <w:t>million</w:t>
      </w:r>
      <w:r w:rsidR="00177848" w:rsidRPr="00C6052E">
        <w:t xml:space="preserve"> </w:t>
      </w:r>
      <w:r w:rsidRPr="00C6052E">
        <w:t>visitors,</w:t>
      </w:r>
      <w:r w:rsidR="00177848" w:rsidRPr="00C6052E">
        <w:t xml:space="preserve"> </w:t>
      </w:r>
      <w:r w:rsidRPr="00C6052E">
        <w:t>a</w:t>
      </w:r>
      <w:r w:rsidR="00177848" w:rsidRPr="00C6052E">
        <w:t xml:space="preserve"> </w:t>
      </w:r>
      <w:r w:rsidRPr="00C6052E">
        <w:t>4%</w:t>
      </w:r>
      <w:r w:rsidR="00177848" w:rsidRPr="00C6052E">
        <w:t xml:space="preserve"> </w:t>
      </w:r>
      <w:r w:rsidRPr="00C6052E">
        <w:t>increase</w:t>
      </w:r>
      <w:r w:rsidR="00177848" w:rsidRPr="00C6052E">
        <w:t xml:space="preserve"> </w:t>
      </w:r>
      <w:r w:rsidRPr="00C6052E">
        <w:t>on</w:t>
      </w:r>
      <w:r w:rsidR="00177848" w:rsidRPr="00C6052E">
        <w:t xml:space="preserve"> </w:t>
      </w:r>
      <w:r w:rsidRPr="00C6052E">
        <w:t>2023–24</w:t>
      </w:r>
      <w:r w:rsidR="00177848" w:rsidRPr="00C6052E">
        <w:t xml:space="preserve"> </w:t>
      </w:r>
      <w:r w:rsidRPr="00C6052E">
        <w:t>and</w:t>
      </w:r>
      <w:r w:rsidR="00177848" w:rsidRPr="00C6052E">
        <w:t xml:space="preserve"> </w:t>
      </w:r>
      <w:r w:rsidRPr="00C6052E">
        <w:t>a</w:t>
      </w:r>
      <w:r w:rsidR="00177848" w:rsidRPr="00C6052E">
        <w:t xml:space="preserve"> </w:t>
      </w:r>
      <w:r w:rsidRPr="00C6052E">
        <w:t>continuation</w:t>
      </w:r>
      <w:r w:rsidR="00177848" w:rsidRPr="00C6052E">
        <w:t xml:space="preserve"> </w:t>
      </w:r>
      <w:r w:rsidRPr="00C6052E">
        <w:t>of</w:t>
      </w:r>
      <w:r w:rsidR="00177848" w:rsidRPr="00C6052E">
        <w:t xml:space="preserve"> </w:t>
      </w:r>
      <w:r w:rsidRPr="00C6052E">
        <w:t>the</w:t>
      </w:r>
      <w:r w:rsidR="00177848" w:rsidRPr="00C6052E">
        <w:t xml:space="preserve"> </w:t>
      </w:r>
      <w:r w:rsidRPr="00C6052E">
        <w:t>trend</w:t>
      </w:r>
      <w:r w:rsidR="00177848" w:rsidRPr="00C6052E">
        <w:t xml:space="preserve"> </w:t>
      </w:r>
      <w:r w:rsidRPr="00C6052E">
        <w:t>of</w:t>
      </w:r>
      <w:r w:rsidR="00177848" w:rsidRPr="00C6052E">
        <w:t xml:space="preserve"> </w:t>
      </w:r>
      <w:r w:rsidRPr="00C6052E">
        <w:t>significant</w:t>
      </w:r>
      <w:r w:rsidR="00177848" w:rsidRPr="00C6052E">
        <w:t xml:space="preserve"> </w:t>
      </w:r>
      <w:r w:rsidRPr="00C6052E">
        <w:t>year-on-year</w:t>
      </w:r>
      <w:r w:rsidR="00177848" w:rsidRPr="00C6052E">
        <w:t xml:space="preserve"> </w:t>
      </w:r>
      <w:r w:rsidRPr="00C6052E">
        <w:t>improvement.</w:t>
      </w:r>
    </w:p>
    <w:p w14:paraId="5B8B9049" w14:textId="2D82F5AC" w:rsidR="00EE5BB8" w:rsidRPr="00C6052E" w:rsidRDefault="00EE5BB8" w:rsidP="00445EF8">
      <w:pPr>
        <w:pStyle w:val="Normalbeforebullets"/>
      </w:pPr>
      <w:r w:rsidRPr="00C6052E">
        <w:lastRenderedPageBreak/>
        <w:t>Investment</w:t>
      </w:r>
      <w:r w:rsidR="00177848" w:rsidRPr="00C6052E">
        <w:t xml:space="preserve"> </w:t>
      </w:r>
      <w:r w:rsidRPr="00C6052E">
        <w:t>in</w:t>
      </w:r>
      <w:r w:rsidR="00177848" w:rsidRPr="00C6052E">
        <w:t xml:space="preserve"> </w:t>
      </w:r>
      <w:r w:rsidRPr="00C6052E">
        <w:t>innovative</w:t>
      </w:r>
      <w:r w:rsidR="00177848" w:rsidRPr="00C6052E">
        <w:t xml:space="preserve"> </w:t>
      </w:r>
      <w:r w:rsidRPr="00C6052E">
        <w:t>programming,</w:t>
      </w:r>
      <w:r w:rsidR="00177848" w:rsidRPr="00C6052E">
        <w:t xml:space="preserve"> </w:t>
      </w:r>
      <w:r w:rsidRPr="00C6052E">
        <w:t>exhibitions</w:t>
      </w:r>
      <w:r w:rsidR="00177848" w:rsidRPr="00C6052E">
        <w:t xml:space="preserve"> </w:t>
      </w:r>
      <w:r w:rsidRPr="00C6052E">
        <w:t>and</w:t>
      </w:r>
      <w:r w:rsidR="00177848" w:rsidRPr="00C6052E">
        <w:t xml:space="preserve"> </w:t>
      </w:r>
      <w:r w:rsidRPr="00C6052E">
        <w:t>productions</w:t>
      </w:r>
      <w:r w:rsidR="00177848" w:rsidRPr="00C6052E">
        <w:t xml:space="preserve"> </w:t>
      </w:r>
      <w:r w:rsidRPr="00C6052E">
        <w:t>has</w:t>
      </w:r>
      <w:r w:rsidR="00177848" w:rsidRPr="00C6052E">
        <w:t xml:space="preserve"> </w:t>
      </w:r>
      <w:r w:rsidRPr="00C6052E">
        <w:t>resulted</w:t>
      </w:r>
      <w:r w:rsidR="00177848" w:rsidRPr="00C6052E">
        <w:t xml:space="preserve"> </w:t>
      </w:r>
      <w:r w:rsidRPr="00C6052E">
        <w:t>in</w:t>
      </w:r>
      <w:r w:rsidR="00177848" w:rsidRPr="00C6052E">
        <w:t xml:space="preserve"> </w:t>
      </w:r>
      <w:r w:rsidRPr="00C6052E">
        <w:t>strong</w:t>
      </w:r>
      <w:r w:rsidR="00177848" w:rsidRPr="00C6052E">
        <w:t xml:space="preserve"> </w:t>
      </w:r>
      <w:r w:rsidRPr="00C6052E">
        <w:t>attendances</w:t>
      </w:r>
      <w:r w:rsidR="00177848" w:rsidRPr="00C6052E">
        <w:t xml:space="preserve"> </w:t>
      </w:r>
      <w:r w:rsidRPr="00C6052E">
        <w:t>across</w:t>
      </w:r>
      <w:r w:rsidR="00177848" w:rsidRPr="00C6052E">
        <w:t xml:space="preserve"> </w:t>
      </w:r>
      <w:r w:rsidRPr="00C6052E">
        <w:t>the</w:t>
      </w:r>
      <w:r w:rsidR="00177848" w:rsidRPr="00C6052E">
        <w:t xml:space="preserve"> </w:t>
      </w:r>
      <w:r w:rsidRPr="00C6052E">
        <w:t>portfolio</w:t>
      </w:r>
      <w:r w:rsidR="00177848" w:rsidRPr="00C6052E">
        <w:t xml:space="preserve"> </w:t>
      </w:r>
      <w:r w:rsidRPr="00C6052E">
        <w:t>driven</w:t>
      </w:r>
      <w:r w:rsidR="00177848" w:rsidRPr="00C6052E">
        <w:t xml:space="preserve"> </w:t>
      </w:r>
      <w:r w:rsidRPr="00C6052E">
        <w:t>by:</w:t>
      </w:r>
      <w:r w:rsidR="00177848" w:rsidRPr="00C6052E">
        <w:t xml:space="preserve"> </w:t>
      </w:r>
    </w:p>
    <w:p w14:paraId="142B1ABC" w14:textId="36E24414" w:rsidR="00EE5BB8" w:rsidRPr="00C6052E" w:rsidRDefault="00EE5BB8" w:rsidP="00EE5BB8">
      <w:pPr>
        <w:pStyle w:val="Bullet1"/>
        <w:numPr>
          <w:ilvl w:val="0"/>
          <w:numId w:val="1"/>
        </w:numPr>
        <w:spacing w:line="278" w:lineRule="auto"/>
        <w:ind w:left="284" w:hanging="284"/>
        <w:rPr>
          <w:lang w:val="en-AU"/>
        </w:rPr>
      </w:pPr>
      <w:r w:rsidRPr="00C6052E">
        <w:rPr>
          <w:lang w:val="en-AU"/>
        </w:rPr>
        <w:t>increased</w:t>
      </w:r>
      <w:r w:rsidR="00177848" w:rsidRPr="00C6052E">
        <w:rPr>
          <w:lang w:val="en-AU"/>
        </w:rPr>
        <w:t xml:space="preserve"> </w:t>
      </w:r>
      <w:r w:rsidRPr="00C6052E">
        <w:rPr>
          <w:lang w:val="en-AU"/>
        </w:rPr>
        <w:t>audience</w:t>
      </w:r>
      <w:r w:rsidR="00177848" w:rsidRPr="00C6052E">
        <w:rPr>
          <w:lang w:val="en-AU"/>
        </w:rPr>
        <w:t xml:space="preserve"> </w:t>
      </w:r>
      <w:r w:rsidRPr="00C6052E">
        <w:rPr>
          <w:lang w:val="en-AU"/>
        </w:rPr>
        <w:t>engagement</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nation’s</w:t>
      </w:r>
      <w:r w:rsidR="00177848" w:rsidRPr="00C6052E">
        <w:rPr>
          <w:lang w:val="en-AU"/>
        </w:rPr>
        <w:t xml:space="preserve"> </w:t>
      </w:r>
      <w:r w:rsidRPr="00C6052E">
        <w:rPr>
          <w:lang w:val="en-AU"/>
        </w:rPr>
        <w:t>largest</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performing</w:t>
      </w:r>
      <w:r w:rsidR="00177848" w:rsidRPr="00C6052E">
        <w:rPr>
          <w:lang w:val="en-AU"/>
        </w:rPr>
        <w:t xml:space="preserve"> </w:t>
      </w:r>
      <w:r w:rsidRPr="00C6052E">
        <w:rPr>
          <w:lang w:val="en-AU"/>
        </w:rPr>
        <w:t>arts</w:t>
      </w:r>
      <w:r w:rsidR="00177848" w:rsidRPr="00C6052E">
        <w:rPr>
          <w:lang w:val="en-AU"/>
        </w:rPr>
        <w:t xml:space="preserve"> </w:t>
      </w:r>
      <w:r w:rsidRPr="00C6052E">
        <w:rPr>
          <w:lang w:val="en-AU"/>
        </w:rPr>
        <w:t>facility,</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269,000+</w:t>
      </w:r>
      <w:r w:rsidR="00177848" w:rsidRPr="00C6052E">
        <w:rPr>
          <w:lang w:val="en-AU"/>
        </w:rPr>
        <w:t xml:space="preserve"> </w:t>
      </w:r>
      <w:r w:rsidRPr="00C6052E">
        <w:rPr>
          <w:lang w:val="en-AU"/>
        </w:rPr>
        <w:t>visitors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Geelong</w:t>
      </w:r>
      <w:r w:rsidR="00177848" w:rsidRPr="00C6052E">
        <w:rPr>
          <w:lang w:val="en-AU"/>
        </w:rPr>
        <w:t xml:space="preserve"> </w:t>
      </w:r>
      <w:r w:rsidRPr="00C6052E">
        <w:rPr>
          <w:lang w:val="en-AU"/>
        </w:rPr>
        <w:t>Arts</w:t>
      </w:r>
      <w:r w:rsidR="00177848" w:rsidRPr="00C6052E">
        <w:rPr>
          <w:lang w:val="en-AU"/>
        </w:rPr>
        <w:t xml:space="preserve"> </w:t>
      </w:r>
      <w:r w:rsidRPr="00C6052E">
        <w:rPr>
          <w:lang w:val="en-AU"/>
        </w:rPr>
        <w:t>Centre</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its</w:t>
      </w:r>
      <w:r w:rsidR="00177848" w:rsidRPr="00C6052E">
        <w:rPr>
          <w:lang w:val="en-AU"/>
        </w:rPr>
        <w:t xml:space="preserve"> </w:t>
      </w:r>
      <w:r w:rsidRPr="00C6052E">
        <w:rPr>
          <w:lang w:val="en-AU"/>
        </w:rPr>
        <w:t>first</w:t>
      </w:r>
      <w:r w:rsidR="00177848" w:rsidRPr="00C6052E">
        <w:rPr>
          <w:lang w:val="en-AU"/>
        </w:rPr>
        <w:t xml:space="preserve"> </w:t>
      </w:r>
      <w:r w:rsidRPr="00C6052E">
        <w:rPr>
          <w:lang w:val="en-AU"/>
        </w:rPr>
        <w:t>full</w:t>
      </w:r>
      <w:r w:rsidR="00177848" w:rsidRPr="00C6052E">
        <w:rPr>
          <w:lang w:val="en-AU"/>
        </w:rPr>
        <w:t xml:space="preserve"> </w:t>
      </w:r>
      <w:r w:rsidRPr="00C6052E">
        <w:rPr>
          <w:lang w:val="en-AU"/>
        </w:rPr>
        <w:t>year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operations</w:t>
      </w:r>
    </w:p>
    <w:p w14:paraId="54AD6C72" w14:textId="611BAE9D" w:rsidR="00EE5BB8" w:rsidRPr="00C6052E" w:rsidRDefault="00EE5BB8" w:rsidP="00EE5BB8">
      <w:pPr>
        <w:pStyle w:val="Bullet1"/>
        <w:numPr>
          <w:ilvl w:val="0"/>
          <w:numId w:val="1"/>
        </w:numPr>
        <w:spacing w:line="278" w:lineRule="auto"/>
        <w:ind w:left="284" w:hanging="284"/>
        <w:rPr>
          <w:lang w:val="en-AU"/>
        </w:rPr>
      </w:pPr>
      <w:r w:rsidRPr="00C6052E">
        <w:rPr>
          <w:lang w:val="en-AU"/>
        </w:rPr>
        <w:t>blockbuster</w:t>
      </w:r>
      <w:r w:rsidR="00177848" w:rsidRPr="00C6052E">
        <w:rPr>
          <w:lang w:val="en-AU"/>
        </w:rPr>
        <w:t xml:space="preserve"> </w:t>
      </w:r>
      <w:r w:rsidRPr="00C6052E">
        <w:rPr>
          <w:lang w:val="en-AU"/>
        </w:rPr>
        <w:t>exhibitions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NGV</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Yayoi</w:t>
      </w:r>
      <w:r w:rsidR="00177848" w:rsidRPr="00C6052E">
        <w:rPr>
          <w:lang w:val="en-AU"/>
        </w:rPr>
        <w:t xml:space="preserve"> </w:t>
      </w:r>
      <w:r w:rsidRPr="00C6052E">
        <w:rPr>
          <w:lang w:val="en-AU"/>
        </w:rPr>
        <w:t>Kusama,</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most</w:t>
      </w:r>
      <w:r w:rsidR="00177848" w:rsidRPr="00C6052E">
        <w:rPr>
          <w:lang w:val="en-AU"/>
        </w:rPr>
        <w:t xml:space="preserve"> </w:t>
      </w:r>
      <w:r w:rsidRPr="00C6052E">
        <w:rPr>
          <w:lang w:val="en-AU"/>
        </w:rPr>
        <w:t>popular</w:t>
      </w:r>
      <w:r w:rsidR="00177848" w:rsidRPr="00C6052E">
        <w:rPr>
          <w:lang w:val="en-AU"/>
        </w:rPr>
        <w:t xml:space="preserve"> </w:t>
      </w:r>
      <w:r w:rsidRPr="00C6052E">
        <w:rPr>
          <w:lang w:val="en-AU"/>
        </w:rPr>
        <w:t>ticketed</w:t>
      </w:r>
      <w:r w:rsidR="00177848" w:rsidRPr="00C6052E">
        <w:rPr>
          <w:lang w:val="en-AU"/>
        </w:rPr>
        <w:t xml:space="preserve"> </w:t>
      </w:r>
      <w:r w:rsidRPr="00C6052E">
        <w:rPr>
          <w:lang w:val="en-AU"/>
        </w:rPr>
        <w:t>exhibition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NGV’s</w:t>
      </w:r>
      <w:r w:rsidR="00177848" w:rsidRPr="00C6052E">
        <w:rPr>
          <w:lang w:val="en-AU"/>
        </w:rPr>
        <w:t xml:space="preserve"> </w:t>
      </w:r>
      <w:r w:rsidRPr="00C6052E">
        <w:rPr>
          <w:lang w:val="en-AU"/>
        </w:rPr>
        <w:t>history</w:t>
      </w:r>
      <w:r w:rsidR="00177848" w:rsidRPr="00C6052E">
        <w:rPr>
          <w:lang w:val="en-AU"/>
        </w:rPr>
        <w:t xml:space="preserve"> </w:t>
      </w:r>
    </w:p>
    <w:p w14:paraId="1C263C90" w14:textId="79D498B1" w:rsidR="00EE5BB8" w:rsidRPr="00C6052E" w:rsidRDefault="00EE5BB8" w:rsidP="00EE5BB8">
      <w:pPr>
        <w:pStyle w:val="Bullet1last"/>
        <w:numPr>
          <w:ilvl w:val="0"/>
          <w:numId w:val="1"/>
        </w:numPr>
        <w:spacing w:line="278" w:lineRule="auto"/>
        <w:ind w:left="284" w:hanging="284"/>
        <w:rPr>
          <w:lang w:val="en-AU"/>
        </w:rPr>
      </w:pPr>
      <w:r w:rsidRPr="00C6052E">
        <w:rPr>
          <w:lang w:val="en-AU"/>
        </w:rPr>
        <w:t>State</w:t>
      </w:r>
      <w:r w:rsidR="00177848" w:rsidRPr="00C6052E">
        <w:rPr>
          <w:lang w:val="en-AU"/>
        </w:rPr>
        <w:t xml:space="preserve"> </w:t>
      </w:r>
      <w:r w:rsidRPr="00C6052E">
        <w:rPr>
          <w:lang w:val="en-AU"/>
        </w:rPr>
        <w:t>Library</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continuation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strong</w:t>
      </w:r>
      <w:r w:rsidR="00177848" w:rsidRPr="00C6052E">
        <w:rPr>
          <w:lang w:val="en-AU"/>
        </w:rPr>
        <w:t xml:space="preserve"> </w:t>
      </w:r>
      <w:r w:rsidRPr="00C6052E">
        <w:rPr>
          <w:lang w:val="en-AU"/>
        </w:rPr>
        <w:t>onsite</w:t>
      </w:r>
      <w:r w:rsidR="00177848" w:rsidRPr="00C6052E">
        <w:rPr>
          <w:lang w:val="en-AU"/>
        </w:rPr>
        <w:t xml:space="preserve"> </w:t>
      </w:r>
      <w:r w:rsidRPr="00C6052E">
        <w:rPr>
          <w:lang w:val="en-AU"/>
        </w:rPr>
        <w:t>attendance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more</w:t>
      </w:r>
      <w:r w:rsidR="00177848" w:rsidRPr="00C6052E">
        <w:rPr>
          <w:lang w:val="en-AU"/>
        </w:rPr>
        <w:t xml:space="preserve"> </w:t>
      </w:r>
      <w:r w:rsidRPr="00C6052E">
        <w:rPr>
          <w:lang w:val="en-AU"/>
        </w:rPr>
        <w:t>than</w:t>
      </w:r>
      <w:r w:rsidR="00177848" w:rsidRPr="00C6052E">
        <w:rPr>
          <w:lang w:val="en-AU"/>
        </w:rPr>
        <w:t xml:space="preserve"> </w:t>
      </w:r>
      <w:r w:rsidRPr="00C6052E">
        <w:rPr>
          <w:lang w:val="en-AU"/>
        </w:rPr>
        <w:t>2</w:t>
      </w:r>
      <w:r w:rsidR="00177848" w:rsidRPr="00C6052E">
        <w:rPr>
          <w:lang w:val="en-AU"/>
        </w:rPr>
        <w:t xml:space="preserve"> </w:t>
      </w:r>
      <w:r w:rsidRPr="00C6052E">
        <w:rPr>
          <w:lang w:val="en-AU"/>
        </w:rPr>
        <w:t>million</w:t>
      </w:r>
      <w:r w:rsidR="00177848" w:rsidRPr="00C6052E">
        <w:rPr>
          <w:lang w:val="en-AU"/>
        </w:rPr>
        <w:t xml:space="preserve"> </w:t>
      </w:r>
      <w:r w:rsidRPr="00C6052E">
        <w:rPr>
          <w:lang w:val="en-AU"/>
        </w:rPr>
        <w:t>visitors</w:t>
      </w:r>
    </w:p>
    <w:p w14:paraId="01EE306A" w14:textId="5C66CC65" w:rsidR="00EE5BB8" w:rsidRPr="00C6052E" w:rsidRDefault="00EE5BB8" w:rsidP="00EE5BB8">
      <w:pPr>
        <w:pStyle w:val="TableHeading"/>
      </w:pPr>
      <w:r w:rsidRPr="00C6052E">
        <w:t>Table</w:t>
      </w:r>
      <w:r w:rsidR="00177848" w:rsidRPr="00C6052E">
        <w:t xml:space="preserve"> </w:t>
      </w:r>
      <w:r w:rsidRPr="00C6052E">
        <w:t>17:</w:t>
      </w:r>
      <w:r w:rsidR="00177848" w:rsidRPr="00C6052E">
        <w:t xml:space="preserve"> </w:t>
      </w:r>
      <w:r w:rsidRPr="00C6052E">
        <w:t>Attendances</w:t>
      </w:r>
      <w:r w:rsidR="00177848" w:rsidRPr="00C6052E">
        <w:t xml:space="preserve"> </w:t>
      </w:r>
      <w:r w:rsidRPr="00C6052E">
        <w:t>at</w:t>
      </w:r>
      <w:r w:rsidR="00177848" w:rsidRPr="00C6052E">
        <w:t xml:space="preserve"> </w:t>
      </w:r>
      <w:r w:rsidRPr="00C6052E">
        <w:t>funded</w:t>
      </w:r>
      <w:r w:rsidR="00177848" w:rsidRPr="00C6052E">
        <w:t xml:space="preserve"> </w:t>
      </w:r>
      <w:r w:rsidRPr="00C6052E">
        <w:t>Major</w:t>
      </w:r>
      <w:r w:rsidR="00177848" w:rsidRPr="00C6052E">
        <w:t xml:space="preserve"> </w:t>
      </w:r>
      <w:r w:rsidRPr="00C6052E">
        <w:t>Performing</w:t>
      </w:r>
      <w:r w:rsidR="00177848" w:rsidRPr="00C6052E">
        <w:t xml:space="preserve"> </w:t>
      </w:r>
      <w:r w:rsidRPr="00C6052E" w:rsidDel="00BF4FF6">
        <w:t>A</w:t>
      </w:r>
      <w:r w:rsidRPr="00C6052E">
        <w:t>rts</w:t>
      </w:r>
      <w:r w:rsidR="00177848" w:rsidRPr="00C6052E">
        <w:t xml:space="preserve"> </w:t>
      </w:r>
      <w:r w:rsidRPr="00C6052E">
        <w:t>organisations</w:t>
      </w:r>
    </w:p>
    <w:tbl>
      <w:tblPr>
        <w:tblStyle w:val="TableGrid"/>
        <w:tblW w:w="9634" w:type="dxa"/>
        <w:tblLayout w:type="fixed"/>
        <w:tblLook w:val="0020" w:firstRow="1" w:lastRow="0" w:firstColumn="0" w:lastColumn="0" w:noHBand="0" w:noVBand="0"/>
      </w:tblPr>
      <w:tblGrid>
        <w:gridCol w:w="4673"/>
        <w:gridCol w:w="1240"/>
        <w:gridCol w:w="1240"/>
        <w:gridCol w:w="1240"/>
        <w:gridCol w:w="1241"/>
      </w:tblGrid>
      <w:tr w:rsidR="00EE5BB8" w:rsidRPr="00C6052E" w14:paraId="2994003A" w14:textId="77777777" w:rsidTr="0063097D">
        <w:tc>
          <w:tcPr>
            <w:tcW w:w="4673" w:type="dxa"/>
          </w:tcPr>
          <w:p w14:paraId="29C40CA7" w14:textId="57775D25" w:rsidR="00EE5BB8" w:rsidRPr="00C6052E" w:rsidRDefault="00EE5BB8" w:rsidP="0063097D">
            <w:pPr>
              <w:pStyle w:val="TableColumnHeading"/>
              <w:rPr>
                <w:lang w:val="en-AU"/>
              </w:rPr>
            </w:pPr>
            <w:bookmarkStart w:id="34" w:name="TableColumnHeadings_25"/>
            <w:bookmarkEnd w:id="34"/>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40" w:type="dxa"/>
          </w:tcPr>
          <w:p w14:paraId="61263AB6" w14:textId="77777777" w:rsidR="00EE5BB8" w:rsidRPr="00C6052E" w:rsidRDefault="00EE5BB8" w:rsidP="0063097D">
            <w:pPr>
              <w:pStyle w:val="TableColumnHeading"/>
              <w:jc w:val="right"/>
              <w:rPr>
                <w:lang w:val="en-AU"/>
              </w:rPr>
            </w:pPr>
            <w:r w:rsidRPr="00C6052E">
              <w:rPr>
                <w:lang w:val="en-AU"/>
              </w:rPr>
              <w:t>2021–22</w:t>
            </w:r>
          </w:p>
        </w:tc>
        <w:tc>
          <w:tcPr>
            <w:tcW w:w="1240" w:type="dxa"/>
          </w:tcPr>
          <w:p w14:paraId="12A73302" w14:textId="77777777" w:rsidR="00EE5BB8" w:rsidRPr="00C6052E" w:rsidRDefault="00EE5BB8" w:rsidP="0063097D">
            <w:pPr>
              <w:pStyle w:val="TableColumnHeading"/>
              <w:jc w:val="right"/>
              <w:rPr>
                <w:lang w:val="en-AU"/>
              </w:rPr>
            </w:pPr>
            <w:r w:rsidRPr="00C6052E">
              <w:rPr>
                <w:lang w:val="en-AU"/>
              </w:rPr>
              <w:t>2022–23</w:t>
            </w:r>
          </w:p>
        </w:tc>
        <w:tc>
          <w:tcPr>
            <w:tcW w:w="1240" w:type="dxa"/>
          </w:tcPr>
          <w:p w14:paraId="335C93DE" w14:textId="77777777" w:rsidR="00EE5BB8" w:rsidRPr="00C6052E" w:rsidRDefault="00EE5BB8" w:rsidP="0063097D">
            <w:pPr>
              <w:pStyle w:val="TableColumnHeading"/>
              <w:jc w:val="right"/>
              <w:rPr>
                <w:lang w:val="en-AU"/>
              </w:rPr>
            </w:pPr>
            <w:r w:rsidRPr="00C6052E">
              <w:rPr>
                <w:lang w:val="en-AU"/>
              </w:rPr>
              <w:t>2023–24</w:t>
            </w:r>
          </w:p>
        </w:tc>
        <w:tc>
          <w:tcPr>
            <w:tcW w:w="1241" w:type="dxa"/>
          </w:tcPr>
          <w:p w14:paraId="01A171B6"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2927132B" w14:textId="77777777" w:rsidTr="0063097D">
        <w:tc>
          <w:tcPr>
            <w:tcW w:w="4673" w:type="dxa"/>
          </w:tcPr>
          <w:p w14:paraId="2DD971E3" w14:textId="2ED6DC0F" w:rsidR="00EE5BB8" w:rsidRPr="00C6052E"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funded</w:t>
            </w:r>
            <w:r w:rsidR="00177848" w:rsidRPr="00C6052E">
              <w:rPr>
                <w:lang w:val="en-AU"/>
              </w:rPr>
              <w:t xml:space="preserve"> </w:t>
            </w:r>
            <w:r w:rsidRPr="00C6052E">
              <w:rPr>
                <w:lang w:val="en-AU"/>
              </w:rPr>
              <w:t>Major</w:t>
            </w:r>
            <w:r w:rsidR="00177848" w:rsidRPr="00C6052E">
              <w:rPr>
                <w:lang w:val="en-AU"/>
              </w:rPr>
              <w:t xml:space="preserve"> </w:t>
            </w:r>
            <w:r w:rsidRPr="00C6052E">
              <w:rPr>
                <w:lang w:val="en-AU"/>
              </w:rPr>
              <w:t>Performing</w:t>
            </w:r>
            <w:r w:rsidR="00177848" w:rsidRPr="00C6052E">
              <w:rPr>
                <w:lang w:val="en-AU"/>
              </w:rPr>
              <w:t xml:space="preserve"> </w:t>
            </w:r>
            <w:r w:rsidRPr="00C6052E" w:rsidDel="00BF4FF6">
              <w:rPr>
                <w:lang w:val="en-AU"/>
              </w:rPr>
              <w:t>A</w:t>
            </w:r>
            <w:r w:rsidRPr="00C6052E">
              <w:rPr>
                <w:lang w:val="en-AU"/>
              </w:rPr>
              <w:t>rts</w:t>
            </w:r>
            <w:r w:rsidR="00177848" w:rsidRPr="00C6052E">
              <w:rPr>
                <w:lang w:val="en-AU"/>
              </w:rPr>
              <w:t xml:space="preserve"> </w:t>
            </w:r>
            <w:r w:rsidRPr="00C6052E">
              <w:rPr>
                <w:lang w:val="en-AU"/>
              </w:rPr>
              <w:t>organisations</w:t>
            </w:r>
            <w:r w:rsidR="00177848" w:rsidRPr="00C6052E">
              <w:rPr>
                <w:lang w:val="en-AU"/>
              </w:rPr>
              <w:t xml:space="preserve"> </w:t>
            </w:r>
            <w:r w:rsidRPr="00C6052E">
              <w:rPr>
                <w:lang w:val="en-AU"/>
              </w:rPr>
              <w:t>(number</w:t>
            </w:r>
            <w:r w:rsidR="00177848" w:rsidRPr="00C6052E">
              <w:rPr>
                <w:lang w:val="en-AU"/>
              </w:rPr>
              <w:t xml:space="preserve"> </w:t>
            </w:r>
            <w:r w:rsidRPr="00C6052E">
              <w:rPr>
                <w:lang w:val="en-AU"/>
              </w:rPr>
              <w:t>(‘000))</w:t>
            </w:r>
          </w:p>
        </w:tc>
        <w:tc>
          <w:tcPr>
            <w:tcW w:w="1240" w:type="dxa"/>
          </w:tcPr>
          <w:p w14:paraId="09F2D504" w14:textId="77777777" w:rsidR="00EE5BB8" w:rsidRPr="00C6052E" w:rsidRDefault="00EE5BB8" w:rsidP="0063097D">
            <w:pPr>
              <w:pStyle w:val="TableCopy"/>
              <w:jc w:val="right"/>
              <w:rPr>
                <w:lang w:val="en-AU"/>
              </w:rPr>
            </w:pPr>
            <w:r w:rsidRPr="00C6052E">
              <w:rPr>
                <w:lang w:val="en-AU"/>
              </w:rPr>
              <w:t>279</w:t>
            </w:r>
          </w:p>
        </w:tc>
        <w:tc>
          <w:tcPr>
            <w:tcW w:w="1240" w:type="dxa"/>
          </w:tcPr>
          <w:p w14:paraId="43E2B77B" w14:textId="77777777" w:rsidR="00EE5BB8" w:rsidRPr="00C6052E" w:rsidRDefault="00EE5BB8" w:rsidP="0063097D">
            <w:pPr>
              <w:pStyle w:val="TableCopy"/>
              <w:jc w:val="right"/>
              <w:rPr>
                <w:lang w:val="en-AU"/>
              </w:rPr>
            </w:pPr>
            <w:r w:rsidRPr="00C6052E">
              <w:rPr>
                <w:lang w:val="en-AU"/>
              </w:rPr>
              <w:t>977</w:t>
            </w:r>
          </w:p>
        </w:tc>
        <w:tc>
          <w:tcPr>
            <w:tcW w:w="1240" w:type="dxa"/>
          </w:tcPr>
          <w:p w14:paraId="6BA5D4A4" w14:textId="372C87C8" w:rsidR="00EE5BB8" w:rsidRPr="00C6052E" w:rsidRDefault="00EE5BB8" w:rsidP="0063097D">
            <w:pPr>
              <w:pStyle w:val="TableCopy"/>
              <w:jc w:val="right"/>
              <w:rPr>
                <w:lang w:val="en-AU"/>
              </w:rPr>
            </w:pPr>
            <w:r w:rsidRPr="00C6052E">
              <w:rPr>
                <w:lang w:val="en-AU"/>
              </w:rPr>
              <w:t>1,019</w:t>
            </w:r>
            <w:r w:rsidR="00177848" w:rsidRPr="00C6052E">
              <w:rPr>
                <w:rFonts w:cs="Cambria"/>
                <w:lang w:val="en-AU"/>
              </w:rPr>
              <w:t xml:space="preserve"> </w:t>
            </w:r>
          </w:p>
        </w:tc>
        <w:tc>
          <w:tcPr>
            <w:tcW w:w="1241" w:type="dxa"/>
          </w:tcPr>
          <w:p w14:paraId="53DB8FC3" w14:textId="77777777" w:rsidR="00EE5BB8" w:rsidRPr="00C6052E" w:rsidRDefault="00EE5BB8" w:rsidP="0063097D">
            <w:pPr>
              <w:pStyle w:val="TableCopy"/>
              <w:jc w:val="right"/>
              <w:rPr>
                <w:lang w:val="en-AU"/>
              </w:rPr>
            </w:pPr>
            <w:r w:rsidRPr="00C6052E">
              <w:rPr>
                <w:lang w:val="en-AU"/>
              </w:rPr>
              <w:t>987</w:t>
            </w:r>
          </w:p>
        </w:tc>
      </w:tr>
    </w:tbl>
    <w:p w14:paraId="5B171E9A" w14:textId="77777777" w:rsidR="00EE5BB8" w:rsidRPr="00C6052E" w:rsidRDefault="00EE5BB8" w:rsidP="00EE5BB8">
      <w:bookmarkStart w:id="35" w:name="_Toc152067229"/>
    </w:p>
    <w:p w14:paraId="20FDECD0" w14:textId="01E589F5" w:rsidR="00EE5BB8" w:rsidRPr="00C6052E" w:rsidRDefault="00EE5BB8" w:rsidP="00EE5BB8">
      <w:pPr>
        <w:pStyle w:val="TableHeading"/>
      </w:pPr>
      <w:r w:rsidRPr="00C6052E">
        <w:t>Figure</w:t>
      </w:r>
      <w:r w:rsidR="00177848" w:rsidRPr="00C6052E">
        <w:t xml:space="preserve"> </w:t>
      </w:r>
      <w:r w:rsidRPr="00C6052E">
        <w:t>16:</w:t>
      </w:r>
      <w:r w:rsidR="00177848" w:rsidRPr="00C6052E">
        <w:t xml:space="preserve"> </w:t>
      </w:r>
      <w:r w:rsidRPr="00C6052E">
        <w:t>Attendances</w:t>
      </w:r>
      <w:r w:rsidR="00177848" w:rsidRPr="00C6052E">
        <w:t xml:space="preserve"> </w:t>
      </w:r>
      <w:r w:rsidRPr="00C6052E">
        <w:t>at</w:t>
      </w:r>
      <w:r w:rsidR="00177848" w:rsidRPr="00C6052E">
        <w:t xml:space="preserve"> </w:t>
      </w:r>
      <w:r w:rsidRPr="00C6052E">
        <w:t>funded</w:t>
      </w:r>
      <w:r w:rsidR="00177848" w:rsidRPr="00C6052E">
        <w:t xml:space="preserve"> </w:t>
      </w:r>
      <w:r w:rsidRPr="00C6052E">
        <w:t>Major</w:t>
      </w:r>
      <w:r w:rsidR="00177848" w:rsidRPr="00C6052E">
        <w:t xml:space="preserve"> </w:t>
      </w:r>
      <w:r w:rsidRPr="00C6052E">
        <w:t>Performing</w:t>
      </w:r>
      <w:r w:rsidR="00177848" w:rsidRPr="00C6052E">
        <w:t xml:space="preserve"> </w:t>
      </w:r>
      <w:r w:rsidRPr="00C6052E" w:rsidDel="00BF4FF6">
        <w:t>A</w:t>
      </w:r>
      <w:r w:rsidRPr="00C6052E">
        <w:t>rts</w:t>
      </w:r>
      <w:r w:rsidR="00177848" w:rsidRPr="00C6052E">
        <w:t xml:space="preserve"> </w:t>
      </w:r>
      <w:r w:rsidRPr="00C6052E">
        <w:t>organisations</w:t>
      </w:r>
    </w:p>
    <w:p w14:paraId="4872AC7F" w14:textId="77777777" w:rsidR="00EE5BB8" w:rsidRPr="00C6052E" w:rsidRDefault="00EE5BB8" w:rsidP="00EE5BB8">
      <w:pPr>
        <w:pStyle w:val="Graph"/>
        <w:rPr>
          <w:noProof w:val="0"/>
        </w:rPr>
      </w:pPr>
      <w:r w:rsidRPr="00C6052E">
        <w:drawing>
          <wp:inline distT="0" distB="0" distL="0" distR="0" wp14:anchorId="032A824E" wp14:editId="48AA5A2B">
            <wp:extent cx="4050000" cy="2700000"/>
            <wp:effectExtent l="0" t="0" r="0" b="0"/>
            <wp:docPr id="1768709328" name="Chart 1" descr="Line graph showing data from Table 17: Attendances at funded Major Performing Arts organisations (above).">
              <a:extLst xmlns:a="http://schemas.openxmlformats.org/drawingml/2006/main">
                <a:ext uri="{FF2B5EF4-FFF2-40B4-BE49-F238E27FC236}">
                  <a16:creationId xmlns:a16="http://schemas.microsoft.com/office/drawing/2014/main" id="{00000000-0008-0000-0600-00000F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250622B" w14:textId="459105FB" w:rsidR="00EE5BB8" w:rsidRPr="00C6052E" w:rsidRDefault="00EE5BB8" w:rsidP="00EE5BB8">
      <w:r w:rsidRPr="00C6052E">
        <w:t>The</w:t>
      </w:r>
      <w:r w:rsidR="00177848" w:rsidRPr="00C6052E">
        <w:t xml:space="preserve"> </w:t>
      </w:r>
      <w:r w:rsidRPr="00C6052E">
        <w:t>2024–25</w:t>
      </w:r>
      <w:r w:rsidR="00177848" w:rsidRPr="00C6052E">
        <w:t xml:space="preserve"> </w:t>
      </w:r>
      <w:r w:rsidRPr="00C6052E">
        <w:t>full-year</w:t>
      </w:r>
      <w:r w:rsidR="00177848" w:rsidRPr="00C6052E">
        <w:t xml:space="preserve"> </w:t>
      </w:r>
      <w:r w:rsidRPr="00C6052E">
        <w:t>attendance</w:t>
      </w:r>
      <w:r w:rsidR="00177848" w:rsidRPr="00C6052E">
        <w:t xml:space="preserve"> </w:t>
      </w:r>
      <w:r w:rsidRPr="00C6052E">
        <w:t>figure</w:t>
      </w:r>
      <w:r w:rsidR="00177848" w:rsidRPr="00C6052E">
        <w:t xml:space="preserve"> </w:t>
      </w:r>
      <w:r w:rsidRPr="00C6052E">
        <w:t>was</w:t>
      </w:r>
      <w:r w:rsidR="00177848" w:rsidRPr="00C6052E">
        <w:t xml:space="preserve"> </w:t>
      </w:r>
      <w:r w:rsidRPr="00C6052E">
        <w:t>987,000</w:t>
      </w:r>
      <w:r w:rsidR="00177848" w:rsidRPr="00C6052E">
        <w:t xml:space="preserve"> </w:t>
      </w:r>
      <w:r w:rsidRPr="00C6052E">
        <w:t>a</w:t>
      </w:r>
      <w:r w:rsidR="00177848" w:rsidRPr="00C6052E">
        <w:t xml:space="preserve"> </w:t>
      </w:r>
      <w:r w:rsidRPr="00C6052E">
        <w:t>decrease</w:t>
      </w:r>
      <w:r w:rsidR="00177848" w:rsidRPr="00C6052E">
        <w:t xml:space="preserve"> </w:t>
      </w:r>
      <w:r w:rsidRPr="00C6052E">
        <w:t>of</w:t>
      </w:r>
      <w:r w:rsidR="00177848" w:rsidRPr="00C6052E">
        <w:t xml:space="preserve"> </w:t>
      </w:r>
      <w:r w:rsidRPr="00C6052E">
        <w:t>3%</w:t>
      </w:r>
      <w:r w:rsidR="00177848" w:rsidRPr="00C6052E">
        <w:t xml:space="preserve"> </w:t>
      </w:r>
      <w:r w:rsidRPr="00C6052E">
        <w:t>on</w:t>
      </w:r>
      <w:r w:rsidR="00177848" w:rsidRPr="00C6052E">
        <w:t xml:space="preserve"> </w:t>
      </w:r>
      <w:r w:rsidRPr="00C6052E">
        <w:t>the</w:t>
      </w:r>
      <w:r w:rsidR="00177848" w:rsidRPr="00C6052E">
        <w:t xml:space="preserve"> </w:t>
      </w:r>
      <w:r w:rsidRPr="00C6052E">
        <w:t>2023–24</w:t>
      </w:r>
      <w:r w:rsidR="00177848" w:rsidRPr="00C6052E">
        <w:t xml:space="preserve"> </w:t>
      </w:r>
      <w:r w:rsidRPr="00C6052E">
        <w:t>figure</w:t>
      </w:r>
      <w:r w:rsidR="00177848" w:rsidRPr="00C6052E">
        <w:t xml:space="preserve"> </w:t>
      </w:r>
      <w:r w:rsidRPr="00C6052E">
        <w:t>of</w:t>
      </w:r>
      <w:r w:rsidR="00177848" w:rsidRPr="00C6052E">
        <w:t xml:space="preserve"> </w:t>
      </w:r>
      <w:r w:rsidRPr="00C6052E">
        <w:t>1,019,000,</w:t>
      </w:r>
      <w:r w:rsidR="00177848" w:rsidRPr="00C6052E">
        <w:t xml:space="preserve"> </w:t>
      </w:r>
      <w:r w:rsidRPr="00C6052E">
        <w:t>primarily</w:t>
      </w:r>
      <w:r w:rsidR="00177848" w:rsidRPr="00C6052E">
        <w:t xml:space="preserve"> </w:t>
      </w:r>
      <w:r w:rsidRPr="00C6052E">
        <w:t>driven</w:t>
      </w:r>
      <w:r w:rsidR="00177848" w:rsidRPr="00C6052E">
        <w:t xml:space="preserve"> </w:t>
      </w:r>
      <w:r w:rsidRPr="00C6052E">
        <w:t>by</w:t>
      </w:r>
      <w:r w:rsidR="00177848" w:rsidRPr="00C6052E">
        <w:t xml:space="preserve"> </w:t>
      </w:r>
      <w:r w:rsidRPr="00C6052E">
        <w:t>the</w:t>
      </w:r>
      <w:r w:rsidR="00177848" w:rsidRPr="00C6052E">
        <w:t xml:space="preserve"> </w:t>
      </w:r>
      <w:r w:rsidRPr="00C6052E">
        <w:t>closure</w:t>
      </w:r>
      <w:r w:rsidR="00177848" w:rsidRPr="00C6052E">
        <w:t xml:space="preserve"> </w:t>
      </w:r>
      <w:r w:rsidRPr="00C6052E">
        <w:t>of</w:t>
      </w:r>
      <w:r w:rsidR="00177848" w:rsidRPr="00C6052E">
        <w:t xml:space="preserve"> </w:t>
      </w:r>
      <w:r w:rsidRPr="00C6052E">
        <w:t>the</w:t>
      </w:r>
      <w:r w:rsidR="00177848" w:rsidRPr="00C6052E">
        <w:t xml:space="preserve"> </w:t>
      </w:r>
      <w:r w:rsidRPr="00C6052E">
        <w:t>State</w:t>
      </w:r>
      <w:r w:rsidR="00177848" w:rsidRPr="00C6052E">
        <w:t xml:space="preserve"> </w:t>
      </w:r>
      <w:r w:rsidRPr="00C6052E">
        <w:t>Theatre</w:t>
      </w:r>
      <w:r w:rsidR="00177848" w:rsidRPr="00C6052E">
        <w:t xml:space="preserve"> </w:t>
      </w:r>
      <w:r w:rsidRPr="00C6052E">
        <w:t>for</w:t>
      </w:r>
      <w:r w:rsidR="00177848" w:rsidRPr="00C6052E">
        <w:t xml:space="preserve"> </w:t>
      </w:r>
      <w:r w:rsidRPr="00C6052E">
        <w:t>refurbishment</w:t>
      </w:r>
      <w:r w:rsidR="00177848" w:rsidRPr="00C6052E">
        <w:t xml:space="preserve"> </w:t>
      </w:r>
      <w:r w:rsidRPr="00C6052E">
        <w:t>works</w:t>
      </w:r>
      <w:r w:rsidR="00177848" w:rsidRPr="00C6052E">
        <w:t xml:space="preserve"> </w:t>
      </w:r>
      <w:r w:rsidRPr="00C6052E">
        <w:t>as</w:t>
      </w:r>
      <w:r w:rsidR="00177848" w:rsidRPr="00C6052E">
        <w:t xml:space="preserve"> </w:t>
      </w:r>
      <w:r w:rsidRPr="00C6052E">
        <w:t>part</w:t>
      </w:r>
      <w:r w:rsidR="00177848" w:rsidRPr="00C6052E">
        <w:t xml:space="preserve"> </w:t>
      </w:r>
      <w:r w:rsidRPr="00C6052E">
        <w:t>of</w:t>
      </w:r>
      <w:r w:rsidR="00177848" w:rsidRPr="00C6052E">
        <w:t xml:space="preserve"> </w:t>
      </w:r>
      <w:r w:rsidRPr="00C6052E">
        <w:t>the</w:t>
      </w:r>
      <w:r w:rsidR="00177848" w:rsidRPr="00C6052E">
        <w:t xml:space="preserve"> </w:t>
      </w:r>
      <w:r w:rsidRPr="00C6052E">
        <w:t>Melbourne</w:t>
      </w:r>
      <w:r w:rsidR="00177848" w:rsidRPr="00C6052E">
        <w:t xml:space="preserve"> </w:t>
      </w:r>
      <w:r w:rsidRPr="00C6052E">
        <w:t>Arts</w:t>
      </w:r>
      <w:r w:rsidR="00177848" w:rsidRPr="00C6052E">
        <w:t xml:space="preserve"> </w:t>
      </w:r>
      <w:r w:rsidRPr="00C6052E">
        <w:t>Precinct</w:t>
      </w:r>
      <w:r w:rsidR="00177848" w:rsidRPr="00C6052E">
        <w:t xml:space="preserve"> </w:t>
      </w:r>
      <w:r w:rsidRPr="00C6052E">
        <w:t>Transformation.</w:t>
      </w:r>
      <w:r w:rsidR="00177848" w:rsidRPr="00C6052E">
        <w:t xml:space="preserve"> </w:t>
      </w:r>
    </w:p>
    <w:p w14:paraId="10D30A41" w14:textId="5F73DF4E" w:rsidR="00EE5BB8" w:rsidRPr="00C6052E" w:rsidRDefault="00EE5BB8" w:rsidP="0028635E">
      <w:pPr>
        <w:pStyle w:val="Normalbeforebullets"/>
      </w:pPr>
      <w:r w:rsidRPr="00C6052E">
        <w:t>Victorian</w:t>
      </w:r>
      <w:r w:rsidR="00177848" w:rsidRPr="00C6052E">
        <w:t xml:space="preserve"> </w:t>
      </w:r>
      <w:r w:rsidRPr="00C6052E">
        <w:t>Government-funded</w:t>
      </w:r>
      <w:r w:rsidR="00177848" w:rsidRPr="00C6052E">
        <w:t xml:space="preserve"> </w:t>
      </w:r>
      <w:r w:rsidRPr="00C6052E">
        <w:t>major</w:t>
      </w:r>
      <w:r w:rsidR="00177848" w:rsidRPr="00C6052E">
        <w:t xml:space="preserve"> </w:t>
      </w:r>
      <w:r w:rsidRPr="00C6052E">
        <w:t>performing</w:t>
      </w:r>
      <w:r w:rsidR="00177848" w:rsidRPr="00C6052E">
        <w:t xml:space="preserve"> </w:t>
      </w:r>
      <w:r w:rsidRPr="00C6052E">
        <w:t>arts</w:t>
      </w:r>
      <w:r w:rsidR="00177848" w:rsidRPr="00C6052E">
        <w:t xml:space="preserve"> </w:t>
      </w:r>
      <w:r w:rsidRPr="00C6052E">
        <w:t>organisations</w:t>
      </w:r>
      <w:r w:rsidR="00177848" w:rsidRPr="00C6052E">
        <w:t xml:space="preserve"> </w:t>
      </w:r>
      <w:r w:rsidRPr="00C6052E">
        <w:t>in</w:t>
      </w:r>
      <w:r w:rsidR="00177848" w:rsidRPr="00C6052E">
        <w:t xml:space="preserve"> </w:t>
      </w:r>
      <w:r w:rsidRPr="00C6052E">
        <w:t>2024–25</w:t>
      </w:r>
      <w:r w:rsidR="00177848" w:rsidRPr="00C6052E">
        <w:t xml:space="preserve"> </w:t>
      </w:r>
      <w:r w:rsidRPr="00C6052E">
        <w:t>were</w:t>
      </w:r>
      <w:r w:rsidR="00177848" w:rsidRPr="00C6052E">
        <w:t xml:space="preserve"> </w:t>
      </w:r>
      <w:r w:rsidRPr="00C6052E">
        <w:t>those</w:t>
      </w:r>
      <w:r w:rsidR="00177848" w:rsidRPr="00C6052E">
        <w:t xml:space="preserve"> </w:t>
      </w:r>
      <w:r w:rsidRPr="00C6052E">
        <w:t>that</w:t>
      </w:r>
      <w:r w:rsidR="00177848" w:rsidRPr="00C6052E">
        <w:t xml:space="preserve"> </w:t>
      </w:r>
      <w:r w:rsidRPr="00C6052E">
        <w:t>fall</w:t>
      </w:r>
      <w:r w:rsidR="00177848" w:rsidRPr="00C6052E">
        <w:t xml:space="preserve"> </w:t>
      </w:r>
      <w:r w:rsidRPr="00C6052E">
        <w:t>within</w:t>
      </w:r>
      <w:r w:rsidR="00177848" w:rsidRPr="00C6052E">
        <w:t xml:space="preserve"> </w:t>
      </w:r>
      <w:r w:rsidRPr="00C6052E">
        <w:t>the</w:t>
      </w:r>
      <w:r w:rsidR="00177848" w:rsidRPr="00C6052E">
        <w:t xml:space="preserve"> </w:t>
      </w:r>
      <w:r w:rsidRPr="00C6052E">
        <w:t>National</w:t>
      </w:r>
      <w:r w:rsidR="00177848" w:rsidRPr="00C6052E">
        <w:t xml:space="preserve"> </w:t>
      </w:r>
      <w:r w:rsidRPr="00C6052E">
        <w:t>Performing</w:t>
      </w:r>
      <w:r w:rsidR="00177848" w:rsidRPr="00C6052E">
        <w:t xml:space="preserve"> </w:t>
      </w:r>
      <w:r w:rsidRPr="00C6052E">
        <w:t>Arts</w:t>
      </w:r>
      <w:r w:rsidR="00177848" w:rsidRPr="00C6052E">
        <w:t xml:space="preserve"> </w:t>
      </w:r>
      <w:r w:rsidRPr="00C6052E">
        <w:t>Partnerships</w:t>
      </w:r>
      <w:r w:rsidR="00177848" w:rsidRPr="00C6052E">
        <w:t xml:space="preserve"> </w:t>
      </w:r>
      <w:r w:rsidRPr="00C6052E">
        <w:t>portfolio</w:t>
      </w:r>
      <w:r w:rsidR="00177848" w:rsidRPr="00C6052E">
        <w:t xml:space="preserve"> </w:t>
      </w:r>
      <w:r w:rsidRPr="00C6052E">
        <w:t>of</w:t>
      </w:r>
      <w:r w:rsidR="00177848" w:rsidRPr="00C6052E">
        <w:t xml:space="preserve"> </w:t>
      </w:r>
      <w:r w:rsidRPr="00C6052E">
        <w:t>organisations:</w:t>
      </w:r>
      <w:r w:rsidR="00177848" w:rsidRPr="00C6052E">
        <w:t xml:space="preserve"> </w:t>
      </w:r>
    </w:p>
    <w:p w14:paraId="0B3D1232" w14:textId="52AC8399" w:rsidR="00EE5BB8" w:rsidRPr="00C6052E" w:rsidRDefault="00EE5BB8" w:rsidP="00EE5BB8">
      <w:pPr>
        <w:pStyle w:val="Bullet1"/>
        <w:numPr>
          <w:ilvl w:val="0"/>
          <w:numId w:val="1"/>
        </w:numPr>
        <w:spacing w:line="278" w:lineRule="auto"/>
        <w:ind w:left="284" w:hanging="284"/>
        <w:rPr>
          <w:lang w:val="en-AU"/>
        </w:rPr>
      </w:pPr>
      <w:proofErr w:type="gramStart"/>
      <w:r w:rsidRPr="00C6052E">
        <w:rPr>
          <w:lang w:val="en-AU"/>
        </w:rPr>
        <w:t>Back</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Back</w:t>
      </w:r>
      <w:proofErr w:type="gramEnd"/>
      <w:r w:rsidR="00177848" w:rsidRPr="00C6052E">
        <w:rPr>
          <w:lang w:val="en-AU"/>
        </w:rPr>
        <w:t xml:space="preserve"> </w:t>
      </w:r>
      <w:r w:rsidRPr="00C6052E">
        <w:rPr>
          <w:lang w:val="en-AU"/>
        </w:rPr>
        <w:t>Theatre</w:t>
      </w:r>
    </w:p>
    <w:p w14:paraId="40EFAC94" w14:textId="4BB5F10D" w:rsidR="00EE5BB8" w:rsidRPr="00C6052E" w:rsidRDefault="00EE5BB8" w:rsidP="00EE5BB8">
      <w:pPr>
        <w:pStyle w:val="Bullet1"/>
        <w:numPr>
          <w:ilvl w:val="0"/>
          <w:numId w:val="1"/>
        </w:numPr>
        <w:spacing w:line="278" w:lineRule="auto"/>
        <w:ind w:left="284" w:hanging="284"/>
        <w:rPr>
          <w:lang w:val="en-AU"/>
        </w:rPr>
      </w:pPr>
      <w:r w:rsidRPr="00C6052E">
        <w:rPr>
          <w:lang w:val="en-AU"/>
        </w:rPr>
        <w:t>ILBIJERRI</w:t>
      </w:r>
      <w:r w:rsidR="00177848" w:rsidRPr="00C6052E">
        <w:rPr>
          <w:lang w:val="en-AU"/>
        </w:rPr>
        <w:t xml:space="preserve"> </w:t>
      </w:r>
      <w:r w:rsidRPr="00C6052E">
        <w:rPr>
          <w:lang w:val="en-AU"/>
        </w:rPr>
        <w:t>Theatre</w:t>
      </w:r>
    </w:p>
    <w:p w14:paraId="45BC8E3F" w14:textId="349D65FA" w:rsidR="00EE5BB8" w:rsidRPr="00C6052E" w:rsidRDefault="00EE5BB8" w:rsidP="00EE5BB8">
      <w:pPr>
        <w:pStyle w:val="Bullet1"/>
        <w:numPr>
          <w:ilvl w:val="0"/>
          <w:numId w:val="1"/>
        </w:numPr>
        <w:spacing w:line="278" w:lineRule="auto"/>
        <w:ind w:left="284" w:hanging="284"/>
        <w:rPr>
          <w:lang w:val="en-AU"/>
        </w:rPr>
      </w:pPr>
      <w:r w:rsidRPr="00C6052E">
        <w:rPr>
          <w:lang w:val="en-AU"/>
        </w:rPr>
        <w:t>Malthouse</w:t>
      </w:r>
      <w:r w:rsidR="00177848" w:rsidRPr="00C6052E">
        <w:rPr>
          <w:lang w:val="en-AU"/>
        </w:rPr>
        <w:t xml:space="preserve"> </w:t>
      </w:r>
      <w:r w:rsidRPr="00C6052E">
        <w:rPr>
          <w:lang w:val="en-AU"/>
        </w:rPr>
        <w:t>Theatre</w:t>
      </w:r>
    </w:p>
    <w:p w14:paraId="6DA9D09D" w14:textId="45C96845" w:rsidR="00EE5BB8" w:rsidRPr="00C6052E" w:rsidRDefault="00EE5BB8" w:rsidP="00EE5BB8">
      <w:pPr>
        <w:pStyle w:val="Bullet1"/>
        <w:numPr>
          <w:ilvl w:val="0"/>
          <w:numId w:val="1"/>
        </w:numPr>
        <w:spacing w:line="278" w:lineRule="auto"/>
        <w:ind w:left="284" w:hanging="284"/>
        <w:rPr>
          <w:lang w:val="en-AU"/>
        </w:rPr>
      </w:pPr>
      <w:r w:rsidRPr="00C6052E">
        <w:rPr>
          <w:lang w:val="en-AU"/>
        </w:rPr>
        <w:t>Melbourne</w:t>
      </w:r>
      <w:r w:rsidR="00177848" w:rsidRPr="00C6052E">
        <w:rPr>
          <w:lang w:val="en-AU"/>
        </w:rPr>
        <w:t xml:space="preserve"> </w:t>
      </w:r>
      <w:r w:rsidRPr="00C6052E">
        <w:rPr>
          <w:lang w:val="en-AU"/>
        </w:rPr>
        <w:t>Symphony</w:t>
      </w:r>
      <w:r w:rsidR="00177848" w:rsidRPr="00C6052E">
        <w:rPr>
          <w:lang w:val="en-AU"/>
        </w:rPr>
        <w:t xml:space="preserve"> </w:t>
      </w:r>
      <w:r w:rsidRPr="00C6052E">
        <w:rPr>
          <w:lang w:val="en-AU"/>
        </w:rPr>
        <w:t>Orchestra</w:t>
      </w:r>
    </w:p>
    <w:p w14:paraId="26B50D0D" w14:textId="6565ABBA" w:rsidR="00EE5BB8" w:rsidRPr="00C6052E" w:rsidRDefault="00EE5BB8" w:rsidP="00EE5BB8">
      <w:pPr>
        <w:pStyle w:val="Bullet1"/>
        <w:numPr>
          <w:ilvl w:val="0"/>
          <w:numId w:val="1"/>
        </w:numPr>
        <w:spacing w:line="278" w:lineRule="auto"/>
        <w:ind w:left="284" w:hanging="284"/>
        <w:rPr>
          <w:lang w:val="en-AU"/>
        </w:rPr>
      </w:pPr>
      <w:r w:rsidRPr="00C6052E">
        <w:rPr>
          <w:lang w:val="en-AU"/>
        </w:rPr>
        <w:t>Melbourne</w:t>
      </w:r>
      <w:r w:rsidR="00177848" w:rsidRPr="00C6052E">
        <w:rPr>
          <w:lang w:val="en-AU"/>
        </w:rPr>
        <w:t xml:space="preserve"> </w:t>
      </w:r>
      <w:r w:rsidRPr="00C6052E">
        <w:rPr>
          <w:lang w:val="en-AU"/>
        </w:rPr>
        <w:t>Theatre</w:t>
      </w:r>
      <w:r w:rsidR="00177848" w:rsidRPr="00C6052E">
        <w:rPr>
          <w:lang w:val="en-AU"/>
        </w:rPr>
        <w:t xml:space="preserve"> </w:t>
      </w:r>
      <w:r w:rsidRPr="00C6052E">
        <w:rPr>
          <w:lang w:val="en-AU"/>
        </w:rPr>
        <w:t>Company</w:t>
      </w:r>
    </w:p>
    <w:p w14:paraId="0AC26280" w14:textId="47F1169D" w:rsidR="00EE5BB8" w:rsidRPr="00C6052E" w:rsidRDefault="00EE5BB8" w:rsidP="00EE5BB8">
      <w:pPr>
        <w:pStyle w:val="Bullet1"/>
        <w:numPr>
          <w:ilvl w:val="0"/>
          <w:numId w:val="1"/>
        </w:numPr>
        <w:spacing w:line="278" w:lineRule="auto"/>
        <w:ind w:left="284" w:hanging="284"/>
        <w:rPr>
          <w:lang w:val="en-AU"/>
        </w:rPr>
      </w:pPr>
      <w:r w:rsidRPr="00C6052E">
        <w:rPr>
          <w:lang w:val="en-AU"/>
        </w:rPr>
        <w:lastRenderedPageBreak/>
        <w:t>Opera</w:t>
      </w:r>
      <w:r w:rsidR="00177848" w:rsidRPr="00C6052E">
        <w:rPr>
          <w:lang w:val="en-AU"/>
        </w:rPr>
        <w:t xml:space="preserve"> </w:t>
      </w:r>
      <w:r w:rsidRPr="00C6052E">
        <w:rPr>
          <w:lang w:val="en-AU"/>
        </w:rPr>
        <w:t>Australia</w:t>
      </w:r>
    </w:p>
    <w:p w14:paraId="5E497382" w14:textId="41B4A2F8" w:rsidR="00EE5BB8" w:rsidRPr="00C6052E" w:rsidRDefault="00EE5BB8" w:rsidP="00EE5BB8">
      <w:pPr>
        <w:pStyle w:val="Bullet1"/>
        <w:numPr>
          <w:ilvl w:val="0"/>
          <w:numId w:val="1"/>
        </w:numPr>
        <w:spacing w:line="278" w:lineRule="auto"/>
        <w:ind w:left="284" w:hanging="284"/>
        <w:rPr>
          <w:lang w:val="en-AU"/>
        </w:rPr>
      </w:pPr>
      <w:r w:rsidRPr="00C6052E">
        <w:rPr>
          <w:lang w:val="en-AU"/>
        </w:rPr>
        <w:t>Orchestra</w:t>
      </w:r>
      <w:r w:rsidR="00177848" w:rsidRPr="00C6052E">
        <w:rPr>
          <w:lang w:val="en-AU"/>
        </w:rPr>
        <w:t xml:space="preserve"> </w:t>
      </w:r>
      <w:r w:rsidRPr="00C6052E">
        <w:rPr>
          <w:lang w:val="en-AU"/>
        </w:rPr>
        <w:t>Victoria</w:t>
      </w:r>
    </w:p>
    <w:p w14:paraId="42E1261B" w14:textId="0E9F92FC" w:rsidR="00EE5BB8" w:rsidRPr="00C6052E" w:rsidRDefault="00EE5BB8" w:rsidP="00EE5BB8">
      <w:pPr>
        <w:pStyle w:val="Bullet1"/>
        <w:numPr>
          <w:ilvl w:val="0"/>
          <w:numId w:val="1"/>
        </w:numPr>
        <w:spacing w:line="278" w:lineRule="auto"/>
        <w:ind w:left="284" w:hanging="284"/>
        <w:rPr>
          <w:lang w:val="en-AU"/>
        </w:rPr>
      </w:pPr>
      <w:r w:rsidRPr="00C6052E">
        <w:rPr>
          <w:lang w:val="en-AU"/>
        </w:rPr>
        <w:t>The</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Ballet</w:t>
      </w:r>
    </w:p>
    <w:p w14:paraId="527FB884" w14:textId="34E0D52B" w:rsidR="00EE5BB8" w:rsidRPr="00C6052E" w:rsidRDefault="00EE5BB8" w:rsidP="00EE5BB8">
      <w:pPr>
        <w:pStyle w:val="Bullet1last"/>
        <w:numPr>
          <w:ilvl w:val="0"/>
          <w:numId w:val="1"/>
        </w:numPr>
        <w:spacing w:line="278" w:lineRule="auto"/>
        <w:ind w:left="284" w:hanging="284"/>
        <w:rPr>
          <w:lang w:val="en-AU"/>
        </w:rPr>
      </w:pPr>
      <w:r w:rsidRPr="00C6052E">
        <w:rPr>
          <w:lang w:val="en-AU"/>
        </w:rPr>
        <w:t>Victorian</w:t>
      </w:r>
      <w:r w:rsidR="00177848" w:rsidRPr="00C6052E">
        <w:rPr>
          <w:lang w:val="en-AU"/>
        </w:rPr>
        <w:t xml:space="preserve"> </w:t>
      </w:r>
      <w:r w:rsidRPr="00C6052E">
        <w:rPr>
          <w:lang w:val="en-AU"/>
        </w:rPr>
        <w:t>Opera.</w:t>
      </w:r>
    </w:p>
    <w:p w14:paraId="08D69093" w14:textId="38F633CA" w:rsidR="00EE5BB8" w:rsidRPr="00C6052E" w:rsidRDefault="00EE5BB8" w:rsidP="00EE5BB8">
      <w:pPr>
        <w:pStyle w:val="Heading3"/>
      </w:pPr>
      <w:r w:rsidRPr="00C6052E">
        <w:t>Indicator:</w:t>
      </w:r>
      <w:r w:rsidR="00177848" w:rsidRPr="00C6052E">
        <w:t xml:space="preserve"> </w:t>
      </w:r>
      <w:r w:rsidRPr="00C6052E">
        <w:t>Employment</w:t>
      </w:r>
      <w:r w:rsidR="00177848" w:rsidRPr="00C6052E">
        <w:t xml:space="preserve"> </w:t>
      </w:r>
      <w:r w:rsidRPr="00C6052E">
        <w:t>in</w:t>
      </w:r>
      <w:r w:rsidR="00177848" w:rsidRPr="00C6052E">
        <w:t xml:space="preserve"> </w:t>
      </w:r>
      <w:r w:rsidRPr="00C6052E">
        <w:t>the</w:t>
      </w:r>
      <w:r w:rsidR="00177848" w:rsidRPr="00C6052E">
        <w:t xml:space="preserve"> </w:t>
      </w:r>
      <w:r w:rsidRPr="00C6052E">
        <w:t>Creative</w:t>
      </w:r>
      <w:r w:rsidR="00177848" w:rsidRPr="00C6052E">
        <w:t xml:space="preserve"> </w:t>
      </w:r>
      <w:r w:rsidRPr="00C6052E" w:rsidDel="00D1462F">
        <w:t>I</w:t>
      </w:r>
      <w:r w:rsidRPr="00C6052E">
        <w:t>ndustries</w:t>
      </w:r>
      <w:r w:rsidR="00177848" w:rsidRPr="00C6052E">
        <w:t xml:space="preserve"> </w:t>
      </w:r>
      <w:r w:rsidRPr="00C6052E">
        <w:t>sector</w:t>
      </w:r>
      <w:bookmarkEnd w:id="35"/>
    </w:p>
    <w:p w14:paraId="2A750B1B" w14:textId="7807115D" w:rsidR="00EE5BB8" w:rsidRPr="00C6052E" w:rsidRDefault="00EE5BB8" w:rsidP="00EE5BB8">
      <w:pPr>
        <w:pStyle w:val="TableHeading"/>
      </w:pPr>
      <w:r w:rsidRPr="00C6052E">
        <w:t>Table</w:t>
      </w:r>
      <w:r w:rsidR="00177848" w:rsidRPr="00C6052E">
        <w:t xml:space="preserve"> </w:t>
      </w:r>
      <w:r w:rsidRPr="00C6052E">
        <w:t>18:</w:t>
      </w:r>
      <w:r w:rsidR="00177848" w:rsidRPr="00C6052E">
        <w:t xml:space="preserve"> </w:t>
      </w:r>
      <w:r w:rsidRPr="00C6052E">
        <w:t>Employment</w:t>
      </w:r>
      <w:r w:rsidR="00177848" w:rsidRPr="00C6052E">
        <w:t xml:space="preserve"> </w:t>
      </w:r>
      <w:r w:rsidRPr="00C6052E">
        <w:t>in</w:t>
      </w:r>
      <w:r w:rsidR="00177848" w:rsidRPr="00C6052E">
        <w:t xml:space="preserve"> </w:t>
      </w:r>
      <w:r w:rsidRPr="00C6052E">
        <w:t>the</w:t>
      </w:r>
      <w:r w:rsidR="00177848" w:rsidRPr="00C6052E">
        <w:t xml:space="preserve"> </w:t>
      </w:r>
      <w:r w:rsidRPr="00C6052E">
        <w:t>Creative</w:t>
      </w:r>
      <w:r w:rsidR="00177848" w:rsidRPr="00C6052E">
        <w:t xml:space="preserve"> </w:t>
      </w:r>
      <w:r w:rsidRPr="00C6052E" w:rsidDel="00D1462F">
        <w:t>I</w:t>
      </w:r>
      <w:r w:rsidRPr="00C6052E">
        <w:t>ndustries</w:t>
      </w:r>
      <w:r w:rsidR="00177848" w:rsidRPr="00C6052E">
        <w:t xml:space="preserve"> </w:t>
      </w:r>
      <w:r w:rsidRPr="00C6052E">
        <w:t>sector</w:t>
      </w:r>
    </w:p>
    <w:tbl>
      <w:tblPr>
        <w:tblStyle w:val="TableGrid"/>
        <w:tblW w:w="9634" w:type="dxa"/>
        <w:tblLayout w:type="fixed"/>
        <w:tblLook w:val="0020" w:firstRow="1" w:lastRow="0" w:firstColumn="0" w:lastColumn="0" w:noHBand="0" w:noVBand="0"/>
      </w:tblPr>
      <w:tblGrid>
        <w:gridCol w:w="4673"/>
        <w:gridCol w:w="1240"/>
        <w:gridCol w:w="1240"/>
        <w:gridCol w:w="1240"/>
        <w:gridCol w:w="1241"/>
      </w:tblGrid>
      <w:tr w:rsidR="00EE5BB8" w:rsidRPr="00C6052E" w14:paraId="4E3B28AE" w14:textId="77777777" w:rsidTr="009952C1">
        <w:tc>
          <w:tcPr>
            <w:tcW w:w="4673" w:type="dxa"/>
          </w:tcPr>
          <w:p w14:paraId="6737CB05" w14:textId="413788C1" w:rsidR="00EE5BB8" w:rsidRPr="00C6052E" w:rsidRDefault="00EE5BB8" w:rsidP="009952C1">
            <w:pPr>
              <w:pStyle w:val="TableColumnHeading"/>
              <w:rPr>
                <w:lang w:val="en-AU"/>
              </w:rPr>
            </w:pPr>
            <w:bookmarkStart w:id="36" w:name="TableColumnHeadings_26"/>
            <w:bookmarkEnd w:id="36"/>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40" w:type="dxa"/>
          </w:tcPr>
          <w:p w14:paraId="62747234" w14:textId="77777777" w:rsidR="00EE5BB8" w:rsidRPr="00C6052E" w:rsidRDefault="00EE5BB8" w:rsidP="009952C1">
            <w:pPr>
              <w:pStyle w:val="TableColumnHeading"/>
              <w:jc w:val="right"/>
              <w:rPr>
                <w:lang w:val="en-AU"/>
              </w:rPr>
            </w:pPr>
            <w:r w:rsidRPr="00C6052E">
              <w:rPr>
                <w:lang w:val="en-AU"/>
              </w:rPr>
              <w:t>2021–22</w:t>
            </w:r>
          </w:p>
        </w:tc>
        <w:tc>
          <w:tcPr>
            <w:tcW w:w="1240" w:type="dxa"/>
          </w:tcPr>
          <w:p w14:paraId="284E2A9B" w14:textId="77777777" w:rsidR="00EE5BB8" w:rsidRPr="00C6052E" w:rsidRDefault="00EE5BB8" w:rsidP="009952C1">
            <w:pPr>
              <w:pStyle w:val="TableColumnHeading"/>
              <w:jc w:val="right"/>
              <w:rPr>
                <w:lang w:val="en-AU"/>
              </w:rPr>
            </w:pPr>
            <w:r w:rsidRPr="00C6052E">
              <w:rPr>
                <w:lang w:val="en-AU"/>
              </w:rPr>
              <w:t>2022–23</w:t>
            </w:r>
          </w:p>
        </w:tc>
        <w:tc>
          <w:tcPr>
            <w:tcW w:w="1240" w:type="dxa"/>
          </w:tcPr>
          <w:p w14:paraId="59C53D7F" w14:textId="77777777" w:rsidR="00EE5BB8" w:rsidRPr="00C6052E" w:rsidRDefault="00EE5BB8" w:rsidP="009952C1">
            <w:pPr>
              <w:pStyle w:val="TableColumnHeading"/>
              <w:jc w:val="right"/>
              <w:rPr>
                <w:lang w:val="en-AU"/>
              </w:rPr>
            </w:pPr>
            <w:r w:rsidRPr="00C6052E">
              <w:rPr>
                <w:lang w:val="en-AU"/>
              </w:rPr>
              <w:t>2023–24</w:t>
            </w:r>
          </w:p>
        </w:tc>
        <w:tc>
          <w:tcPr>
            <w:tcW w:w="1241" w:type="dxa"/>
          </w:tcPr>
          <w:p w14:paraId="7ED50C05" w14:textId="77777777" w:rsidR="00EE5BB8" w:rsidRPr="00C6052E" w:rsidRDefault="00EE5BB8" w:rsidP="009952C1">
            <w:pPr>
              <w:pStyle w:val="TableColumnHeading"/>
              <w:jc w:val="right"/>
              <w:rPr>
                <w:lang w:val="en-AU"/>
              </w:rPr>
            </w:pPr>
            <w:r w:rsidRPr="00C6052E">
              <w:rPr>
                <w:lang w:val="en-AU"/>
              </w:rPr>
              <w:t>2024–25</w:t>
            </w:r>
          </w:p>
        </w:tc>
      </w:tr>
      <w:tr w:rsidR="00EE5BB8" w:rsidRPr="00C6052E" w14:paraId="21A8AED7" w14:textId="77777777" w:rsidTr="009952C1">
        <w:tc>
          <w:tcPr>
            <w:tcW w:w="4673" w:type="dxa"/>
          </w:tcPr>
          <w:p w14:paraId="4E9487A2" w14:textId="0D5CE187" w:rsidR="00EE5BB8" w:rsidRPr="00C6052E" w:rsidRDefault="00EE5BB8" w:rsidP="009952C1">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primary</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creative</w:t>
            </w:r>
            <w:r w:rsidR="00177848" w:rsidRPr="00C6052E">
              <w:rPr>
                <w:lang w:val="en-AU"/>
              </w:rPr>
              <w:t xml:space="preserve"> </w:t>
            </w:r>
            <w:r w:rsidRPr="00C6052E">
              <w:rPr>
                <w:lang w:val="en-AU"/>
              </w:rPr>
              <w:t>industries</w:t>
            </w:r>
            <w:r w:rsidR="00177848" w:rsidRPr="00C6052E">
              <w:rPr>
                <w:lang w:val="en-AU"/>
              </w:rPr>
              <w:t xml:space="preserve"> </w:t>
            </w:r>
            <w:r w:rsidRPr="00C6052E">
              <w:rPr>
                <w:lang w:val="en-AU"/>
              </w:rPr>
              <w:t>(number)</w:t>
            </w:r>
            <w:r w:rsidR="00177848" w:rsidRPr="00C6052E">
              <w:rPr>
                <w:lang w:val="en-AU"/>
              </w:rPr>
              <w:t xml:space="preserve"> </w:t>
            </w:r>
            <w:r w:rsidRPr="00C6052E">
              <w:rPr>
                <w:lang w:val="en-AU"/>
              </w:rPr>
              <w:t>(2021</w:t>
            </w:r>
            <w:r w:rsidR="00177848" w:rsidRPr="00C6052E">
              <w:rPr>
                <w:lang w:val="en-AU"/>
              </w:rPr>
              <w:t xml:space="preserve"> </w:t>
            </w:r>
            <w:r w:rsidRPr="00C6052E">
              <w:rPr>
                <w:lang w:val="en-AU"/>
              </w:rPr>
              <w:t>Census</w:t>
            </w:r>
            <w:r w:rsidR="00177848" w:rsidRPr="00C6052E">
              <w:rPr>
                <w:lang w:val="en-AU"/>
              </w:rPr>
              <w:t xml:space="preserve"> </w:t>
            </w:r>
            <w:r w:rsidRPr="00C6052E">
              <w:rPr>
                <w:lang w:val="en-AU"/>
              </w:rPr>
              <w:t>based)</w:t>
            </w:r>
          </w:p>
        </w:tc>
        <w:tc>
          <w:tcPr>
            <w:tcW w:w="1240" w:type="dxa"/>
          </w:tcPr>
          <w:p w14:paraId="33242553" w14:textId="77777777" w:rsidR="00EE5BB8" w:rsidRPr="00C6052E" w:rsidRDefault="00EE5BB8" w:rsidP="009952C1">
            <w:pPr>
              <w:pStyle w:val="TableCopy"/>
              <w:jc w:val="right"/>
              <w:rPr>
                <w:lang w:val="en-AU"/>
              </w:rPr>
            </w:pPr>
            <w:r w:rsidRPr="00C6052E">
              <w:rPr>
                <w:lang w:val="en-AU"/>
              </w:rPr>
              <w:t>303,000*</w:t>
            </w:r>
          </w:p>
        </w:tc>
        <w:tc>
          <w:tcPr>
            <w:tcW w:w="1240" w:type="dxa"/>
          </w:tcPr>
          <w:p w14:paraId="0CB8A1F8" w14:textId="77777777" w:rsidR="00EE5BB8" w:rsidRPr="00C6052E" w:rsidRDefault="00EE5BB8" w:rsidP="009952C1">
            <w:pPr>
              <w:pStyle w:val="TableCopy"/>
              <w:jc w:val="right"/>
              <w:rPr>
                <w:lang w:val="en-AU"/>
              </w:rPr>
            </w:pPr>
            <w:r w:rsidRPr="00C6052E">
              <w:rPr>
                <w:lang w:val="en-AU"/>
              </w:rPr>
              <w:t>311,000*</w:t>
            </w:r>
          </w:p>
        </w:tc>
        <w:tc>
          <w:tcPr>
            <w:tcW w:w="1240" w:type="dxa"/>
          </w:tcPr>
          <w:p w14:paraId="222A5F24" w14:textId="77777777" w:rsidR="00EE5BB8" w:rsidRPr="00C6052E" w:rsidRDefault="00EE5BB8" w:rsidP="009952C1">
            <w:pPr>
              <w:pStyle w:val="TableCopy"/>
              <w:jc w:val="right"/>
              <w:rPr>
                <w:lang w:val="en-AU"/>
              </w:rPr>
            </w:pPr>
            <w:r w:rsidRPr="00C6052E">
              <w:rPr>
                <w:lang w:val="en-AU"/>
              </w:rPr>
              <w:t>318,000**</w:t>
            </w:r>
          </w:p>
        </w:tc>
        <w:tc>
          <w:tcPr>
            <w:tcW w:w="1241" w:type="dxa"/>
          </w:tcPr>
          <w:p w14:paraId="4E90BCD2" w14:textId="77777777" w:rsidR="00EE5BB8" w:rsidRPr="00C6052E" w:rsidRDefault="00EE5BB8" w:rsidP="009952C1">
            <w:pPr>
              <w:pStyle w:val="TableCopy"/>
              <w:jc w:val="right"/>
              <w:rPr>
                <w:lang w:val="en-AU"/>
              </w:rPr>
            </w:pPr>
            <w:r w:rsidRPr="00C6052E">
              <w:rPr>
                <w:lang w:val="en-AU"/>
              </w:rPr>
              <w:t>331,212***</w:t>
            </w:r>
          </w:p>
        </w:tc>
      </w:tr>
    </w:tbl>
    <w:p w14:paraId="5F482CD2" w14:textId="7B2906B1" w:rsidR="00EE5BB8" w:rsidRPr="00C6052E" w:rsidRDefault="00EE5BB8" w:rsidP="00EE5BB8">
      <w:pPr>
        <w:pStyle w:val="Tablenotes"/>
      </w:pPr>
      <w:bookmarkStart w:id="37" w:name="_Toc152067230"/>
      <w:bookmarkEnd w:id="37"/>
      <w:r w:rsidRPr="00C6052E">
        <w:t>*</w:t>
      </w:r>
      <w:r w:rsidRPr="00C6052E">
        <w:tab/>
        <w:t>The</w:t>
      </w:r>
      <w:r w:rsidR="00177848" w:rsidRPr="00C6052E">
        <w:t xml:space="preserve"> </w:t>
      </w:r>
      <w:r w:rsidRPr="00C6052E">
        <w:t>employment</w:t>
      </w:r>
      <w:r w:rsidR="00177848" w:rsidRPr="00C6052E">
        <w:t xml:space="preserve"> </w:t>
      </w:r>
      <w:r w:rsidRPr="00C6052E">
        <w:t>data</w:t>
      </w:r>
      <w:r w:rsidR="00177848" w:rsidRPr="00C6052E">
        <w:t xml:space="preserve"> </w:t>
      </w:r>
      <w:r w:rsidRPr="00C6052E">
        <w:t>for</w:t>
      </w:r>
      <w:r w:rsidR="00177848" w:rsidRPr="00C6052E">
        <w:t xml:space="preserve"> </w:t>
      </w:r>
      <w:r w:rsidRPr="00C6052E">
        <w:t>2021–22</w:t>
      </w:r>
      <w:r w:rsidR="00177848" w:rsidRPr="00C6052E">
        <w:t xml:space="preserve"> </w:t>
      </w:r>
      <w:r w:rsidRPr="00C6052E">
        <w:t>and</w:t>
      </w:r>
      <w:r w:rsidR="00177848" w:rsidRPr="00C6052E">
        <w:t xml:space="preserve"> </w:t>
      </w:r>
      <w:r w:rsidRPr="00C6052E">
        <w:t>2022–23</w:t>
      </w:r>
      <w:r w:rsidR="00177848" w:rsidRPr="00C6052E">
        <w:t xml:space="preserve"> </w:t>
      </w:r>
      <w:r w:rsidRPr="00C6052E">
        <w:t>was</w:t>
      </w:r>
      <w:r w:rsidR="00177848" w:rsidRPr="00C6052E">
        <w:t xml:space="preserve"> </w:t>
      </w:r>
      <w:r w:rsidRPr="00C6052E">
        <w:t>sourced</w:t>
      </w:r>
      <w:r w:rsidR="00177848" w:rsidRPr="00C6052E">
        <w:t xml:space="preserve"> </w:t>
      </w:r>
      <w:r w:rsidRPr="00C6052E">
        <w:t>from</w:t>
      </w:r>
      <w:r w:rsidR="00177848" w:rsidRPr="00C6052E">
        <w:t xml:space="preserve"> </w:t>
      </w:r>
      <w:r w:rsidRPr="00C6052E">
        <w:t>a</w:t>
      </w:r>
      <w:r w:rsidR="00177848" w:rsidRPr="00C6052E">
        <w:t xml:space="preserve"> </w:t>
      </w:r>
      <w:r w:rsidRPr="00C6052E">
        <w:t>previous</w:t>
      </w:r>
      <w:r w:rsidR="00177848" w:rsidRPr="00C6052E">
        <w:t xml:space="preserve"> </w:t>
      </w:r>
      <w:r w:rsidRPr="00C6052E">
        <w:t>ABS</w:t>
      </w:r>
      <w:r w:rsidR="00177848" w:rsidRPr="00C6052E">
        <w:t xml:space="preserve"> </w:t>
      </w:r>
      <w:r w:rsidRPr="00C6052E">
        <w:t>Labour</w:t>
      </w:r>
      <w:r w:rsidR="00177848" w:rsidRPr="00C6052E">
        <w:t xml:space="preserve"> </w:t>
      </w:r>
      <w:r w:rsidRPr="00C6052E">
        <w:t>Force</w:t>
      </w:r>
      <w:r w:rsidR="00177848" w:rsidRPr="00C6052E">
        <w:t xml:space="preserve"> </w:t>
      </w:r>
      <w:r w:rsidRPr="00C6052E">
        <w:t>publication</w:t>
      </w:r>
      <w:r w:rsidR="00177848" w:rsidRPr="00C6052E">
        <w:t xml:space="preserve"> </w:t>
      </w:r>
      <w:r w:rsidRPr="00C6052E">
        <w:t>and</w:t>
      </w:r>
      <w:r w:rsidR="00177848" w:rsidRPr="00C6052E">
        <w:t xml:space="preserve"> </w:t>
      </w:r>
      <w:r w:rsidRPr="00C6052E">
        <w:t>published</w:t>
      </w:r>
      <w:r w:rsidR="00177848" w:rsidRPr="00C6052E">
        <w:t xml:space="preserve"> </w:t>
      </w:r>
      <w:r w:rsidRPr="00C6052E">
        <w:t>in</w:t>
      </w:r>
      <w:r w:rsidR="00177848" w:rsidRPr="00C6052E">
        <w:t xml:space="preserve"> </w:t>
      </w:r>
      <w:r w:rsidRPr="00C6052E">
        <w:t>the</w:t>
      </w:r>
      <w:r w:rsidR="00177848" w:rsidRPr="00C6052E">
        <w:t xml:space="preserve"> </w:t>
      </w:r>
      <w:r w:rsidRPr="00C6052E">
        <w:t>2022–23</w:t>
      </w:r>
      <w:r w:rsidR="00177848" w:rsidRPr="00C6052E">
        <w:t xml:space="preserve"> </w:t>
      </w:r>
      <w:r w:rsidRPr="00C6052E">
        <w:t>DJSIR</w:t>
      </w:r>
      <w:r w:rsidR="00177848" w:rsidRPr="00C6052E">
        <w:t xml:space="preserve"> </w:t>
      </w:r>
      <w:r w:rsidRPr="00C6052E">
        <w:t>Annual</w:t>
      </w:r>
      <w:r w:rsidR="00177848" w:rsidRPr="00C6052E">
        <w:t xml:space="preserve"> </w:t>
      </w:r>
      <w:r w:rsidRPr="00C6052E">
        <w:t>Report.</w:t>
      </w:r>
      <w:r w:rsidR="00177848" w:rsidRPr="00C6052E">
        <w:t xml:space="preserve"> </w:t>
      </w:r>
    </w:p>
    <w:p w14:paraId="6EEC4F66" w14:textId="727BB2BA" w:rsidR="00EE5BB8" w:rsidRPr="00C6052E" w:rsidRDefault="00EE5BB8" w:rsidP="00EE5BB8">
      <w:pPr>
        <w:pStyle w:val="Tablenotes"/>
      </w:pPr>
      <w:r w:rsidRPr="00C6052E">
        <w:t>**</w:t>
      </w:r>
      <w:r w:rsidRPr="00C6052E">
        <w:tab/>
        <w:t>The</w:t>
      </w:r>
      <w:r w:rsidR="00177848" w:rsidRPr="00C6052E">
        <w:t xml:space="preserve"> </w:t>
      </w:r>
      <w:r w:rsidRPr="00C6052E">
        <w:t>2023–24</w:t>
      </w:r>
      <w:r w:rsidR="00177848" w:rsidRPr="00C6052E">
        <w:t xml:space="preserve"> </w:t>
      </w:r>
      <w:r w:rsidRPr="00C6052E">
        <w:t>data</w:t>
      </w:r>
      <w:r w:rsidR="00177848" w:rsidRPr="00C6052E">
        <w:t xml:space="preserve"> </w:t>
      </w:r>
      <w:r w:rsidRPr="00C6052E">
        <w:t>is</w:t>
      </w:r>
      <w:r w:rsidR="00177848" w:rsidRPr="00C6052E">
        <w:t xml:space="preserve"> </w:t>
      </w:r>
      <w:r w:rsidRPr="00C6052E">
        <w:t>sourced</w:t>
      </w:r>
      <w:r w:rsidR="00177848" w:rsidRPr="00C6052E">
        <w:t xml:space="preserve"> </w:t>
      </w:r>
      <w:r w:rsidRPr="00C6052E">
        <w:t>from</w:t>
      </w:r>
      <w:r w:rsidR="00177848" w:rsidRPr="00C6052E">
        <w:t xml:space="preserve"> </w:t>
      </w:r>
      <w:r w:rsidRPr="00C6052E">
        <w:t>the</w:t>
      </w:r>
      <w:r w:rsidR="00177848" w:rsidRPr="00C6052E">
        <w:t xml:space="preserve"> </w:t>
      </w:r>
      <w:r w:rsidRPr="00C6052E">
        <w:t>most</w:t>
      </w:r>
      <w:r w:rsidR="00177848" w:rsidRPr="00C6052E">
        <w:t xml:space="preserve"> </w:t>
      </w:r>
      <w:r w:rsidRPr="00C6052E">
        <w:t>recent</w:t>
      </w:r>
      <w:r w:rsidR="00177848" w:rsidRPr="00C6052E">
        <w:t xml:space="preserve"> </w:t>
      </w:r>
      <w:r w:rsidRPr="00C6052E">
        <w:t>ABS</w:t>
      </w:r>
      <w:r w:rsidR="00177848" w:rsidRPr="00C6052E">
        <w:t xml:space="preserve"> </w:t>
      </w:r>
      <w:r w:rsidRPr="00C6052E">
        <w:t>Labour</w:t>
      </w:r>
      <w:r w:rsidR="00177848" w:rsidRPr="00C6052E">
        <w:t xml:space="preserve"> </w:t>
      </w:r>
      <w:r w:rsidRPr="00C6052E">
        <w:t>Force</w:t>
      </w:r>
      <w:r w:rsidR="00177848" w:rsidRPr="00C6052E">
        <w:t xml:space="preserve"> </w:t>
      </w:r>
      <w:r w:rsidRPr="00C6052E">
        <w:t>Survey.</w:t>
      </w:r>
    </w:p>
    <w:p w14:paraId="7AAEF775" w14:textId="0C5B763C" w:rsidR="00EE5BB8" w:rsidRPr="00C6052E" w:rsidRDefault="00EE5BB8" w:rsidP="00EE5BB8">
      <w:pPr>
        <w:pStyle w:val="Tablenotes"/>
        <w:spacing w:after="240"/>
      </w:pPr>
      <w:r w:rsidRPr="00C6052E">
        <w:t>***</w:t>
      </w:r>
      <w:r w:rsidRPr="00C6052E">
        <w:tab/>
        <w:t>ABS</w:t>
      </w:r>
      <w:r w:rsidR="00177848" w:rsidRPr="00C6052E">
        <w:t xml:space="preserve"> </w:t>
      </w:r>
      <w:r w:rsidRPr="00C6052E">
        <w:t>Labour</w:t>
      </w:r>
      <w:r w:rsidR="00177848" w:rsidRPr="00C6052E">
        <w:t xml:space="preserve"> </w:t>
      </w:r>
      <w:r w:rsidRPr="00C6052E">
        <w:t>Force</w:t>
      </w:r>
      <w:r w:rsidR="00177848" w:rsidRPr="00C6052E">
        <w:t xml:space="preserve"> </w:t>
      </w:r>
      <w:r w:rsidRPr="00C6052E">
        <w:t>Survey</w:t>
      </w:r>
      <w:r w:rsidR="00177848" w:rsidRPr="00C6052E">
        <w:t xml:space="preserve"> </w:t>
      </w:r>
      <w:r w:rsidRPr="00C6052E">
        <w:t>as</w:t>
      </w:r>
      <w:r w:rsidR="00177848" w:rsidRPr="00C6052E">
        <w:t xml:space="preserve"> </w:t>
      </w:r>
      <w:proofErr w:type="gramStart"/>
      <w:r w:rsidRPr="00C6052E">
        <w:t>at</w:t>
      </w:r>
      <w:proofErr w:type="gramEnd"/>
      <w:r w:rsidR="00177848" w:rsidRPr="00C6052E">
        <w:t xml:space="preserve"> </w:t>
      </w:r>
      <w:r w:rsidRPr="00C6052E">
        <w:t>1</w:t>
      </w:r>
      <w:r w:rsidR="00177848" w:rsidRPr="00C6052E">
        <w:t xml:space="preserve"> </w:t>
      </w:r>
      <w:r w:rsidRPr="00C6052E">
        <w:t>September</w:t>
      </w:r>
      <w:r w:rsidR="00177848" w:rsidRPr="00C6052E">
        <w:t xml:space="preserve"> </w:t>
      </w:r>
      <w:r w:rsidRPr="00C6052E">
        <w:t>2024.</w:t>
      </w:r>
      <w:r w:rsidR="00177848" w:rsidRPr="00C6052E">
        <w:t xml:space="preserve"> </w:t>
      </w:r>
      <w:r w:rsidRPr="00C6052E">
        <w:t>Data</w:t>
      </w:r>
      <w:r w:rsidR="00177848" w:rsidRPr="00C6052E">
        <w:t xml:space="preserve"> </w:t>
      </w:r>
      <w:r w:rsidRPr="00C6052E">
        <w:t>sourced</w:t>
      </w:r>
      <w:r w:rsidR="00177848" w:rsidRPr="00C6052E">
        <w:t xml:space="preserve"> </w:t>
      </w:r>
      <w:r w:rsidRPr="00C6052E">
        <w:t>from</w:t>
      </w:r>
      <w:r w:rsidR="00177848" w:rsidRPr="00C6052E">
        <w:t xml:space="preserve"> </w:t>
      </w:r>
      <w:r w:rsidRPr="00C6052E">
        <w:t>ABS</w:t>
      </w:r>
      <w:r w:rsidR="00177848" w:rsidRPr="00C6052E">
        <w:t xml:space="preserve"> </w:t>
      </w:r>
      <w:r w:rsidRPr="00C6052E">
        <w:t>Labour</w:t>
      </w:r>
      <w:r w:rsidR="00177848" w:rsidRPr="00C6052E">
        <w:t xml:space="preserve"> </w:t>
      </w:r>
      <w:r w:rsidRPr="00C6052E">
        <w:t>Force</w:t>
      </w:r>
      <w:r w:rsidR="00177848" w:rsidRPr="00C6052E">
        <w:t xml:space="preserve"> </w:t>
      </w:r>
      <w:r w:rsidRPr="00C6052E">
        <w:t>Survey</w:t>
      </w:r>
      <w:r w:rsidR="00177848" w:rsidRPr="00C6052E">
        <w:t xml:space="preserve"> </w:t>
      </w:r>
      <w:r w:rsidRPr="00C6052E">
        <w:t>published</w:t>
      </w:r>
      <w:r w:rsidR="00177848" w:rsidRPr="00C6052E">
        <w:t xml:space="preserve"> </w:t>
      </w:r>
      <w:r w:rsidRPr="00C6052E">
        <w:t>on</w:t>
      </w:r>
      <w:r w:rsidR="00177848" w:rsidRPr="00C6052E">
        <w:t xml:space="preserve"> </w:t>
      </w:r>
      <w:r w:rsidRPr="00C6052E">
        <w:t>Creative</w:t>
      </w:r>
      <w:r w:rsidR="00177848" w:rsidRPr="00C6052E">
        <w:t xml:space="preserve"> </w:t>
      </w:r>
      <w:r w:rsidRPr="00C6052E">
        <w:t>Victoria’s</w:t>
      </w:r>
      <w:r w:rsidR="00177848" w:rsidRPr="00C6052E">
        <w:t xml:space="preserve"> </w:t>
      </w:r>
      <w:r w:rsidRPr="00C6052E">
        <w:t>website</w:t>
      </w:r>
      <w:r w:rsidR="00177848" w:rsidRPr="00C6052E">
        <w:t xml:space="preserve"> </w:t>
      </w:r>
      <w:r w:rsidRPr="00C6052E">
        <w:t>as</w:t>
      </w:r>
      <w:r w:rsidR="00177848" w:rsidRPr="00C6052E">
        <w:t xml:space="preserve"> </w:t>
      </w:r>
      <w:proofErr w:type="gramStart"/>
      <w:r w:rsidRPr="00C6052E">
        <w:t>at</w:t>
      </w:r>
      <w:proofErr w:type="gramEnd"/>
      <w:r w:rsidR="00177848" w:rsidRPr="00C6052E">
        <w:t xml:space="preserve"> </w:t>
      </w:r>
      <w:r w:rsidRPr="00C6052E">
        <w:t>1</w:t>
      </w:r>
      <w:r w:rsidR="00177848" w:rsidRPr="00C6052E">
        <w:t xml:space="preserve"> </w:t>
      </w:r>
      <w:r w:rsidRPr="00C6052E">
        <w:t>May</w:t>
      </w:r>
      <w:r w:rsidR="00177848" w:rsidRPr="00C6052E">
        <w:t xml:space="preserve"> </w:t>
      </w:r>
      <w:r w:rsidRPr="00C6052E">
        <w:t>2025.</w:t>
      </w:r>
    </w:p>
    <w:p w14:paraId="25584A01" w14:textId="478AB851" w:rsidR="00EE5BB8" w:rsidRPr="00C6052E" w:rsidRDefault="00EE5BB8" w:rsidP="00EE5BB8">
      <w:pPr>
        <w:pStyle w:val="TableHeading"/>
      </w:pPr>
      <w:r w:rsidRPr="00C6052E">
        <w:t>Figure</w:t>
      </w:r>
      <w:r w:rsidR="00177848" w:rsidRPr="00C6052E">
        <w:t xml:space="preserve"> </w:t>
      </w:r>
      <w:r w:rsidRPr="00C6052E">
        <w:t>17:</w:t>
      </w:r>
      <w:r w:rsidR="00177848" w:rsidRPr="00C6052E">
        <w:t xml:space="preserve"> </w:t>
      </w:r>
      <w:r w:rsidRPr="00C6052E">
        <w:t>Number</w:t>
      </w:r>
      <w:r w:rsidR="00177848" w:rsidRPr="00C6052E">
        <w:t xml:space="preserve"> </w:t>
      </w:r>
      <w:r w:rsidRPr="00C6052E">
        <w:t>of</w:t>
      </w:r>
      <w:r w:rsidR="00177848" w:rsidRPr="00C6052E">
        <w:t xml:space="preserve"> </w:t>
      </w:r>
      <w:r w:rsidRPr="00C6052E">
        <w:t>primary</w:t>
      </w:r>
      <w:r w:rsidR="00177848" w:rsidRPr="00C6052E">
        <w:t xml:space="preserve"> </w:t>
      </w:r>
      <w:r w:rsidRPr="00C6052E">
        <w:t>jobs</w:t>
      </w:r>
      <w:r w:rsidR="00177848" w:rsidRPr="00C6052E">
        <w:t xml:space="preserve"> </w:t>
      </w:r>
      <w:r w:rsidRPr="00C6052E">
        <w:t>in</w:t>
      </w:r>
      <w:r w:rsidR="00177848" w:rsidRPr="00C6052E">
        <w:t xml:space="preserve"> </w:t>
      </w:r>
      <w:r w:rsidRPr="00C6052E">
        <w:t>the</w:t>
      </w:r>
      <w:r w:rsidR="00177848" w:rsidRPr="00C6052E">
        <w:t xml:space="preserve"> </w:t>
      </w:r>
      <w:r w:rsidRPr="00C6052E">
        <w:t>creative</w:t>
      </w:r>
      <w:r w:rsidR="00177848" w:rsidRPr="00C6052E">
        <w:t xml:space="preserve"> </w:t>
      </w:r>
      <w:r w:rsidRPr="00C6052E">
        <w:t>industries</w:t>
      </w:r>
      <w:r w:rsidR="00177848" w:rsidRPr="00C6052E">
        <w:t xml:space="preserve"> </w:t>
      </w:r>
    </w:p>
    <w:p w14:paraId="471BBDA3" w14:textId="77777777" w:rsidR="00EE5BB8" w:rsidRPr="00C6052E" w:rsidRDefault="00EE5BB8" w:rsidP="00EE5BB8">
      <w:pPr>
        <w:pStyle w:val="Graph"/>
        <w:rPr>
          <w:noProof w:val="0"/>
        </w:rPr>
      </w:pPr>
      <w:r w:rsidRPr="00C6052E">
        <w:drawing>
          <wp:inline distT="0" distB="0" distL="0" distR="0" wp14:anchorId="6B84A3B8" wp14:editId="48F4BBDF">
            <wp:extent cx="4050000" cy="2700000"/>
            <wp:effectExtent l="0" t="0" r="8255" b="0"/>
            <wp:docPr id="822665063" name="Chart 1" descr="Line graph showing data from Table 18: Employment in the Creative Industries sector (above).">
              <a:extLst xmlns:a="http://schemas.openxmlformats.org/drawingml/2006/main">
                <a:ext uri="{FF2B5EF4-FFF2-40B4-BE49-F238E27FC236}">
                  <a16:creationId xmlns:a16="http://schemas.microsoft.com/office/drawing/2014/main" id="{00000000-0008-0000-0600-000010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E46F5AD" w14:textId="49AF1D6E" w:rsidR="00EE5BB8" w:rsidRPr="00C6052E" w:rsidRDefault="00EE5BB8" w:rsidP="00EE5BB8">
      <w:r w:rsidRPr="00C6052E">
        <w:t>During</w:t>
      </w:r>
      <w:r w:rsidR="00177848" w:rsidRPr="00C6052E">
        <w:t xml:space="preserve"> </w:t>
      </w:r>
      <w:r w:rsidRPr="00C6052E">
        <w:t>2024–25,</w:t>
      </w:r>
      <w:r w:rsidR="00177848" w:rsidRPr="00C6052E">
        <w:t xml:space="preserve"> </w:t>
      </w:r>
      <w:r w:rsidRPr="00C6052E">
        <w:t>an</w:t>
      </w:r>
      <w:r w:rsidR="00177848" w:rsidRPr="00C6052E">
        <w:t xml:space="preserve"> </w:t>
      </w:r>
      <w:r w:rsidRPr="00C6052E">
        <w:t>average</w:t>
      </w:r>
      <w:r w:rsidR="00177848" w:rsidRPr="00C6052E">
        <w:t xml:space="preserve"> </w:t>
      </w:r>
      <w:r w:rsidRPr="00C6052E">
        <w:t>of</w:t>
      </w:r>
      <w:r w:rsidR="00177848" w:rsidRPr="00C6052E">
        <w:t xml:space="preserve"> </w:t>
      </w:r>
      <w:r w:rsidRPr="00C6052E">
        <w:t>331,212</w:t>
      </w:r>
      <w:r w:rsidR="00177848" w:rsidRPr="00C6052E">
        <w:t xml:space="preserve"> </w:t>
      </w:r>
      <w:r w:rsidRPr="00C6052E">
        <w:t>people</w:t>
      </w:r>
      <w:r w:rsidR="00177848" w:rsidRPr="00C6052E">
        <w:t xml:space="preserve"> </w:t>
      </w:r>
      <w:r w:rsidRPr="00C6052E">
        <w:t>were</w:t>
      </w:r>
      <w:r w:rsidR="00177848" w:rsidRPr="00C6052E">
        <w:t xml:space="preserve"> </w:t>
      </w:r>
      <w:r w:rsidRPr="00C6052E">
        <w:t>employed</w:t>
      </w:r>
      <w:r w:rsidR="00177848" w:rsidRPr="00C6052E">
        <w:t xml:space="preserve"> </w:t>
      </w:r>
      <w:r w:rsidRPr="00C6052E">
        <w:t>in</w:t>
      </w:r>
      <w:r w:rsidR="00177848" w:rsidRPr="00C6052E">
        <w:t xml:space="preserve"> </w:t>
      </w:r>
      <w:r w:rsidRPr="00C6052E">
        <w:t>creative</w:t>
      </w:r>
      <w:r w:rsidR="00177848" w:rsidRPr="00C6052E">
        <w:t xml:space="preserve"> </w:t>
      </w:r>
      <w:r w:rsidRPr="00C6052E">
        <w:t>or</w:t>
      </w:r>
      <w:r w:rsidR="00177848" w:rsidRPr="00C6052E">
        <w:t xml:space="preserve"> </w:t>
      </w:r>
      <w:r w:rsidRPr="00C6052E">
        <w:t>cultural</w:t>
      </w:r>
      <w:r w:rsidR="00177848" w:rsidRPr="00C6052E">
        <w:t xml:space="preserve"> </w:t>
      </w:r>
      <w:r w:rsidRPr="00C6052E">
        <w:t>activities</w:t>
      </w:r>
      <w:r w:rsidR="00177848" w:rsidRPr="00C6052E">
        <w:t xml:space="preserve"> </w:t>
      </w:r>
      <w:r w:rsidRPr="00C6052E">
        <w:t>as</w:t>
      </w:r>
      <w:r w:rsidR="00177848" w:rsidRPr="00C6052E">
        <w:t xml:space="preserve"> </w:t>
      </w:r>
      <w:r w:rsidRPr="00C6052E">
        <w:t>their</w:t>
      </w:r>
      <w:r w:rsidR="00177848" w:rsidRPr="00C6052E">
        <w:t xml:space="preserve"> </w:t>
      </w:r>
      <w:r w:rsidRPr="00C6052E">
        <w:t>primary</w:t>
      </w:r>
      <w:r w:rsidR="00177848" w:rsidRPr="00C6052E">
        <w:t xml:space="preserve"> </w:t>
      </w:r>
      <w:r w:rsidRPr="00C6052E">
        <w:t>jobs,</w:t>
      </w:r>
      <w:r w:rsidR="00177848" w:rsidRPr="00C6052E">
        <w:t xml:space="preserve"> </w:t>
      </w:r>
      <w:r w:rsidRPr="00C6052E">
        <w:t>representing</w:t>
      </w:r>
      <w:r w:rsidR="00177848" w:rsidRPr="00C6052E">
        <w:t xml:space="preserve"> </w:t>
      </w:r>
      <w:r w:rsidRPr="00C6052E">
        <w:t>8.8%</w:t>
      </w:r>
      <w:r w:rsidR="00177848" w:rsidRPr="00C6052E">
        <w:t xml:space="preserve"> </w:t>
      </w:r>
      <w:r w:rsidRPr="00C6052E">
        <w:t>of</w:t>
      </w:r>
      <w:r w:rsidR="00177848" w:rsidRPr="00C6052E">
        <w:t xml:space="preserve"> </w:t>
      </w:r>
      <w:r w:rsidRPr="00C6052E">
        <w:t>total</w:t>
      </w:r>
      <w:r w:rsidR="00177848" w:rsidRPr="00C6052E">
        <w:t xml:space="preserve"> </w:t>
      </w:r>
      <w:r w:rsidRPr="00C6052E">
        <w:t>employment</w:t>
      </w:r>
      <w:r w:rsidR="00177848" w:rsidRPr="00C6052E">
        <w:t xml:space="preserve"> </w:t>
      </w:r>
      <w:r w:rsidRPr="00C6052E">
        <w:t>across</w:t>
      </w:r>
      <w:r w:rsidR="00177848" w:rsidRPr="00C6052E">
        <w:t xml:space="preserve"> </w:t>
      </w:r>
      <w:r w:rsidRPr="00C6052E">
        <w:t>Victoria.</w:t>
      </w:r>
      <w:r w:rsidR="00177848" w:rsidRPr="00C6052E">
        <w:t xml:space="preserve"> </w:t>
      </w:r>
      <w:r w:rsidRPr="00C6052E">
        <w:t>This</w:t>
      </w:r>
      <w:r w:rsidR="00177848" w:rsidRPr="00C6052E">
        <w:t xml:space="preserve"> </w:t>
      </w:r>
      <w:r w:rsidRPr="00C6052E">
        <w:t>is</w:t>
      </w:r>
      <w:r w:rsidR="00177848" w:rsidRPr="00C6052E">
        <w:t xml:space="preserve"> </w:t>
      </w:r>
      <w:r w:rsidRPr="00C6052E">
        <w:t>an</w:t>
      </w:r>
      <w:r w:rsidR="00177848" w:rsidRPr="00C6052E">
        <w:t xml:space="preserve"> </w:t>
      </w:r>
      <w:r w:rsidRPr="00C6052E">
        <w:t>increase</w:t>
      </w:r>
      <w:r w:rsidR="00177848" w:rsidRPr="00C6052E">
        <w:t xml:space="preserve"> </w:t>
      </w:r>
      <w:r w:rsidRPr="00C6052E">
        <w:t>of</w:t>
      </w:r>
      <w:r w:rsidR="00177848" w:rsidRPr="00C6052E">
        <w:t xml:space="preserve"> </w:t>
      </w:r>
      <w:r w:rsidRPr="00C6052E">
        <w:t>4.1%</w:t>
      </w:r>
      <w:r w:rsidR="00177848" w:rsidRPr="00C6052E">
        <w:t xml:space="preserve"> </w:t>
      </w:r>
      <w:r w:rsidRPr="00C6052E">
        <w:t>over</w:t>
      </w:r>
      <w:r w:rsidR="00177848" w:rsidRPr="00C6052E">
        <w:t xml:space="preserve"> </w:t>
      </w:r>
      <w:r w:rsidRPr="00C6052E">
        <w:t>the</w:t>
      </w:r>
      <w:r w:rsidR="00177848" w:rsidRPr="00C6052E">
        <w:t xml:space="preserve"> </w:t>
      </w:r>
      <w:r w:rsidRPr="00C6052E">
        <w:t>2023–24</w:t>
      </w:r>
      <w:r w:rsidR="00177848" w:rsidRPr="00C6052E">
        <w:t xml:space="preserve"> </w:t>
      </w:r>
      <w:r w:rsidRPr="00C6052E">
        <w:t>total</w:t>
      </w:r>
      <w:r w:rsidR="00177848" w:rsidRPr="00C6052E">
        <w:t xml:space="preserve"> </w:t>
      </w:r>
      <w:r w:rsidRPr="00C6052E">
        <w:t>of</w:t>
      </w:r>
      <w:r w:rsidR="00177848" w:rsidRPr="00C6052E">
        <w:t xml:space="preserve"> </w:t>
      </w:r>
      <w:r w:rsidRPr="00C6052E">
        <w:t>318,000.</w:t>
      </w:r>
    </w:p>
    <w:p w14:paraId="534BB10F" w14:textId="5FFF6147" w:rsidR="00EE5BB8" w:rsidRPr="00C6052E" w:rsidRDefault="00EE5BB8" w:rsidP="00EE5BB8">
      <w:pPr>
        <w:pStyle w:val="Bullet1"/>
        <w:numPr>
          <w:ilvl w:val="0"/>
          <w:numId w:val="1"/>
        </w:numPr>
        <w:spacing w:line="278" w:lineRule="auto"/>
        <w:ind w:left="284" w:hanging="284"/>
        <w:rPr>
          <w:lang w:val="en-AU"/>
        </w:rPr>
      </w:pPr>
      <w:r w:rsidRPr="00C6052E">
        <w:rPr>
          <w:lang w:val="en-AU"/>
        </w:rPr>
        <w:t>Through</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Government-supported</w:t>
      </w:r>
      <w:r w:rsidR="00177848" w:rsidRPr="00C6052E">
        <w:rPr>
          <w:lang w:val="en-AU"/>
        </w:rPr>
        <w:t xml:space="preserve"> </w:t>
      </w:r>
      <w:r w:rsidRPr="00C6052E">
        <w:rPr>
          <w:lang w:val="en-AU"/>
        </w:rPr>
        <w:t>screen</w:t>
      </w:r>
      <w:r w:rsidR="00177848" w:rsidRPr="00C6052E">
        <w:rPr>
          <w:lang w:val="en-AU"/>
        </w:rPr>
        <w:t xml:space="preserve"> </w:t>
      </w:r>
      <w:r w:rsidRPr="00C6052E">
        <w:rPr>
          <w:lang w:val="en-AU"/>
        </w:rPr>
        <w:t>productions,</w:t>
      </w:r>
      <w:r w:rsidR="00177848" w:rsidRPr="00C6052E">
        <w:rPr>
          <w:lang w:val="en-AU"/>
        </w:rPr>
        <w:t xml:space="preserve"> </w:t>
      </w:r>
      <w:r w:rsidRPr="00C6052E">
        <w:rPr>
          <w:lang w:val="en-AU"/>
        </w:rPr>
        <w:t>3,594</w:t>
      </w:r>
      <w:r w:rsidR="00177848" w:rsidRPr="00C6052E">
        <w:rPr>
          <w:lang w:val="en-AU"/>
        </w:rPr>
        <w:t xml:space="preserve"> </w:t>
      </w:r>
      <w:r w:rsidRPr="00C6052E">
        <w:rPr>
          <w:lang w:val="en-AU"/>
        </w:rPr>
        <w:t>full-time</w:t>
      </w:r>
      <w:r w:rsidR="00177848" w:rsidRPr="00C6052E">
        <w:rPr>
          <w:lang w:val="en-AU"/>
        </w:rPr>
        <w:t xml:space="preserve"> </w:t>
      </w:r>
      <w:r w:rsidRPr="00C6052E">
        <w:rPr>
          <w:lang w:val="en-AU"/>
        </w:rPr>
        <w:t>equivalent</w:t>
      </w:r>
      <w:r w:rsidR="00177848" w:rsidRPr="00C6052E">
        <w:rPr>
          <w:lang w:val="en-AU"/>
        </w:rPr>
        <w:t xml:space="preserve"> </w:t>
      </w:r>
      <w:r w:rsidRPr="00C6052E">
        <w:rPr>
          <w:lang w:val="en-AU"/>
        </w:rPr>
        <w:t>(FTE)</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were</w:t>
      </w:r>
      <w:r w:rsidR="00177848" w:rsidRPr="00C6052E">
        <w:rPr>
          <w:lang w:val="en-AU"/>
        </w:rPr>
        <w:t xml:space="preserve"> </w:t>
      </w:r>
      <w:r w:rsidRPr="00C6052E">
        <w:rPr>
          <w:lang w:val="en-AU"/>
        </w:rPr>
        <w:t>created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2024–25.</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average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2,363</w:t>
      </w:r>
      <w:r w:rsidR="00177848" w:rsidRPr="00C6052E">
        <w:rPr>
          <w:lang w:val="en-AU"/>
        </w:rPr>
        <w:t xml:space="preserve"> </w:t>
      </w:r>
      <w:r w:rsidRPr="00C6052E">
        <w:rPr>
          <w:lang w:val="en-AU"/>
        </w:rPr>
        <w:t>FTE</w:t>
      </w:r>
      <w:r w:rsidR="00177848" w:rsidRPr="00C6052E">
        <w:rPr>
          <w:lang w:val="en-AU"/>
        </w:rPr>
        <w:t xml:space="preserve"> </w:t>
      </w:r>
      <w:r w:rsidRPr="00C6052E">
        <w:rPr>
          <w:lang w:val="en-AU"/>
        </w:rPr>
        <w:t>positions</w:t>
      </w:r>
      <w:r w:rsidR="00177848" w:rsidRPr="00C6052E">
        <w:rPr>
          <w:lang w:val="en-AU"/>
        </w:rPr>
        <w:t xml:space="preserve"> </w:t>
      </w:r>
      <w:proofErr w:type="gramStart"/>
      <w:r w:rsidRPr="00C6052E">
        <w:rPr>
          <w:lang w:val="en-AU"/>
        </w:rPr>
        <w:t>have</w:t>
      </w:r>
      <w:proofErr w:type="gramEnd"/>
      <w:r w:rsidR="00177848" w:rsidRPr="00C6052E">
        <w:rPr>
          <w:lang w:val="en-AU"/>
        </w:rPr>
        <w:t xml:space="preserve"> </w:t>
      </w:r>
      <w:r w:rsidRPr="00C6052E">
        <w:rPr>
          <w:lang w:val="en-AU"/>
        </w:rPr>
        <w:t>been</w:t>
      </w:r>
      <w:r w:rsidR="00177848" w:rsidRPr="00C6052E">
        <w:rPr>
          <w:lang w:val="en-AU"/>
        </w:rPr>
        <w:t xml:space="preserve"> </w:t>
      </w:r>
      <w:r w:rsidRPr="00C6052E">
        <w:rPr>
          <w:lang w:val="en-AU"/>
        </w:rPr>
        <w:t>created</w:t>
      </w:r>
      <w:r w:rsidR="00177848" w:rsidRPr="00C6052E">
        <w:rPr>
          <w:lang w:val="en-AU"/>
        </w:rPr>
        <w:t xml:space="preserve"> </w:t>
      </w:r>
      <w:r w:rsidRPr="00C6052E">
        <w:rPr>
          <w:lang w:val="en-AU"/>
        </w:rPr>
        <w:t>each</w:t>
      </w:r>
      <w:r w:rsidR="00177848" w:rsidRPr="00C6052E">
        <w:rPr>
          <w:lang w:val="en-AU"/>
        </w:rPr>
        <w:t xml:space="preserve"> </w:t>
      </w:r>
      <w:r w:rsidRPr="00C6052E">
        <w:rPr>
          <w:lang w:val="en-AU"/>
        </w:rPr>
        <w:t>year</w:t>
      </w:r>
      <w:r w:rsidR="00177848" w:rsidRPr="00C6052E">
        <w:rPr>
          <w:lang w:val="en-AU"/>
        </w:rPr>
        <w:t xml:space="preserve"> </w:t>
      </w:r>
      <w:r w:rsidRPr="00C6052E">
        <w:rPr>
          <w:lang w:val="en-AU"/>
        </w:rPr>
        <w:t>since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launch</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VICSCREEN</w:t>
      </w:r>
      <w:r w:rsidR="00177848" w:rsidRPr="00C6052E">
        <w:rPr>
          <w:lang w:val="en-AU"/>
        </w:rPr>
        <w:t xml:space="preserve"> </w:t>
      </w:r>
      <w:r w:rsidRPr="00C6052E">
        <w:rPr>
          <w:lang w:val="en-AU"/>
        </w:rPr>
        <w:t>Strategy</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2021–22</w:t>
      </w:r>
    </w:p>
    <w:p w14:paraId="19D463AB" w14:textId="0A22EAD7" w:rsidR="00EE5BB8" w:rsidRPr="00C6052E" w:rsidRDefault="00EE5BB8" w:rsidP="00EE5BB8">
      <w:pPr>
        <w:pStyle w:val="Bullet1"/>
        <w:numPr>
          <w:ilvl w:val="0"/>
          <w:numId w:val="1"/>
        </w:numPr>
        <w:spacing w:line="278" w:lineRule="auto"/>
        <w:ind w:left="284" w:hanging="284"/>
        <w:rPr>
          <w:lang w:val="en-AU"/>
        </w:rPr>
      </w:pPr>
      <w:r w:rsidRPr="00C6052E">
        <w:rPr>
          <w:lang w:val="en-AU"/>
        </w:rPr>
        <w:t>The</w:t>
      </w:r>
      <w:r w:rsidR="00177848" w:rsidRPr="00C6052E">
        <w:rPr>
          <w:lang w:val="en-AU"/>
        </w:rPr>
        <w:t xml:space="preserve"> </w:t>
      </w:r>
      <w:r w:rsidRPr="00C6052E">
        <w:rPr>
          <w:lang w:val="en-AU"/>
        </w:rPr>
        <w:t>2024</w:t>
      </w:r>
      <w:r w:rsidR="00177848" w:rsidRPr="00C6052E">
        <w:rPr>
          <w:lang w:val="en-AU"/>
        </w:rPr>
        <w:t xml:space="preserve"> </w:t>
      </w:r>
      <w:r w:rsidRPr="00C6052E">
        <w:rPr>
          <w:lang w:val="en-AU"/>
        </w:rPr>
        <w:t>RISING</w:t>
      </w:r>
      <w:r w:rsidR="00177848" w:rsidRPr="00C6052E">
        <w:rPr>
          <w:lang w:val="en-AU"/>
        </w:rPr>
        <w:t xml:space="preserve"> </w:t>
      </w:r>
      <w:r w:rsidRPr="00C6052E">
        <w:rPr>
          <w:lang w:val="en-AU"/>
        </w:rPr>
        <w:t>festival-</w:t>
      </w:r>
      <w:r w:rsidR="00177848" w:rsidRPr="00C6052E">
        <w:rPr>
          <w:lang w:val="en-AU"/>
        </w:rPr>
        <w:t xml:space="preserve"> </w:t>
      </w:r>
      <w:r w:rsidRPr="00C6052E">
        <w:rPr>
          <w:lang w:val="en-AU"/>
        </w:rPr>
        <w:t>backed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Creative</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provided</w:t>
      </w:r>
      <w:r w:rsidR="00177848" w:rsidRPr="00C6052E">
        <w:rPr>
          <w:lang w:val="en-AU"/>
        </w:rPr>
        <w:t xml:space="preserve"> </w:t>
      </w:r>
      <w:r w:rsidRPr="00C6052E">
        <w:rPr>
          <w:lang w:val="en-AU"/>
        </w:rPr>
        <w:t>798</w:t>
      </w:r>
      <w:r w:rsidR="00177848" w:rsidRPr="00C6052E">
        <w:rPr>
          <w:lang w:val="en-AU"/>
        </w:rPr>
        <w:t xml:space="preserve"> </w:t>
      </w:r>
      <w:r w:rsidRPr="00C6052E">
        <w:rPr>
          <w:lang w:val="en-AU"/>
        </w:rPr>
        <w:t>paid</w:t>
      </w:r>
      <w:r w:rsidR="00177848" w:rsidRPr="00C6052E">
        <w:rPr>
          <w:lang w:val="en-AU"/>
        </w:rPr>
        <w:t xml:space="preserve"> </w:t>
      </w:r>
      <w:r w:rsidRPr="00C6052E">
        <w:rPr>
          <w:lang w:val="en-AU"/>
        </w:rPr>
        <w:t>opportunities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creative</w:t>
      </w:r>
      <w:r w:rsidR="00177848" w:rsidRPr="00C6052E">
        <w:rPr>
          <w:lang w:val="en-AU"/>
        </w:rPr>
        <w:t xml:space="preserve"> </w:t>
      </w:r>
      <w:r w:rsidRPr="00C6052E">
        <w:rPr>
          <w:lang w:val="en-AU"/>
        </w:rPr>
        <w:t>practitioners</w:t>
      </w:r>
    </w:p>
    <w:p w14:paraId="04005B16" w14:textId="743F1D12" w:rsidR="00EE5BB8" w:rsidRPr="00C6052E" w:rsidRDefault="00EE5BB8" w:rsidP="00EE5BB8">
      <w:pPr>
        <w:pStyle w:val="Bullet1last"/>
        <w:keepLines/>
        <w:numPr>
          <w:ilvl w:val="0"/>
          <w:numId w:val="1"/>
        </w:numPr>
        <w:spacing w:line="278" w:lineRule="auto"/>
        <w:ind w:left="284" w:hanging="284"/>
        <w:rPr>
          <w:spacing w:val="-2"/>
          <w:lang w:val="en-AU"/>
        </w:rPr>
      </w:pPr>
      <w:r w:rsidRPr="00C6052E">
        <w:rPr>
          <w:spacing w:val="-2"/>
          <w:lang w:val="en-AU"/>
        </w:rPr>
        <w:lastRenderedPageBreak/>
        <w:t>Construction</w:t>
      </w:r>
      <w:r w:rsidR="00177848" w:rsidRPr="00C6052E">
        <w:rPr>
          <w:spacing w:val="-2"/>
          <w:lang w:val="en-AU"/>
        </w:rPr>
        <w:t xml:space="preserve"> </w:t>
      </w:r>
      <w:r w:rsidRPr="00C6052E">
        <w:rPr>
          <w:spacing w:val="-2"/>
          <w:lang w:val="en-AU"/>
        </w:rPr>
        <w:t>works</w:t>
      </w:r>
      <w:r w:rsidR="00177848" w:rsidRPr="00C6052E">
        <w:rPr>
          <w:spacing w:val="-2"/>
          <w:lang w:val="en-AU"/>
        </w:rPr>
        <w:t xml:space="preserve"> </w:t>
      </w:r>
      <w:r w:rsidRPr="00C6052E">
        <w:rPr>
          <w:spacing w:val="-2"/>
          <w:lang w:val="en-AU"/>
        </w:rPr>
        <w:t>for</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Melbourne</w:t>
      </w:r>
      <w:r w:rsidR="00177848" w:rsidRPr="00C6052E">
        <w:rPr>
          <w:spacing w:val="-2"/>
          <w:lang w:val="en-AU"/>
        </w:rPr>
        <w:t xml:space="preserve"> </w:t>
      </w:r>
      <w:r w:rsidRPr="00C6052E">
        <w:rPr>
          <w:spacing w:val="-2"/>
          <w:lang w:val="en-AU"/>
        </w:rPr>
        <w:t>Arts</w:t>
      </w:r>
      <w:r w:rsidR="00177848" w:rsidRPr="00C6052E">
        <w:rPr>
          <w:spacing w:val="-2"/>
          <w:lang w:val="en-AU"/>
        </w:rPr>
        <w:t xml:space="preserve"> </w:t>
      </w:r>
      <w:r w:rsidRPr="00C6052E">
        <w:rPr>
          <w:spacing w:val="-2"/>
          <w:lang w:val="en-AU"/>
        </w:rPr>
        <w:t>Precinct</w:t>
      </w:r>
      <w:r w:rsidR="00177848" w:rsidRPr="00C6052E">
        <w:rPr>
          <w:spacing w:val="-2"/>
          <w:lang w:val="en-AU"/>
        </w:rPr>
        <w:t xml:space="preserve"> </w:t>
      </w:r>
      <w:r w:rsidRPr="00C6052E">
        <w:rPr>
          <w:spacing w:val="-2"/>
          <w:lang w:val="en-AU"/>
        </w:rPr>
        <w:t>Transformation</w:t>
      </w:r>
      <w:r w:rsidR="00177848" w:rsidRPr="00C6052E">
        <w:rPr>
          <w:spacing w:val="-2"/>
          <w:lang w:val="en-AU"/>
        </w:rPr>
        <w:t xml:space="preserve"> </w:t>
      </w:r>
      <w:r w:rsidRPr="00C6052E">
        <w:rPr>
          <w:spacing w:val="-2"/>
          <w:lang w:val="en-AU"/>
        </w:rPr>
        <w:t>(MAPT)</w:t>
      </w:r>
      <w:r w:rsidR="00177848" w:rsidRPr="00C6052E">
        <w:rPr>
          <w:spacing w:val="-2"/>
          <w:lang w:val="en-AU"/>
        </w:rPr>
        <w:t xml:space="preserve"> </w:t>
      </w:r>
      <w:r w:rsidRPr="00C6052E">
        <w:rPr>
          <w:spacing w:val="-2"/>
          <w:lang w:val="en-AU"/>
        </w:rPr>
        <w:t>project</w:t>
      </w:r>
      <w:r w:rsidR="00177848" w:rsidRPr="00C6052E">
        <w:rPr>
          <w:spacing w:val="-2"/>
          <w:lang w:val="en-AU"/>
        </w:rPr>
        <w:t xml:space="preserve"> </w:t>
      </w:r>
      <w:r w:rsidRPr="00C6052E">
        <w:rPr>
          <w:spacing w:val="-2"/>
          <w:lang w:val="en-AU"/>
        </w:rPr>
        <w:t>are</w:t>
      </w:r>
      <w:r w:rsidR="00177848" w:rsidRPr="00C6052E">
        <w:rPr>
          <w:spacing w:val="-2"/>
          <w:lang w:val="en-AU"/>
        </w:rPr>
        <w:t xml:space="preserve"> </w:t>
      </w:r>
      <w:r w:rsidRPr="00C6052E">
        <w:rPr>
          <w:spacing w:val="-2"/>
          <w:lang w:val="en-AU"/>
        </w:rPr>
        <w:t>progressing.</w:t>
      </w:r>
      <w:r w:rsidR="00177848" w:rsidRPr="00C6052E">
        <w:rPr>
          <w:spacing w:val="-2"/>
          <w:lang w:val="en-AU"/>
        </w:rPr>
        <w:t xml:space="preserve"> </w:t>
      </w:r>
      <w:r w:rsidRPr="00C6052E">
        <w:rPr>
          <w:spacing w:val="-2"/>
          <w:lang w:val="en-AU"/>
        </w:rPr>
        <w:t>Work</w:t>
      </w:r>
      <w:r w:rsidR="00177848" w:rsidRPr="00C6052E">
        <w:rPr>
          <w:spacing w:val="-2"/>
          <w:lang w:val="en-AU"/>
        </w:rPr>
        <w:t xml:space="preserve"> </w:t>
      </w:r>
      <w:r w:rsidRPr="00C6052E">
        <w:rPr>
          <w:spacing w:val="-2"/>
          <w:lang w:val="en-AU"/>
        </w:rPr>
        <w:t>to</w:t>
      </w:r>
      <w:r w:rsidR="00177848" w:rsidRPr="00C6052E">
        <w:rPr>
          <w:spacing w:val="-2"/>
          <w:lang w:val="en-AU"/>
        </w:rPr>
        <w:t xml:space="preserve"> </w:t>
      </w:r>
      <w:r w:rsidRPr="00C6052E">
        <w:rPr>
          <w:spacing w:val="-2"/>
          <w:lang w:val="en-AU"/>
        </w:rPr>
        <w:t>upgrade</w:t>
      </w:r>
      <w:r w:rsidR="00177848" w:rsidRPr="00C6052E">
        <w:rPr>
          <w:spacing w:val="-2"/>
          <w:lang w:val="en-AU"/>
        </w:rPr>
        <w:t xml:space="preserve"> </w:t>
      </w:r>
      <w:r w:rsidRPr="00C6052E">
        <w:rPr>
          <w:spacing w:val="-2"/>
          <w:lang w:val="en-AU"/>
        </w:rPr>
        <w:t>Arts</w:t>
      </w:r>
      <w:r w:rsidR="00177848" w:rsidRPr="00C6052E">
        <w:rPr>
          <w:spacing w:val="-2"/>
          <w:lang w:val="en-AU"/>
        </w:rPr>
        <w:t xml:space="preserve"> </w:t>
      </w:r>
      <w:r w:rsidRPr="00C6052E">
        <w:rPr>
          <w:spacing w:val="-2"/>
          <w:lang w:val="en-AU"/>
        </w:rPr>
        <w:t>Centre</w:t>
      </w:r>
      <w:r w:rsidR="00177848" w:rsidRPr="00C6052E">
        <w:rPr>
          <w:spacing w:val="-2"/>
          <w:lang w:val="en-AU"/>
        </w:rPr>
        <w:t xml:space="preserve"> </w:t>
      </w:r>
      <w:r w:rsidRPr="00C6052E">
        <w:rPr>
          <w:spacing w:val="-2"/>
          <w:lang w:val="en-AU"/>
        </w:rPr>
        <w:t>Melbourne’s</w:t>
      </w:r>
      <w:r w:rsidR="00177848" w:rsidRPr="00C6052E">
        <w:rPr>
          <w:spacing w:val="-2"/>
          <w:lang w:val="en-AU"/>
        </w:rPr>
        <w:t xml:space="preserve"> </w:t>
      </w:r>
      <w:r w:rsidRPr="00C6052E">
        <w:rPr>
          <w:spacing w:val="-2"/>
          <w:lang w:val="en-AU"/>
        </w:rPr>
        <w:t>Theatres</w:t>
      </w:r>
      <w:r w:rsidR="00177848" w:rsidRPr="00C6052E">
        <w:rPr>
          <w:spacing w:val="-2"/>
          <w:lang w:val="en-AU"/>
        </w:rPr>
        <w:t xml:space="preserve"> </w:t>
      </w:r>
      <w:r w:rsidRPr="00C6052E">
        <w:rPr>
          <w:spacing w:val="-2"/>
          <w:lang w:val="en-AU"/>
        </w:rPr>
        <w:t>Building</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heritage</w:t>
      </w:r>
      <w:r w:rsidR="00177848" w:rsidRPr="00C6052E">
        <w:rPr>
          <w:spacing w:val="-2"/>
          <w:lang w:val="en-AU"/>
        </w:rPr>
        <w:t xml:space="preserve"> </w:t>
      </w:r>
      <w:r w:rsidRPr="00C6052E">
        <w:rPr>
          <w:spacing w:val="-2"/>
          <w:lang w:val="en-AU"/>
        </w:rPr>
        <w:t>State</w:t>
      </w:r>
      <w:r w:rsidR="00177848" w:rsidRPr="00C6052E">
        <w:rPr>
          <w:spacing w:val="-2"/>
          <w:lang w:val="en-AU"/>
        </w:rPr>
        <w:t xml:space="preserve"> </w:t>
      </w:r>
      <w:r w:rsidRPr="00C6052E">
        <w:rPr>
          <w:spacing w:val="-2"/>
          <w:lang w:val="en-AU"/>
        </w:rPr>
        <w:t>Theatre</w:t>
      </w:r>
      <w:r w:rsidR="00177848" w:rsidRPr="00C6052E">
        <w:rPr>
          <w:spacing w:val="-2"/>
          <w:lang w:val="en-AU"/>
        </w:rPr>
        <w:t xml:space="preserve"> </w:t>
      </w:r>
      <w:r w:rsidRPr="00C6052E">
        <w:rPr>
          <w:spacing w:val="-2"/>
          <w:lang w:val="en-AU"/>
        </w:rPr>
        <w:t>are</w:t>
      </w:r>
      <w:r w:rsidR="00177848" w:rsidRPr="00C6052E">
        <w:rPr>
          <w:spacing w:val="-2"/>
          <w:lang w:val="en-AU"/>
        </w:rPr>
        <w:t xml:space="preserve"> </w:t>
      </w:r>
      <w:r w:rsidRPr="00C6052E">
        <w:rPr>
          <w:spacing w:val="-2"/>
          <w:lang w:val="en-AU"/>
        </w:rPr>
        <w:t>ongoing,</w:t>
      </w:r>
      <w:r w:rsidR="00177848" w:rsidRPr="00C6052E">
        <w:rPr>
          <w:spacing w:val="-2"/>
          <w:lang w:val="en-AU"/>
        </w:rPr>
        <w:t xml:space="preserve"> </w:t>
      </w:r>
      <w:r w:rsidRPr="00C6052E">
        <w:rPr>
          <w:spacing w:val="-2"/>
          <w:lang w:val="en-AU"/>
        </w:rPr>
        <w:t>with</w:t>
      </w:r>
      <w:r w:rsidR="00177848" w:rsidRPr="00C6052E">
        <w:rPr>
          <w:spacing w:val="-2"/>
          <w:lang w:val="en-AU"/>
        </w:rPr>
        <w:t xml:space="preserve"> </w:t>
      </w:r>
      <w:r w:rsidRPr="00C6052E">
        <w:rPr>
          <w:spacing w:val="-2"/>
          <w:lang w:val="en-AU"/>
        </w:rPr>
        <w:t>180</w:t>
      </w:r>
      <w:r w:rsidR="00177848" w:rsidRPr="00C6052E">
        <w:rPr>
          <w:spacing w:val="-2"/>
          <w:lang w:val="en-AU"/>
        </w:rPr>
        <w:t xml:space="preserve"> </w:t>
      </w:r>
      <w:r w:rsidRPr="00C6052E">
        <w:rPr>
          <w:spacing w:val="-2"/>
          <w:lang w:val="en-AU"/>
        </w:rPr>
        <w:t>workers</w:t>
      </w:r>
      <w:r w:rsidR="00177848" w:rsidRPr="00C6052E">
        <w:rPr>
          <w:spacing w:val="-2"/>
          <w:lang w:val="en-AU"/>
        </w:rPr>
        <w:t xml:space="preserve"> </w:t>
      </w:r>
      <w:r w:rsidRPr="00C6052E">
        <w:rPr>
          <w:spacing w:val="-2"/>
          <w:lang w:val="en-AU"/>
        </w:rPr>
        <w:t>on</w:t>
      </w:r>
      <w:r w:rsidR="00177848" w:rsidRPr="00C6052E">
        <w:rPr>
          <w:spacing w:val="-2"/>
          <w:lang w:val="en-AU"/>
        </w:rPr>
        <w:t xml:space="preserve"> </w:t>
      </w:r>
      <w:r w:rsidRPr="00C6052E">
        <w:rPr>
          <w:spacing w:val="-2"/>
          <w:lang w:val="en-AU"/>
        </w:rPr>
        <w:t>site</w:t>
      </w:r>
      <w:r w:rsidR="00177848" w:rsidRPr="00C6052E">
        <w:rPr>
          <w:spacing w:val="-2"/>
          <w:lang w:val="en-AU"/>
        </w:rPr>
        <w:t xml:space="preserve"> </w:t>
      </w:r>
      <w:r w:rsidRPr="00C6052E">
        <w:rPr>
          <w:spacing w:val="-2"/>
          <w:lang w:val="en-AU"/>
        </w:rPr>
        <w:t>daily.</w:t>
      </w:r>
      <w:r w:rsidR="00177848" w:rsidRPr="00C6052E">
        <w:rPr>
          <w:spacing w:val="-2"/>
          <w:lang w:val="en-AU"/>
        </w:rPr>
        <w:t xml:space="preserve"> </w:t>
      </w:r>
      <w:r w:rsidRPr="00C6052E">
        <w:rPr>
          <w:spacing w:val="-2"/>
          <w:lang w:val="en-AU"/>
        </w:rPr>
        <w:t>Piling</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r w:rsidRPr="00C6052E">
        <w:rPr>
          <w:spacing w:val="-2"/>
          <w:lang w:val="en-AU"/>
        </w:rPr>
        <w:t>groundworks</w:t>
      </w:r>
      <w:r w:rsidR="00177848" w:rsidRPr="00C6052E">
        <w:rPr>
          <w:spacing w:val="-2"/>
          <w:lang w:val="en-AU"/>
        </w:rPr>
        <w:t xml:space="preserve"> </w:t>
      </w:r>
      <w:r w:rsidRPr="00C6052E">
        <w:rPr>
          <w:spacing w:val="-2"/>
          <w:lang w:val="en-AU"/>
        </w:rPr>
        <w:t>for</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Fox:</w:t>
      </w:r>
      <w:r w:rsidR="00177848" w:rsidRPr="00C6052E">
        <w:rPr>
          <w:spacing w:val="-2"/>
          <w:lang w:val="en-AU"/>
        </w:rPr>
        <w:t xml:space="preserve"> </w:t>
      </w:r>
      <w:r w:rsidRPr="00C6052E">
        <w:rPr>
          <w:spacing w:val="-2"/>
          <w:lang w:val="en-AU"/>
        </w:rPr>
        <w:t>NGV</w:t>
      </w:r>
      <w:r w:rsidR="00177848" w:rsidRPr="00C6052E">
        <w:rPr>
          <w:spacing w:val="-2"/>
          <w:lang w:val="en-AU"/>
        </w:rPr>
        <w:t xml:space="preserve"> </w:t>
      </w:r>
      <w:r w:rsidRPr="00C6052E">
        <w:rPr>
          <w:spacing w:val="-2"/>
          <w:lang w:val="en-AU"/>
        </w:rPr>
        <w:t>Contemporary</w:t>
      </w:r>
      <w:r w:rsidR="00177848" w:rsidRPr="00C6052E">
        <w:rPr>
          <w:spacing w:val="-2"/>
          <w:lang w:val="en-AU"/>
        </w:rPr>
        <w:t xml:space="preserve"> </w:t>
      </w:r>
      <w:r w:rsidRPr="00C6052E">
        <w:rPr>
          <w:spacing w:val="-2"/>
          <w:lang w:val="en-AU"/>
        </w:rPr>
        <w:t>commenced</w:t>
      </w:r>
      <w:r w:rsidR="00177848" w:rsidRPr="00C6052E">
        <w:rPr>
          <w:spacing w:val="-2"/>
          <w:lang w:val="en-AU"/>
        </w:rPr>
        <w:t xml:space="preserve"> </w:t>
      </w:r>
      <w:r w:rsidRPr="00C6052E">
        <w:rPr>
          <w:spacing w:val="-2"/>
          <w:lang w:val="en-AU"/>
        </w:rPr>
        <w:t>in</w:t>
      </w:r>
      <w:r w:rsidR="00177848" w:rsidRPr="00C6052E">
        <w:rPr>
          <w:spacing w:val="-2"/>
          <w:lang w:val="en-AU"/>
        </w:rPr>
        <w:t xml:space="preserve"> </w:t>
      </w:r>
      <w:r w:rsidRPr="00C6052E">
        <w:rPr>
          <w:spacing w:val="-2"/>
          <w:lang w:val="en-AU"/>
        </w:rPr>
        <w:t>March</w:t>
      </w:r>
      <w:r w:rsidR="00177848" w:rsidRPr="00C6052E">
        <w:rPr>
          <w:spacing w:val="-2"/>
          <w:lang w:val="en-AU"/>
        </w:rPr>
        <w:t xml:space="preserve"> </w:t>
      </w:r>
      <w:r w:rsidRPr="00C6052E">
        <w:rPr>
          <w:spacing w:val="-2"/>
          <w:lang w:val="en-AU"/>
        </w:rPr>
        <w:t>2025,</w:t>
      </w:r>
      <w:r w:rsidR="00177848" w:rsidRPr="00C6052E">
        <w:rPr>
          <w:spacing w:val="-2"/>
          <w:lang w:val="en-AU"/>
        </w:rPr>
        <w:t xml:space="preserve"> </w:t>
      </w:r>
      <w:r w:rsidRPr="00C6052E">
        <w:rPr>
          <w:spacing w:val="-2"/>
          <w:lang w:val="en-AU"/>
        </w:rPr>
        <w:t>with</w:t>
      </w:r>
      <w:r w:rsidR="00177848" w:rsidRPr="00C6052E">
        <w:rPr>
          <w:spacing w:val="-2"/>
          <w:lang w:val="en-AU"/>
        </w:rPr>
        <w:t xml:space="preserve"> </w:t>
      </w:r>
      <w:r w:rsidRPr="00C6052E">
        <w:rPr>
          <w:spacing w:val="-2"/>
          <w:lang w:val="en-AU"/>
        </w:rPr>
        <w:t>30-40</w:t>
      </w:r>
      <w:r w:rsidR="00177848" w:rsidRPr="00C6052E">
        <w:rPr>
          <w:spacing w:val="-2"/>
          <w:lang w:val="en-AU"/>
        </w:rPr>
        <w:t xml:space="preserve"> </w:t>
      </w:r>
      <w:r w:rsidRPr="00C6052E">
        <w:rPr>
          <w:spacing w:val="-2"/>
          <w:lang w:val="en-AU"/>
        </w:rPr>
        <w:t>workers</w:t>
      </w:r>
      <w:r w:rsidR="00177848" w:rsidRPr="00C6052E">
        <w:rPr>
          <w:spacing w:val="-2"/>
          <w:lang w:val="en-AU"/>
        </w:rPr>
        <w:t xml:space="preserve"> </w:t>
      </w:r>
      <w:r w:rsidRPr="00C6052E">
        <w:rPr>
          <w:spacing w:val="-2"/>
          <w:lang w:val="en-AU"/>
        </w:rPr>
        <w:t>on</w:t>
      </w:r>
      <w:r w:rsidR="00177848" w:rsidRPr="00C6052E">
        <w:rPr>
          <w:spacing w:val="-2"/>
          <w:lang w:val="en-AU"/>
        </w:rPr>
        <w:t xml:space="preserve"> </w:t>
      </w:r>
      <w:r w:rsidRPr="00C6052E">
        <w:rPr>
          <w:spacing w:val="-2"/>
          <w:lang w:val="en-AU"/>
        </w:rPr>
        <w:t>site</w:t>
      </w:r>
      <w:r w:rsidR="00177848" w:rsidRPr="00C6052E">
        <w:rPr>
          <w:spacing w:val="-2"/>
          <w:lang w:val="en-AU"/>
        </w:rPr>
        <w:t xml:space="preserve"> </w:t>
      </w:r>
      <w:r w:rsidRPr="00C6052E">
        <w:rPr>
          <w:spacing w:val="-2"/>
          <w:lang w:val="en-AU"/>
        </w:rPr>
        <w:t>daily.</w:t>
      </w:r>
      <w:r w:rsidR="00177848" w:rsidRPr="00C6052E">
        <w:rPr>
          <w:spacing w:val="-2"/>
          <w:lang w:val="en-AU"/>
        </w:rPr>
        <w:t xml:space="preserve"> </w:t>
      </w:r>
      <w:r w:rsidRPr="00C6052E">
        <w:rPr>
          <w:spacing w:val="-2"/>
          <w:lang w:val="en-AU"/>
        </w:rPr>
        <w:t>There</w:t>
      </w:r>
      <w:r w:rsidR="00177848" w:rsidRPr="00C6052E">
        <w:rPr>
          <w:spacing w:val="-2"/>
          <w:lang w:val="en-AU"/>
        </w:rPr>
        <w:t xml:space="preserve"> </w:t>
      </w:r>
      <w:r w:rsidRPr="00C6052E">
        <w:rPr>
          <w:spacing w:val="-2"/>
          <w:lang w:val="en-AU"/>
        </w:rPr>
        <w:t>have</w:t>
      </w:r>
      <w:r w:rsidR="00177848" w:rsidRPr="00C6052E">
        <w:rPr>
          <w:spacing w:val="-2"/>
          <w:lang w:val="en-AU"/>
        </w:rPr>
        <w:t xml:space="preserve"> </w:t>
      </w:r>
      <w:r w:rsidRPr="00C6052E">
        <w:rPr>
          <w:spacing w:val="-2"/>
          <w:lang w:val="en-AU"/>
        </w:rPr>
        <w:t>been</w:t>
      </w:r>
      <w:r w:rsidR="00177848" w:rsidRPr="00C6052E">
        <w:rPr>
          <w:spacing w:val="-2"/>
          <w:lang w:val="en-AU"/>
        </w:rPr>
        <w:t xml:space="preserve"> </w:t>
      </w:r>
      <w:r w:rsidRPr="00C6052E">
        <w:rPr>
          <w:spacing w:val="-2"/>
          <w:lang w:val="en-AU"/>
        </w:rPr>
        <w:t>95</w:t>
      </w:r>
      <w:r w:rsidR="00177848" w:rsidRPr="00C6052E">
        <w:rPr>
          <w:spacing w:val="-2"/>
          <w:lang w:val="en-AU"/>
        </w:rPr>
        <w:t xml:space="preserve"> </w:t>
      </w:r>
      <w:r w:rsidRPr="00C6052E">
        <w:rPr>
          <w:spacing w:val="-2"/>
          <w:lang w:val="en-AU"/>
        </w:rPr>
        <w:t>apprentices</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r w:rsidRPr="00C6052E">
        <w:rPr>
          <w:spacing w:val="-2"/>
          <w:lang w:val="en-AU"/>
        </w:rPr>
        <w:t>cadets</w:t>
      </w:r>
      <w:r w:rsidR="00177848" w:rsidRPr="00C6052E">
        <w:rPr>
          <w:spacing w:val="-2"/>
          <w:lang w:val="en-AU"/>
        </w:rPr>
        <w:t xml:space="preserve"> </w:t>
      </w:r>
      <w:r w:rsidRPr="00C6052E">
        <w:rPr>
          <w:spacing w:val="-2"/>
          <w:lang w:val="en-AU"/>
        </w:rPr>
        <w:t>working</w:t>
      </w:r>
      <w:r w:rsidR="00177848" w:rsidRPr="00C6052E">
        <w:rPr>
          <w:spacing w:val="-2"/>
          <w:lang w:val="en-AU"/>
        </w:rPr>
        <w:t xml:space="preserve"> </w:t>
      </w:r>
      <w:r w:rsidRPr="00C6052E">
        <w:rPr>
          <w:spacing w:val="-2"/>
          <w:lang w:val="en-AU"/>
        </w:rPr>
        <w:t>across</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project,</w:t>
      </w:r>
      <w:r w:rsidR="00177848" w:rsidRPr="00C6052E">
        <w:rPr>
          <w:spacing w:val="-2"/>
          <w:lang w:val="en-AU"/>
        </w:rPr>
        <w:t xml:space="preserve"> </w:t>
      </w:r>
      <w:r w:rsidRPr="00C6052E">
        <w:rPr>
          <w:spacing w:val="-2"/>
          <w:lang w:val="en-AU"/>
        </w:rPr>
        <w:t>a</w:t>
      </w:r>
      <w:r w:rsidR="00177848" w:rsidRPr="00C6052E">
        <w:rPr>
          <w:spacing w:val="-2"/>
          <w:lang w:val="en-AU"/>
        </w:rPr>
        <w:t xml:space="preserve"> </w:t>
      </w:r>
      <w:r w:rsidRPr="00C6052E">
        <w:rPr>
          <w:spacing w:val="-2"/>
          <w:lang w:val="en-AU"/>
        </w:rPr>
        <w:t>third</w:t>
      </w:r>
      <w:r w:rsidR="00177848" w:rsidRPr="00C6052E">
        <w:rPr>
          <w:spacing w:val="-2"/>
          <w:lang w:val="en-AU"/>
        </w:rPr>
        <w:t xml:space="preserve"> </w:t>
      </w:r>
      <w:r w:rsidRPr="00C6052E">
        <w:rPr>
          <w:spacing w:val="-2"/>
          <w:lang w:val="en-AU"/>
        </w:rPr>
        <w:t>of</w:t>
      </w:r>
      <w:r w:rsidR="00177848" w:rsidRPr="00C6052E">
        <w:rPr>
          <w:spacing w:val="-2"/>
          <w:lang w:val="en-AU"/>
        </w:rPr>
        <w:t xml:space="preserve"> </w:t>
      </w:r>
      <w:r w:rsidRPr="00C6052E">
        <w:rPr>
          <w:spacing w:val="-2"/>
          <w:lang w:val="en-AU"/>
        </w:rPr>
        <w:t>whom</w:t>
      </w:r>
      <w:r w:rsidR="00177848" w:rsidRPr="00C6052E">
        <w:rPr>
          <w:spacing w:val="-2"/>
          <w:lang w:val="en-AU"/>
        </w:rPr>
        <w:t xml:space="preserve"> </w:t>
      </w:r>
      <w:r w:rsidRPr="00C6052E">
        <w:rPr>
          <w:spacing w:val="-2"/>
          <w:lang w:val="en-AU"/>
        </w:rPr>
        <w:t>are</w:t>
      </w:r>
      <w:r w:rsidR="00177848" w:rsidRPr="00C6052E">
        <w:rPr>
          <w:spacing w:val="-2"/>
          <w:lang w:val="en-AU"/>
        </w:rPr>
        <w:t xml:space="preserve"> </w:t>
      </w:r>
      <w:r w:rsidRPr="00C6052E">
        <w:rPr>
          <w:spacing w:val="-2"/>
          <w:lang w:val="en-AU"/>
        </w:rPr>
        <w:t>women.</w:t>
      </w:r>
      <w:r w:rsidR="00177848" w:rsidRPr="00C6052E">
        <w:rPr>
          <w:spacing w:val="-2"/>
          <w:lang w:val="en-AU"/>
        </w:rPr>
        <w:t xml:space="preserve"> </w:t>
      </w:r>
      <w:r w:rsidRPr="00C6052E">
        <w:rPr>
          <w:spacing w:val="-2"/>
          <w:lang w:val="en-AU"/>
        </w:rPr>
        <w:t>It</w:t>
      </w:r>
      <w:r w:rsidR="00177848" w:rsidRPr="00C6052E">
        <w:rPr>
          <w:spacing w:val="-2"/>
          <w:lang w:val="en-AU"/>
        </w:rPr>
        <w:t xml:space="preserve"> </w:t>
      </w:r>
      <w:r w:rsidRPr="00C6052E">
        <w:rPr>
          <w:spacing w:val="-2"/>
          <w:lang w:val="en-AU"/>
        </w:rPr>
        <w:t>is</w:t>
      </w:r>
      <w:r w:rsidR="00177848" w:rsidRPr="00C6052E">
        <w:rPr>
          <w:spacing w:val="-2"/>
          <w:lang w:val="en-AU"/>
        </w:rPr>
        <w:t xml:space="preserve"> </w:t>
      </w:r>
      <w:r w:rsidRPr="00C6052E">
        <w:rPr>
          <w:spacing w:val="-2"/>
          <w:lang w:val="en-AU"/>
        </w:rPr>
        <w:t>estimated</w:t>
      </w:r>
      <w:r w:rsidR="00177848" w:rsidRPr="00C6052E">
        <w:rPr>
          <w:spacing w:val="-2"/>
          <w:lang w:val="en-AU"/>
        </w:rPr>
        <w:t xml:space="preserve"> </w:t>
      </w:r>
      <w:r w:rsidRPr="00C6052E">
        <w:rPr>
          <w:spacing w:val="-2"/>
          <w:lang w:val="en-AU"/>
        </w:rPr>
        <w:t>that</w:t>
      </w:r>
      <w:r w:rsidR="00177848" w:rsidRPr="00C6052E">
        <w:rPr>
          <w:spacing w:val="-2"/>
          <w:lang w:val="en-AU"/>
        </w:rPr>
        <w:t xml:space="preserve"> </w:t>
      </w:r>
      <w:r w:rsidRPr="00C6052E">
        <w:rPr>
          <w:spacing w:val="-2"/>
          <w:lang w:val="en-AU"/>
        </w:rPr>
        <w:t>up</w:t>
      </w:r>
      <w:r w:rsidR="00177848" w:rsidRPr="00C6052E">
        <w:rPr>
          <w:spacing w:val="-2"/>
          <w:lang w:val="en-AU"/>
        </w:rPr>
        <w:t xml:space="preserve"> </w:t>
      </w:r>
      <w:r w:rsidRPr="00C6052E">
        <w:rPr>
          <w:spacing w:val="-2"/>
          <w:lang w:val="en-AU"/>
        </w:rPr>
        <w:t>to</w:t>
      </w:r>
      <w:r w:rsidR="00177848" w:rsidRPr="00C6052E">
        <w:rPr>
          <w:spacing w:val="-2"/>
          <w:lang w:val="en-AU"/>
        </w:rPr>
        <w:t xml:space="preserve"> </w:t>
      </w:r>
      <w:r w:rsidRPr="00C6052E">
        <w:rPr>
          <w:spacing w:val="-2"/>
          <w:lang w:val="en-AU"/>
        </w:rPr>
        <w:t>11,000</w:t>
      </w:r>
      <w:r w:rsidR="00177848" w:rsidRPr="00C6052E">
        <w:rPr>
          <w:spacing w:val="-2"/>
          <w:lang w:val="en-AU"/>
        </w:rPr>
        <w:t xml:space="preserve"> </w:t>
      </w:r>
      <w:r w:rsidRPr="00C6052E">
        <w:rPr>
          <w:spacing w:val="-2"/>
          <w:lang w:val="en-AU"/>
        </w:rPr>
        <w:t>jobs</w:t>
      </w:r>
      <w:r w:rsidR="00177848" w:rsidRPr="00C6052E">
        <w:rPr>
          <w:spacing w:val="-2"/>
          <w:lang w:val="en-AU"/>
        </w:rPr>
        <w:t xml:space="preserve"> </w:t>
      </w:r>
      <w:r w:rsidRPr="00C6052E">
        <w:rPr>
          <w:spacing w:val="-2"/>
          <w:lang w:val="en-AU"/>
        </w:rPr>
        <w:t>will</w:t>
      </w:r>
      <w:r w:rsidR="00177848" w:rsidRPr="00C6052E">
        <w:rPr>
          <w:spacing w:val="-2"/>
          <w:lang w:val="en-AU"/>
        </w:rPr>
        <w:t xml:space="preserve"> </w:t>
      </w:r>
      <w:r w:rsidRPr="00C6052E">
        <w:rPr>
          <w:spacing w:val="-2"/>
          <w:lang w:val="en-AU"/>
        </w:rPr>
        <w:t>be</w:t>
      </w:r>
      <w:r w:rsidR="00177848" w:rsidRPr="00C6052E">
        <w:rPr>
          <w:spacing w:val="-2"/>
          <w:lang w:val="en-AU"/>
        </w:rPr>
        <w:t xml:space="preserve"> </w:t>
      </w:r>
      <w:r w:rsidRPr="00C6052E">
        <w:rPr>
          <w:spacing w:val="-2"/>
          <w:lang w:val="en-AU"/>
        </w:rPr>
        <w:t>supported</w:t>
      </w:r>
      <w:r w:rsidR="00177848" w:rsidRPr="00C6052E">
        <w:rPr>
          <w:spacing w:val="-2"/>
          <w:lang w:val="en-AU"/>
        </w:rPr>
        <w:t xml:space="preserve"> </w:t>
      </w:r>
      <w:r w:rsidRPr="00C6052E">
        <w:rPr>
          <w:spacing w:val="-2"/>
          <w:lang w:val="en-AU"/>
        </w:rPr>
        <w:t>through</w:t>
      </w:r>
      <w:r w:rsidR="00177848" w:rsidRPr="00C6052E">
        <w:rPr>
          <w:spacing w:val="-2"/>
          <w:lang w:val="en-AU"/>
        </w:rPr>
        <w:t xml:space="preserve"> </w:t>
      </w:r>
      <w:r w:rsidRPr="00C6052E">
        <w:rPr>
          <w:spacing w:val="-2"/>
          <w:lang w:val="en-AU"/>
        </w:rPr>
        <w:t>construction</w:t>
      </w:r>
      <w:r w:rsidR="00177848" w:rsidRPr="00C6052E">
        <w:rPr>
          <w:spacing w:val="-2"/>
          <w:lang w:val="en-AU"/>
        </w:rPr>
        <w:t xml:space="preserve"> </w:t>
      </w:r>
      <w:r w:rsidRPr="00C6052E">
        <w:rPr>
          <w:spacing w:val="-2"/>
          <w:lang w:val="en-AU"/>
        </w:rPr>
        <w:t>work,</w:t>
      </w:r>
      <w:r w:rsidR="00177848" w:rsidRPr="00C6052E">
        <w:rPr>
          <w:spacing w:val="-2"/>
          <w:lang w:val="en-AU"/>
        </w:rPr>
        <w:t xml:space="preserve"> </w:t>
      </w:r>
      <w:r w:rsidRPr="00C6052E">
        <w:rPr>
          <w:spacing w:val="-2"/>
          <w:lang w:val="en-AU"/>
        </w:rPr>
        <w:t>continuing</w:t>
      </w:r>
      <w:r w:rsidR="00177848" w:rsidRPr="00C6052E">
        <w:rPr>
          <w:spacing w:val="-2"/>
          <w:lang w:val="en-AU"/>
        </w:rPr>
        <w:t xml:space="preserve"> </w:t>
      </w:r>
      <w:r w:rsidRPr="00C6052E">
        <w:rPr>
          <w:spacing w:val="-2"/>
          <w:lang w:val="en-AU"/>
        </w:rPr>
        <w:t>until</w:t>
      </w:r>
      <w:r w:rsidR="00177848" w:rsidRPr="00C6052E">
        <w:rPr>
          <w:spacing w:val="-2"/>
          <w:lang w:val="en-AU"/>
        </w:rPr>
        <w:t xml:space="preserve"> </w:t>
      </w:r>
      <w:r w:rsidRPr="00C6052E">
        <w:rPr>
          <w:spacing w:val="-2"/>
          <w:lang w:val="en-AU"/>
        </w:rPr>
        <w:t>2028–29.</w:t>
      </w:r>
    </w:p>
    <w:p w14:paraId="1CB304CE" w14:textId="2E5E2351" w:rsidR="00EE5BB8" w:rsidRPr="00C6052E" w:rsidRDefault="00EE5BB8" w:rsidP="00EE5BB8">
      <w:pPr>
        <w:keepLines/>
      </w:pPr>
      <w:r w:rsidRPr="00C6052E">
        <w:t>Creative</w:t>
      </w:r>
      <w:r w:rsidR="00177848" w:rsidRPr="00C6052E">
        <w:t xml:space="preserve"> </w:t>
      </w:r>
      <w:r w:rsidRPr="00C6052E">
        <w:t>Victoria</w:t>
      </w:r>
      <w:r w:rsidR="00177848" w:rsidRPr="00C6052E">
        <w:t xml:space="preserve"> </w:t>
      </w:r>
      <w:r w:rsidRPr="00C6052E">
        <w:t>grant</w:t>
      </w:r>
      <w:r w:rsidR="00177848" w:rsidRPr="00C6052E">
        <w:t xml:space="preserve"> </w:t>
      </w:r>
      <w:r w:rsidRPr="00C6052E">
        <w:t>programs</w:t>
      </w:r>
      <w:r w:rsidR="00177848" w:rsidRPr="00C6052E">
        <w:t xml:space="preserve"> </w:t>
      </w:r>
      <w:r w:rsidRPr="00C6052E">
        <w:t>continued</w:t>
      </w:r>
      <w:r w:rsidR="00177848" w:rsidRPr="00C6052E">
        <w:t xml:space="preserve"> </w:t>
      </w:r>
      <w:r w:rsidRPr="00C6052E">
        <w:t>to</w:t>
      </w:r>
      <w:r w:rsidR="00177848" w:rsidRPr="00C6052E">
        <w:t xml:space="preserve"> </w:t>
      </w:r>
      <w:r w:rsidRPr="00C6052E">
        <w:t>support</w:t>
      </w:r>
      <w:r w:rsidR="00177848" w:rsidRPr="00C6052E">
        <w:t xml:space="preserve"> </w:t>
      </w:r>
      <w:r w:rsidRPr="00C6052E">
        <w:t>creative</w:t>
      </w:r>
      <w:r w:rsidR="00177848" w:rsidRPr="00C6052E">
        <w:t xml:space="preserve"> </w:t>
      </w:r>
      <w:r w:rsidRPr="00C6052E">
        <w:t>individuals,</w:t>
      </w:r>
      <w:r w:rsidR="00177848" w:rsidRPr="00C6052E">
        <w:t xml:space="preserve"> </w:t>
      </w:r>
      <w:r w:rsidRPr="00C6052E">
        <w:t>collectives</w:t>
      </w:r>
      <w:r w:rsidR="00177848" w:rsidRPr="00C6052E">
        <w:t xml:space="preserve"> </w:t>
      </w:r>
      <w:r w:rsidRPr="00C6052E">
        <w:t>and</w:t>
      </w:r>
      <w:r w:rsidR="00177848" w:rsidRPr="00C6052E">
        <w:t xml:space="preserve"> </w:t>
      </w:r>
      <w:r w:rsidRPr="00C6052E">
        <w:t>organisations</w:t>
      </w:r>
      <w:r w:rsidR="00177848" w:rsidRPr="00C6052E">
        <w:t xml:space="preserve"> </w:t>
      </w:r>
      <w:r w:rsidRPr="00C6052E">
        <w:t>of</w:t>
      </w:r>
      <w:r w:rsidR="00177848" w:rsidRPr="00C6052E">
        <w:t xml:space="preserve"> </w:t>
      </w:r>
      <w:r w:rsidRPr="00C6052E">
        <w:t>all</w:t>
      </w:r>
      <w:r w:rsidR="00177848" w:rsidRPr="00C6052E">
        <w:t xml:space="preserve"> </w:t>
      </w:r>
      <w:r w:rsidRPr="00C6052E">
        <w:t>sizes</w:t>
      </w:r>
      <w:r w:rsidR="00177848" w:rsidRPr="00C6052E">
        <w:t xml:space="preserve"> </w:t>
      </w:r>
      <w:r w:rsidRPr="00C6052E">
        <w:t>and</w:t>
      </w:r>
      <w:r w:rsidR="00177848" w:rsidRPr="00C6052E">
        <w:t xml:space="preserve"> </w:t>
      </w:r>
      <w:r w:rsidRPr="00C6052E">
        <w:t>creative</w:t>
      </w:r>
      <w:r w:rsidR="00177848" w:rsidRPr="00C6052E">
        <w:t xml:space="preserve"> </w:t>
      </w:r>
      <w:r w:rsidRPr="00C6052E">
        <w:t>disciplines,</w:t>
      </w:r>
      <w:r w:rsidR="00177848" w:rsidRPr="00C6052E">
        <w:t xml:space="preserve"> </w:t>
      </w:r>
      <w:r w:rsidRPr="00C6052E">
        <w:t>strengthening</w:t>
      </w:r>
      <w:r w:rsidR="00177848" w:rsidRPr="00C6052E">
        <w:t xml:space="preserve"> </w:t>
      </w:r>
      <w:r w:rsidRPr="00C6052E">
        <w:t>Victoria’s</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workforce.</w:t>
      </w:r>
      <w:r w:rsidR="00177848" w:rsidRPr="00C6052E">
        <w:t xml:space="preserve"> </w:t>
      </w:r>
      <w:r w:rsidRPr="00C6052E">
        <w:t>These</w:t>
      </w:r>
      <w:r w:rsidR="00177848" w:rsidRPr="00C6052E">
        <w:t xml:space="preserve"> </w:t>
      </w:r>
      <w:r w:rsidRPr="00C6052E">
        <w:t>programs</w:t>
      </w:r>
      <w:r w:rsidR="00177848" w:rsidRPr="00C6052E">
        <w:t xml:space="preserve"> </w:t>
      </w:r>
      <w:r w:rsidRPr="00C6052E">
        <w:t>collectively</w:t>
      </w:r>
      <w:r w:rsidR="00177848" w:rsidRPr="00C6052E">
        <w:t xml:space="preserve"> </w:t>
      </w:r>
      <w:r w:rsidRPr="00C6052E">
        <w:t>paid</w:t>
      </w:r>
      <w:r w:rsidR="00177848" w:rsidRPr="00C6052E">
        <w:t xml:space="preserve"> </w:t>
      </w:r>
      <w:r w:rsidRPr="00C6052E">
        <w:t>more</w:t>
      </w:r>
      <w:r w:rsidR="00177848" w:rsidRPr="00C6052E">
        <w:t xml:space="preserve"> </w:t>
      </w:r>
      <w:r w:rsidRPr="00C6052E">
        <w:t>than</w:t>
      </w:r>
      <w:r w:rsidR="00177848" w:rsidRPr="00C6052E">
        <w:t xml:space="preserve"> </w:t>
      </w:r>
      <w:r w:rsidRPr="00C6052E">
        <w:t>13,000</w:t>
      </w:r>
      <w:r w:rsidR="00177848" w:rsidRPr="00C6052E">
        <w:t xml:space="preserve"> </w:t>
      </w:r>
      <w:r w:rsidRPr="00C6052E">
        <w:t>individuals,</w:t>
      </w:r>
      <w:r w:rsidR="00177848" w:rsidRPr="00C6052E">
        <w:t xml:space="preserve"> </w:t>
      </w:r>
      <w:r w:rsidRPr="00C6052E">
        <w:t>based</w:t>
      </w:r>
      <w:r w:rsidR="00177848" w:rsidRPr="00C6052E">
        <w:t xml:space="preserve"> </w:t>
      </w:r>
      <w:r w:rsidRPr="00C6052E">
        <w:t>on</w:t>
      </w:r>
      <w:r w:rsidR="00177848" w:rsidRPr="00C6052E">
        <w:t xml:space="preserve"> </w:t>
      </w:r>
      <w:r w:rsidRPr="00C6052E">
        <w:t>acquittal</w:t>
      </w:r>
      <w:r w:rsidR="00177848" w:rsidRPr="00C6052E">
        <w:t xml:space="preserve"> </w:t>
      </w:r>
      <w:r w:rsidRPr="00C6052E">
        <w:t>data</w:t>
      </w:r>
      <w:r w:rsidR="00177848" w:rsidRPr="00C6052E">
        <w:t xml:space="preserve"> </w:t>
      </w:r>
      <w:r w:rsidRPr="00C6052E">
        <w:t>received</w:t>
      </w:r>
      <w:r w:rsidR="00177848" w:rsidRPr="00C6052E">
        <w:t xml:space="preserve"> </w:t>
      </w:r>
      <w:r w:rsidRPr="00C6052E">
        <w:t>from</w:t>
      </w:r>
      <w:r w:rsidR="00177848" w:rsidRPr="00C6052E">
        <w:t xml:space="preserve"> </w:t>
      </w:r>
      <w:r w:rsidRPr="00C6052E">
        <w:t>projects</w:t>
      </w:r>
      <w:r w:rsidR="00177848" w:rsidRPr="00C6052E">
        <w:t xml:space="preserve"> </w:t>
      </w:r>
      <w:r w:rsidRPr="00C6052E">
        <w:t>that</w:t>
      </w:r>
      <w:r w:rsidR="00177848" w:rsidRPr="00C6052E">
        <w:t xml:space="preserve"> </w:t>
      </w:r>
      <w:r w:rsidRPr="00C6052E">
        <w:t>concluded</w:t>
      </w:r>
      <w:r w:rsidR="00177848" w:rsidRPr="00C6052E">
        <w:t xml:space="preserve"> </w:t>
      </w:r>
      <w:r w:rsidRPr="00C6052E">
        <w:t>in</w:t>
      </w:r>
      <w:r w:rsidR="00177848" w:rsidRPr="00C6052E">
        <w:t xml:space="preserve"> </w:t>
      </w:r>
      <w:r w:rsidRPr="00C6052E">
        <w:t>2023–24.</w:t>
      </w:r>
    </w:p>
    <w:p w14:paraId="1ACC13F4" w14:textId="309BAA11" w:rsidR="00EE5BB8" w:rsidRPr="00C6052E" w:rsidRDefault="00EE5BB8" w:rsidP="00EE5BB8">
      <w:pPr>
        <w:pStyle w:val="Heading3"/>
      </w:pPr>
      <w:r w:rsidRPr="00C6052E">
        <w:t>Indicator:</w:t>
      </w:r>
      <w:r w:rsidR="00177848" w:rsidRPr="00C6052E">
        <w:t xml:space="preserve"> </w:t>
      </w:r>
      <w:r w:rsidRPr="00C6052E">
        <w:t>Employment</w:t>
      </w:r>
      <w:r w:rsidR="00177848" w:rsidRPr="00C6052E">
        <w:t xml:space="preserve"> </w:t>
      </w:r>
      <w:r w:rsidRPr="00C6052E">
        <w:t>in</w:t>
      </w:r>
      <w:r w:rsidR="00177848" w:rsidRPr="00C6052E">
        <w:t xml:space="preserve"> </w:t>
      </w:r>
      <w:r w:rsidRPr="00C6052E">
        <w:t>the</w:t>
      </w:r>
      <w:r w:rsidR="00177848" w:rsidRPr="00C6052E">
        <w:t xml:space="preserve"> </w:t>
      </w:r>
      <w:r w:rsidRPr="00C6052E">
        <w:t>Visitor</w:t>
      </w:r>
      <w:r w:rsidR="00177848" w:rsidRPr="00C6052E">
        <w:t xml:space="preserve"> </w:t>
      </w:r>
      <w:r w:rsidRPr="00C6052E">
        <w:t>Economy</w:t>
      </w:r>
      <w:r w:rsidR="00177848" w:rsidRPr="00C6052E">
        <w:t xml:space="preserve"> </w:t>
      </w:r>
      <w:r w:rsidRPr="00C6052E">
        <w:t>sector</w:t>
      </w:r>
      <w:r w:rsidR="00177848" w:rsidRPr="00C6052E">
        <w:t xml:space="preserve"> </w:t>
      </w:r>
    </w:p>
    <w:p w14:paraId="22262533" w14:textId="3FDB8BA2" w:rsidR="00EE5BB8" w:rsidRPr="00C6052E" w:rsidRDefault="00EE5BB8" w:rsidP="00EE5BB8">
      <w:pPr>
        <w:pStyle w:val="TableHeading"/>
      </w:pPr>
      <w:r w:rsidRPr="00C6052E">
        <w:t>Table</w:t>
      </w:r>
      <w:r w:rsidR="00177848" w:rsidRPr="00C6052E">
        <w:t xml:space="preserve"> </w:t>
      </w:r>
      <w:r w:rsidRPr="00C6052E">
        <w:t>19:</w:t>
      </w:r>
      <w:r w:rsidR="00177848" w:rsidRPr="00C6052E">
        <w:t xml:space="preserve"> </w:t>
      </w:r>
      <w:r w:rsidRPr="00C6052E">
        <w:t>Employment</w:t>
      </w:r>
      <w:r w:rsidR="00177848" w:rsidRPr="00C6052E">
        <w:t xml:space="preserve"> </w:t>
      </w:r>
      <w:r w:rsidRPr="00C6052E">
        <w:t>in</w:t>
      </w:r>
      <w:r w:rsidR="00177848" w:rsidRPr="00C6052E">
        <w:t xml:space="preserve"> </w:t>
      </w:r>
      <w:r w:rsidRPr="00C6052E">
        <w:t>the</w:t>
      </w:r>
      <w:r w:rsidR="00177848" w:rsidRPr="00C6052E">
        <w:t xml:space="preserve"> </w:t>
      </w:r>
      <w:r w:rsidRPr="00C6052E">
        <w:t>Visitor</w:t>
      </w:r>
      <w:r w:rsidR="00177848" w:rsidRPr="00C6052E">
        <w:t xml:space="preserve"> </w:t>
      </w:r>
      <w:r w:rsidRPr="00C6052E" w:rsidDel="00D37468">
        <w:t>E</w:t>
      </w:r>
      <w:r w:rsidRPr="00C6052E">
        <w:t>conomy</w:t>
      </w:r>
      <w:r w:rsidR="00177848" w:rsidRPr="00C6052E">
        <w:t xml:space="preserve"> </w:t>
      </w:r>
      <w:r w:rsidRPr="00C6052E">
        <w:t>sector</w:t>
      </w:r>
    </w:p>
    <w:tbl>
      <w:tblPr>
        <w:tblStyle w:val="TableGrid"/>
        <w:tblW w:w="9634" w:type="dxa"/>
        <w:tblLayout w:type="fixed"/>
        <w:tblLook w:val="0020" w:firstRow="1" w:lastRow="0" w:firstColumn="0" w:lastColumn="0" w:noHBand="0" w:noVBand="0"/>
      </w:tblPr>
      <w:tblGrid>
        <w:gridCol w:w="4673"/>
        <w:gridCol w:w="1240"/>
        <w:gridCol w:w="1240"/>
        <w:gridCol w:w="1240"/>
        <w:gridCol w:w="1241"/>
      </w:tblGrid>
      <w:tr w:rsidR="00EE5BB8" w:rsidRPr="00C6052E" w14:paraId="57C451F9" w14:textId="77777777" w:rsidTr="0063097D">
        <w:tc>
          <w:tcPr>
            <w:tcW w:w="4673" w:type="dxa"/>
          </w:tcPr>
          <w:p w14:paraId="2C6DD9CA" w14:textId="7DB473DD" w:rsidR="00EE5BB8" w:rsidRPr="00C6052E" w:rsidRDefault="00EE5BB8" w:rsidP="0063097D">
            <w:pPr>
              <w:pStyle w:val="TableColumnHeading"/>
              <w:rPr>
                <w:lang w:val="en-AU"/>
              </w:rPr>
            </w:pPr>
            <w:bookmarkStart w:id="38" w:name="TableColumnHeadings_27"/>
            <w:bookmarkEnd w:id="38"/>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r w:rsidR="00177848" w:rsidRPr="00C6052E">
              <w:rPr>
                <w:lang w:val="en-AU"/>
              </w:rPr>
              <w:t xml:space="preserve"> </w:t>
            </w:r>
          </w:p>
        </w:tc>
        <w:tc>
          <w:tcPr>
            <w:tcW w:w="1240" w:type="dxa"/>
          </w:tcPr>
          <w:p w14:paraId="0D48E012" w14:textId="77777777" w:rsidR="00EE5BB8" w:rsidRPr="00C6052E" w:rsidRDefault="00EE5BB8" w:rsidP="0063097D">
            <w:pPr>
              <w:pStyle w:val="TableColumnHeading"/>
              <w:jc w:val="right"/>
              <w:rPr>
                <w:lang w:val="en-AU"/>
              </w:rPr>
            </w:pPr>
            <w:r w:rsidRPr="00C6052E">
              <w:rPr>
                <w:lang w:val="en-AU"/>
              </w:rPr>
              <w:t>2021–22</w:t>
            </w:r>
          </w:p>
        </w:tc>
        <w:tc>
          <w:tcPr>
            <w:tcW w:w="1240" w:type="dxa"/>
          </w:tcPr>
          <w:p w14:paraId="3FC8C32B" w14:textId="77777777" w:rsidR="00EE5BB8" w:rsidRPr="00C6052E" w:rsidRDefault="00EE5BB8" w:rsidP="0063097D">
            <w:pPr>
              <w:pStyle w:val="TableColumnHeading"/>
              <w:jc w:val="right"/>
              <w:rPr>
                <w:lang w:val="en-AU"/>
              </w:rPr>
            </w:pPr>
            <w:r w:rsidRPr="00C6052E">
              <w:rPr>
                <w:lang w:val="en-AU"/>
              </w:rPr>
              <w:t>2022–23</w:t>
            </w:r>
          </w:p>
        </w:tc>
        <w:tc>
          <w:tcPr>
            <w:tcW w:w="1240" w:type="dxa"/>
          </w:tcPr>
          <w:p w14:paraId="13F41E0B" w14:textId="77777777" w:rsidR="00EE5BB8" w:rsidRPr="00C6052E" w:rsidRDefault="00EE5BB8" w:rsidP="0063097D">
            <w:pPr>
              <w:pStyle w:val="TableColumnHeading"/>
              <w:jc w:val="right"/>
              <w:rPr>
                <w:lang w:val="en-AU"/>
              </w:rPr>
            </w:pPr>
            <w:r w:rsidRPr="00C6052E">
              <w:rPr>
                <w:lang w:val="en-AU"/>
              </w:rPr>
              <w:t>2023–24</w:t>
            </w:r>
          </w:p>
        </w:tc>
        <w:tc>
          <w:tcPr>
            <w:tcW w:w="1241" w:type="dxa"/>
          </w:tcPr>
          <w:p w14:paraId="1731422C"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1F450A91" w14:textId="77777777" w:rsidTr="0063097D">
        <w:tc>
          <w:tcPr>
            <w:tcW w:w="4673" w:type="dxa"/>
          </w:tcPr>
          <w:p w14:paraId="21899BF2" w14:textId="6EF48769" w:rsidR="00EE5BB8" w:rsidRPr="00C6052E"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filled</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visitor</w:t>
            </w:r>
            <w:r w:rsidR="00177848" w:rsidRPr="00C6052E">
              <w:rPr>
                <w:lang w:val="en-AU"/>
              </w:rPr>
              <w:t xml:space="preserve"> </w:t>
            </w:r>
            <w:r w:rsidRPr="00C6052E">
              <w:rPr>
                <w:lang w:val="en-AU"/>
              </w:rPr>
              <w:t>economy</w:t>
            </w:r>
            <w:r w:rsidR="00177848" w:rsidRPr="00C6052E">
              <w:rPr>
                <w:lang w:val="en-AU"/>
              </w:rPr>
              <w:t xml:space="preserve"> </w:t>
            </w:r>
            <w:r w:rsidRPr="00C6052E">
              <w:rPr>
                <w:lang w:val="en-AU"/>
              </w:rPr>
              <w:t>sector</w:t>
            </w:r>
            <w:r w:rsidR="00177848" w:rsidRPr="00C6052E">
              <w:rPr>
                <w:lang w:val="en-AU"/>
              </w:rPr>
              <w:t xml:space="preserve"> </w:t>
            </w:r>
            <w:r w:rsidRPr="00C6052E">
              <w:rPr>
                <w:lang w:val="en-AU"/>
              </w:rPr>
              <w:t>(number)*</w:t>
            </w:r>
          </w:p>
        </w:tc>
        <w:tc>
          <w:tcPr>
            <w:tcW w:w="1240" w:type="dxa"/>
          </w:tcPr>
          <w:p w14:paraId="37304844" w14:textId="77777777" w:rsidR="00EE5BB8" w:rsidRPr="00C6052E" w:rsidRDefault="00EE5BB8" w:rsidP="0063097D">
            <w:pPr>
              <w:pStyle w:val="TableCopy"/>
              <w:jc w:val="right"/>
              <w:rPr>
                <w:lang w:val="en-AU"/>
              </w:rPr>
            </w:pPr>
            <w:r w:rsidRPr="00C6052E">
              <w:rPr>
                <w:lang w:val="en-AU"/>
              </w:rPr>
              <w:t>156,800</w:t>
            </w:r>
          </w:p>
        </w:tc>
        <w:tc>
          <w:tcPr>
            <w:tcW w:w="1240" w:type="dxa"/>
          </w:tcPr>
          <w:p w14:paraId="525118C4" w14:textId="77777777" w:rsidR="00EE5BB8" w:rsidRPr="00C6052E" w:rsidRDefault="00EE5BB8" w:rsidP="0063097D">
            <w:pPr>
              <w:pStyle w:val="TableCopy"/>
              <w:jc w:val="right"/>
              <w:rPr>
                <w:lang w:val="en-AU"/>
              </w:rPr>
            </w:pPr>
            <w:r w:rsidRPr="00C6052E">
              <w:rPr>
                <w:lang w:val="en-AU"/>
              </w:rPr>
              <w:t>266,500</w:t>
            </w:r>
          </w:p>
        </w:tc>
        <w:tc>
          <w:tcPr>
            <w:tcW w:w="1240" w:type="dxa"/>
          </w:tcPr>
          <w:p w14:paraId="0C2FFCA9" w14:textId="77777777" w:rsidR="00EE5BB8" w:rsidRPr="00C6052E" w:rsidRDefault="00EE5BB8" w:rsidP="0063097D">
            <w:pPr>
              <w:pStyle w:val="TableCopy"/>
              <w:jc w:val="right"/>
              <w:rPr>
                <w:lang w:val="en-AU"/>
              </w:rPr>
            </w:pPr>
            <w:r w:rsidRPr="00C6052E">
              <w:rPr>
                <w:lang w:val="en-AU"/>
              </w:rPr>
              <w:t>288,800</w:t>
            </w:r>
          </w:p>
        </w:tc>
        <w:tc>
          <w:tcPr>
            <w:tcW w:w="1241" w:type="dxa"/>
          </w:tcPr>
          <w:p w14:paraId="27FC90A0" w14:textId="77777777" w:rsidR="00EE5BB8" w:rsidRPr="00C6052E" w:rsidRDefault="00EE5BB8" w:rsidP="0063097D">
            <w:pPr>
              <w:pStyle w:val="TableCopy"/>
              <w:jc w:val="right"/>
              <w:rPr>
                <w:lang w:val="en-AU"/>
              </w:rPr>
            </w:pPr>
            <w:r w:rsidRPr="00C6052E">
              <w:rPr>
                <w:lang w:val="en-AU"/>
              </w:rPr>
              <w:t>N/A**</w:t>
            </w:r>
          </w:p>
        </w:tc>
      </w:tr>
    </w:tbl>
    <w:p w14:paraId="36B3183F" w14:textId="419082C6" w:rsidR="00EE5BB8" w:rsidRPr="00C6052E" w:rsidRDefault="00EE5BB8" w:rsidP="00EE5BB8">
      <w:pPr>
        <w:pStyle w:val="Tablenotes"/>
      </w:pPr>
      <w:r w:rsidRPr="00C6052E">
        <w:t>*</w:t>
      </w:r>
      <w:r w:rsidR="00177848" w:rsidRPr="00C6052E">
        <w:t xml:space="preserve"> </w:t>
      </w:r>
      <w:r w:rsidRPr="00C6052E">
        <w:tab/>
        <w:t>Source:</w:t>
      </w:r>
      <w:r w:rsidR="00177848" w:rsidRPr="00C6052E">
        <w:t xml:space="preserve"> </w:t>
      </w:r>
      <w:r w:rsidRPr="00C6052E">
        <w:t>State</w:t>
      </w:r>
      <w:r w:rsidR="00177848" w:rsidRPr="00C6052E">
        <w:t xml:space="preserve"> </w:t>
      </w:r>
      <w:r w:rsidRPr="00C6052E">
        <w:t>Tourism</w:t>
      </w:r>
      <w:r w:rsidR="00177848" w:rsidRPr="00C6052E">
        <w:t xml:space="preserve"> </w:t>
      </w:r>
      <w:r w:rsidRPr="00C6052E">
        <w:t>Satellite</w:t>
      </w:r>
      <w:r w:rsidR="00177848" w:rsidRPr="00C6052E">
        <w:t xml:space="preserve"> </w:t>
      </w:r>
      <w:r w:rsidRPr="00C6052E">
        <w:t>Account</w:t>
      </w:r>
      <w:r w:rsidR="00177848" w:rsidRPr="00C6052E">
        <w:t xml:space="preserve"> </w:t>
      </w:r>
      <w:r w:rsidRPr="00C6052E">
        <w:t>(STSA)</w:t>
      </w:r>
      <w:r w:rsidR="00177848" w:rsidRPr="00C6052E">
        <w:t xml:space="preserve"> </w:t>
      </w:r>
      <w:r w:rsidRPr="00C6052E">
        <w:t>2023-24,</w:t>
      </w:r>
      <w:r w:rsidR="00177848" w:rsidRPr="00C6052E">
        <w:t xml:space="preserve"> </w:t>
      </w:r>
      <w:r w:rsidRPr="00C6052E">
        <w:t>produced</w:t>
      </w:r>
      <w:r w:rsidR="00177848" w:rsidRPr="00C6052E">
        <w:t xml:space="preserve"> </w:t>
      </w:r>
      <w:r w:rsidRPr="00C6052E">
        <w:t>by</w:t>
      </w:r>
      <w:r w:rsidR="00177848" w:rsidRPr="00C6052E">
        <w:t xml:space="preserve"> </w:t>
      </w:r>
      <w:r w:rsidRPr="00C6052E">
        <w:t>Tourism</w:t>
      </w:r>
      <w:r w:rsidR="00177848" w:rsidRPr="00C6052E">
        <w:t xml:space="preserve"> </w:t>
      </w:r>
      <w:r w:rsidRPr="00C6052E">
        <w:t>Research</w:t>
      </w:r>
      <w:r w:rsidR="00177848" w:rsidRPr="00C6052E">
        <w:t xml:space="preserve"> </w:t>
      </w:r>
      <w:r w:rsidRPr="00C6052E">
        <w:t>Australia,</w:t>
      </w:r>
      <w:r w:rsidR="00177848" w:rsidRPr="00C6052E">
        <w:t xml:space="preserve"> </w:t>
      </w:r>
      <w:r w:rsidRPr="00C6052E">
        <w:t>April</w:t>
      </w:r>
      <w:r w:rsidR="00177848" w:rsidRPr="00C6052E">
        <w:t xml:space="preserve"> </w:t>
      </w:r>
      <w:r w:rsidRPr="00C6052E">
        <w:t>2025.</w:t>
      </w:r>
      <w:r w:rsidRPr="00C6052E">
        <w:br/>
        <w:t>Not</w:t>
      </w:r>
      <w:r w:rsidR="00177848" w:rsidRPr="00C6052E">
        <w:t xml:space="preserve"> </w:t>
      </w:r>
      <w:r w:rsidRPr="00C6052E">
        <w:t>comparable</w:t>
      </w:r>
      <w:r w:rsidR="00177848" w:rsidRPr="00C6052E">
        <w:t xml:space="preserve"> </w:t>
      </w:r>
      <w:r w:rsidRPr="00C6052E">
        <w:t>with</w:t>
      </w:r>
      <w:r w:rsidR="00177848" w:rsidRPr="00C6052E">
        <w:t xml:space="preserve"> </w:t>
      </w:r>
      <w:r w:rsidRPr="00C6052E">
        <w:t>estimates</w:t>
      </w:r>
      <w:r w:rsidR="00177848" w:rsidRPr="00C6052E">
        <w:t xml:space="preserve"> </w:t>
      </w:r>
      <w:r w:rsidRPr="00C6052E">
        <w:t>published</w:t>
      </w:r>
      <w:r w:rsidR="00177848" w:rsidRPr="00C6052E">
        <w:t xml:space="preserve"> </w:t>
      </w:r>
      <w:r w:rsidRPr="00C6052E">
        <w:t>in</w:t>
      </w:r>
      <w:r w:rsidR="00177848" w:rsidRPr="00C6052E">
        <w:t xml:space="preserve"> </w:t>
      </w:r>
      <w:r w:rsidRPr="00C6052E">
        <w:t>previous</w:t>
      </w:r>
      <w:r w:rsidR="00177848" w:rsidRPr="00C6052E">
        <w:t xml:space="preserve"> </w:t>
      </w:r>
      <w:r w:rsidRPr="00C6052E">
        <w:t>DJSIR</w:t>
      </w:r>
      <w:r w:rsidR="00177848" w:rsidRPr="00C6052E">
        <w:t xml:space="preserve"> </w:t>
      </w:r>
      <w:r w:rsidRPr="00C6052E">
        <w:t>Annual</w:t>
      </w:r>
      <w:r w:rsidR="00177848" w:rsidRPr="00C6052E">
        <w:t xml:space="preserve"> </w:t>
      </w:r>
      <w:r w:rsidRPr="00C6052E">
        <w:t>Reports.</w:t>
      </w:r>
      <w:r w:rsidR="00177848" w:rsidRPr="00C6052E">
        <w:t xml:space="preserve"> </w:t>
      </w:r>
      <w:r w:rsidRPr="00C6052E">
        <w:t>Historical</w:t>
      </w:r>
      <w:r w:rsidR="00177848" w:rsidRPr="00C6052E">
        <w:t xml:space="preserve"> </w:t>
      </w:r>
      <w:r w:rsidRPr="00C6052E">
        <w:t>data</w:t>
      </w:r>
      <w:r w:rsidR="00177848" w:rsidRPr="00C6052E">
        <w:t xml:space="preserve"> </w:t>
      </w:r>
      <w:r w:rsidRPr="00C6052E">
        <w:t>has</w:t>
      </w:r>
      <w:r w:rsidR="00177848" w:rsidRPr="00C6052E">
        <w:t xml:space="preserve"> </w:t>
      </w:r>
      <w:r w:rsidRPr="00C6052E">
        <w:t>been</w:t>
      </w:r>
      <w:r w:rsidR="00177848" w:rsidRPr="00C6052E">
        <w:t xml:space="preserve"> </w:t>
      </w:r>
      <w:r w:rsidRPr="00C6052E">
        <w:t>revised</w:t>
      </w:r>
      <w:r w:rsidR="00177848" w:rsidRPr="00C6052E">
        <w:t xml:space="preserve"> </w:t>
      </w:r>
      <w:r w:rsidRPr="00C6052E">
        <w:t>in</w:t>
      </w:r>
      <w:r w:rsidR="00177848" w:rsidRPr="00C6052E">
        <w:t xml:space="preserve"> </w:t>
      </w:r>
      <w:r w:rsidRPr="00C6052E">
        <w:t>the</w:t>
      </w:r>
      <w:r w:rsidR="00177848" w:rsidRPr="00C6052E">
        <w:t xml:space="preserve"> </w:t>
      </w:r>
      <w:r w:rsidRPr="00C6052E">
        <w:t>2023–24</w:t>
      </w:r>
      <w:r w:rsidR="00177848" w:rsidRPr="00C6052E">
        <w:t xml:space="preserve"> </w:t>
      </w:r>
      <w:r w:rsidRPr="00C6052E">
        <w:t>STSA</w:t>
      </w:r>
      <w:r w:rsidR="00177848" w:rsidRPr="00C6052E">
        <w:t xml:space="preserve"> </w:t>
      </w:r>
      <w:r w:rsidRPr="00C6052E">
        <w:t>release.</w:t>
      </w:r>
    </w:p>
    <w:p w14:paraId="0FB5EBE0" w14:textId="5D35EE8B" w:rsidR="00EE5BB8" w:rsidRPr="00C6052E" w:rsidRDefault="00EE5BB8" w:rsidP="00EE5BB8">
      <w:pPr>
        <w:pStyle w:val="Tablenotes"/>
        <w:spacing w:after="240"/>
      </w:pPr>
      <w:r w:rsidRPr="00C6052E">
        <w:t>**</w:t>
      </w:r>
      <w:r w:rsidR="00177848" w:rsidRPr="00C6052E">
        <w:t xml:space="preserve"> </w:t>
      </w:r>
      <w:r w:rsidRPr="00C6052E">
        <w:tab/>
        <w:t>Data</w:t>
      </w:r>
      <w:r w:rsidR="00177848" w:rsidRPr="00C6052E">
        <w:t xml:space="preserve"> </w:t>
      </w:r>
      <w:r w:rsidRPr="00C6052E">
        <w:t>is</w:t>
      </w:r>
      <w:r w:rsidR="00177848" w:rsidRPr="00C6052E">
        <w:t xml:space="preserve"> </w:t>
      </w:r>
      <w:r w:rsidRPr="00C6052E">
        <w:t>unavailable</w:t>
      </w:r>
      <w:r w:rsidR="00177848" w:rsidRPr="00C6052E">
        <w:t xml:space="preserve"> </w:t>
      </w:r>
      <w:r w:rsidRPr="00C6052E">
        <w:t>at</w:t>
      </w:r>
      <w:r w:rsidR="00177848" w:rsidRPr="00C6052E">
        <w:t xml:space="preserve"> </w:t>
      </w:r>
      <w:r w:rsidRPr="00C6052E">
        <w:t>the</w:t>
      </w:r>
      <w:r w:rsidR="00177848" w:rsidRPr="00C6052E">
        <w:t xml:space="preserve"> </w:t>
      </w:r>
      <w:r w:rsidRPr="00C6052E">
        <w:t>time</w:t>
      </w:r>
      <w:r w:rsidR="00177848" w:rsidRPr="00C6052E">
        <w:t xml:space="preserve"> </w:t>
      </w:r>
      <w:r w:rsidRPr="00C6052E">
        <w:t>of</w:t>
      </w:r>
      <w:r w:rsidR="00177848" w:rsidRPr="00C6052E">
        <w:t xml:space="preserve"> </w:t>
      </w:r>
      <w:r w:rsidRPr="00C6052E">
        <w:t>writing</w:t>
      </w:r>
      <w:r w:rsidR="00177848" w:rsidRPr="00C6052E">
        <w:t xml:space="preserve"> </w:t>
      </w:r>
      <w:r w:rsidRPr="00C6052E">
        <w:t>and</w:t>
      </w:r>
      <w:r w:rsidR="00177848" w:rsidRPr="00C6052E">
        <w:t xml:space="preserve"> </w:t>
      </w:r>
      <w:r w:rsidRPr="00C6052E">
        <w:t>will</w:t>
      </w:r>
      <w:r w:rsidR="00177848" w:rsidRPr="00C6052E">
        <w:t xml:space="preserve"> </w:t>
      </w:r>
      <w:r w:rsidRPr="00C6052E">
        <w:t>be</w:t>
      </w:r>
      <w:r w:rsidR="00177848" w:rsidRPr="00C6052E">
        <w:t xml:space="preserve"> </w:t>
      </w:r>
      <w:r w:rsidRPr="00C6052E">
        <w:t>available</w:t>
      </w:r>
      <w:r w:rsidR="00177848" w:rsidRPr="00C6052E">
        <w:t xml:space="preserve"> </w:t>
      </w:r>
      <w:r w:rsidRPr="00C6052E">
        <w:t>in</w:t>
      </w:r>
      <w:r w:rsidR="00177848" w:rsidRPr="00C6052E">
        <w:t xml:space="preserve"> </w:t>
      </w:r>
      <w:r w:rsidRPr="00C6052E">
        <w:t>April</w:t>
      </w:r>
      <w:r w:rsidR="00177848" w:rsidRPr="00C6052E">
        <w:t xml:space="preserve"> </w:t>
      </w:r>
      <w:r w:rsidRPr="00C6052E">
        <w:t>2026.</w:t>
      </w:r>
    </w:p>
    <w:p w14:paraId="5126B2B0" w14:textId="46E89BC4" w:rsidR="00EE5BB8" w:rsidRPr="00C6052E" w:rsidRDefault="00EE5BB8" w:rsidP="00EE5BB8">
      <w:pPr>
        <w:pStyle w:val="TableHeading"/>
      </w:pPr>
      <w:r w:rsidRPr="00C6052E">
        <w:t>Figure</w:t>
      </w:r>
      <w:r w:rsidR="00177848" w:rsidRPr="00C6052E">
        <w:t xml:space="preserve"> </w:t>
      </w:r>
      <w:r w:rsidRPr="00C6052E">
        <w:t>18:</w:t>
      </w:r>
      <w:r w:rsidR="00177848" w:rsidRPr="00C6052E">
        <w:t xml:space="preserve"> </w:t>
      </w:r>
      <w:r w:rsidRPr="00C6052E">
        <w:t>Number</w:t>
      </w:r>
      <w:r w:rsidR="00177848" w:rsidRPr="00C6052E">
        <w:t xml:space="preserve"> </w:t>
      </w:r>
      <w:r w:rsidRPr="00C6052E">
        <w:t>of</w:t>
      </w:r>
      <w:r w:rsidR="00177848" w:rsidRPr="00C6052E">
        <w:t xml:space="preserve"> </w:t>
      </w:r>
      <w:r w:rsidRPr="00C6052E">
        <w:t>filled</w:t>
      </w:r>
      <w:r w:rsidR="00177848" w:rsidRPr="00C6052E">
        <w:t xml:space="preserve"> </w:t>
      </w:r>
      <w:r w:rsidRPr="00C6052E">
        <w:t>jobs</w:t>
      </w:r>
      <w:r w:rsidR="00177848" w:rsidRPr="00C6052E">
        <w:t xml:space="preserve"> </w:t>
      </w:r>
      <w:r w:rsidRPr="00C6052E">
        <w:t>in</w:t>
      </w:r>
      <w:r w:rsidR="00177848" w:rsidRPr="00C6052E">
        <w:t xml:space="preserve"> </w:t>
      </w:r>
      <w:r w:rsidRPr="00C6052E">
        <w:t>the</w:t>
      </w:r>
      <w:r w:rsidR="00177848" w:rsidRPr="00C6052E">
        <w:t xml:space="preserve"> </w:t>
      </w:r>
      <w:r w:rsidRPr="00C6052E">
        <w:t>visitor</w:t>
      </w:r>
      <w:r w:rsidR="00177848" w:rsidRPr="00C6052E">
        <w:t xml:space="preserve"> </w:t>
      </w:r>
      <w:r w:rsidRPr="00C6052E">
        <w:t>economy</w:t>
      </w:r>
      <w:r w:rsidR="00177848" w:rsidRPr="00C6052E">
        <w:t xml:space="preserve"> </w:t>
      </w:r>
      <w:r w:rsidRPr="00C6052E">
        <w:t>sector</w:t>
      </w:r>
    </w:p>
    <w:p w14:paraId="54A1DA42" w14:textId="77777777" w:rsidR="00EE5BB8" w:rsidRPr="00C6052E" w:rsidRDefault="00EE5BB8" w:rsidP="00EE5BB8">
      <w:pPr>
        <w:pStyle w:val="Graph"/>
        <w:rPr>
          <w:noProof w:val="0"/>
        </w:rPr>
      </w:pPr>
      <w:r w:rsidRPr="00C6052E">
        <w:drawing>
          <wp:inline distT="0" distB="0" distL="0" distR="0" wp14:anchorId="738EDABA" wp14:editId="3A6C6DE5">
            <wp:extent cx="4050000" cy="2700000"/>
            <wp:effectExtent l="0" t="0" r="0" b="0"/>
            <wp:docPr id="1933773903" name="Chart 1" descr="Line graph showing data from Table 19: Employment in the Visitor Economy sector (above).">
              <a:extLst xmlns:a="http://schemas.openxmlformats.org/drawingml/2006/main">
                <a:ext uri="{FF2B5EF4-FFF2-40B4-BE49-F238E27FC236}">
                  <a16:creationId xmlns:a16="http://schemas.microsoft.com/office/drawing/2014/main" id="{00000000-0008-0000-06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03F0B63" w14:textId="7CEAF261" w:rsidR="00EE5BB8" w:rsidRPr="00C6052E" w:rsidRDefault="00EE5BB8" w:rsidP="00EE5BB8">
      <w:r w:rsidRPr="00C6052E">
        <w:t>Victoria's</w:t>
      </w:r>
      <w:r w:rsidR="00177848" w:rsidRPr="00C6052E">
        <w:t xml:space="preserve"> </w:t>
      </w:r>
      <w:r w:rsidRPr="00C6052E">
        <w:t>tourism</w:t>
      </w:r>
      <w:r w:rsidR="00177848" w:rsidRPr="00C6052E">
        <w:t xml:space="preserve"> </w:t>
      </w:r>
      <w:r w:rsidRPr="00C6052E">
        <w:t>sector</w:t>
      </w:r>
      <w:r w:rsidR="00177848" w:rsidRPr="00C6052E">
        <w:t xml:space="preserve"> </w:t>
      </w:r>
      <w:r w:rsidRPr="00C6052E">
        <w:t>reached</w:t>
      </w:r>
      <w:r w:rsidR="00177848" w:rsidRPr="00C6052E">
        <w:t xml:space="preserve"> </w:t>
      </w:r>
      <w:r w:rsidRPr="00C6052E">
        <w:t>record</w:t>
      </w:r>
      <w:r w:rsidR="00177848" w:rsidRPr="00C6052E">
        <w:t xml:space="preserve"> </w:t>
      </w:r>
      <w:r w:rsidRPr="00C6052E">
        <w:t>highs</w:t>
      </w:r>
      <w:r w:rsidR="00177848" w:rsidRPr="00C6052E">
        <w:t xml:space="preserve"> </w:t>
      </w:r>
      <w:r w:rsidRPr="00C6052E">
        <w:t>across</w:t>
      </w:r>
      <w:r w:rsidR="00177848" w:rsidRPr="00C6052E">
        <w:t xml:space="preserve"> </w:t>
      </w:r>
      <w:r w:rsidRPr="00C6052E">
        <w:t>key</w:t>
      </w:r>
      <w:r w:rsidR="00177848" w:rsidRPr="00C6052E">
        <w:t xml:space="preserve"> </w:t>
      </w:r>
      <w:r w:rsidRPr="00C6052E">
        <w:t>economic</w:t>
      </w:r>
      <w:r w:rsidR="00177848" w:rsidRPr="00C6052E">
        <w:t xml:space="preserve"> </w:t>
      </w:r>
      <w:r w:rsidRPr="00C6052E">
        <w:t>measures</w:t>
      </w:r>
      <w:r w:rsidR="00177848" w:rsidRPr="00C6052E">
        <w:t xml:space="preserve"> </w:t>
      </w:r>
      <w:r w:rsidRPr="00C6052E">
        <w:t>in</w:t>
      </w:r>
      <w:r w:rsidR="00177848" w:rsidRPr="00C6052E">
        <w:t xml:space="preserve"> </w:t>
      </w:r>
      <w:r w:rsidRPr="00C6052E">
        <w:t>2023–24,</w:t>
      </w:r>
      <w:r w:rsidR="00177848" w:rsidRPr="00C6052E">
        <w:t xml:space="preserve"> </w:t>
      </w:r>
      <w:r w:rsidRPr="00C6052E">
        <w:t>reflecting</w:t>
      </w:r>
      <w:r w:rsidR="00177848" w:rsidRPr="00C6052E">
        <w:t xml:space="preserve"> </w:t>
      </w:r>
      <w:r w:rsidRPr="00C6052E">
        <w:t>a</w:t>
      </w:r>
      <w:r w:rsidR="00177848" w:rsidRPr="00C6052E">
        <w:t xml:space="preserve"> </w:t>
      </w:r>
      <w:r w:rsidRPr="00C6052E">
        <w:t>strong</w:t>
      </w:r>
      <w:r w:rsidR="00177848" w:rsidRPr="00C6052E">
        <w:t xml:space="preserve"> </w:t>
      </w:r>
      <w:r w:rsidRPr="00C6052E">
        <w:t>rebound</w:t>
      </w:r>
      <w:r w:rsidR="00177848" w:rsidRPr="00C6052E">
        <w:t xml:space="preserve"> </w:t>
      </w:r>
      <w:r w:rsidRPr="00C6052E">
        <w:t>in</w:t>
      </w:r>
      <w:r w:rsidR="00177848" w:rsidRPr="00C6052E">
        <w:t xml:space="preserve"> </w:t>
      </w:r>
      <w:r w:rsidRPr="00C6052E">
        <w:t>tourism</w:t>
      </w:r>
      <w:r w:rsidR="00177848" w:rsidRPr="00C6052E">
        <w:t xml:space="preserve"> </w:t>
      </w:r>
      <w:r w:rsidRPr="00C6052E">
        <w:t>activity</w:t>
      </w:r>
      <w:r w:rsidR="00177848" w:rsidRPr="00C6052E">
        <w:t xml:space="preserve"> </w:t>
      </w:r>
      <w:r w:rsidRPr="00C6052E">
        <w:t>driven</w:t>
      </w:r>
      <w:r w:rsidR="00177848" w:rsidRPr="00C6052E">
        <w:t xml:space="preserve"> </w:t>
      </w:r>
      <w:r w:rsidRPr="00C6052E">
        <w:t>by</w:t>
      </w:r>
      <w:r w:rsidR="00177848" w:rsidRPr="00C6052E">
        <w:t xml:space="preserve"> </w:t>
      </w:r>
      <w:r w:rsidRPr="00C6052E">
        <w:t>pent-up</w:t>
      </w:r>
      <w:r w:rsidR="00177848" w:rsidRPr="00C6052E">
        <w:t xml:space="preserve"> </w:t>
      </w:r>
      <w:r w:rsidRPr="00C6052E">
        <w:t>travel</w:t>
      </w:r>
      <w:r w:rsidR="00177848" w:rsidRPr="00C6052E">
        <w:t xml:space="preserve"> </w:t>
      </w:r>
      <w:r w:rsidRPr="00C6052E">
        <w:t>demand.</w:t>
      </w:r>
      <w:r w:rsidR="00177848" w:rsidRPr="00C6052E">
        <w:t xml:space="preserve"> </w:t>
      </w:r>
      <w:r w:rsidRPr="00C6052E">
        <w:t>Tourism</w:t>
      </w:r>
      <w:r w:rsidR="00177848" w:rsidRPr="00C6052E">
        <w:t xml:space="preserve"> </w:t>
      </w:r>
      <w:r w:rsidRPr="00C6052E">
        <w:t>is</w:t>
      </w:r>
      <w:r w:rsidR="00177848" w:rsidRPr="00C6052E">
        <w:t xml:space="preserve"> </w:t>
      </w:r>
      <w:r w:rsidRPr="00C6052E">
        <w:t>an</w:t>
      </w:r>
      <w:r w:rsidR="00177848" w:rsidRPr="00C6052E">
        <w:t xml:space="preserve"> </w:t>
      </w:r>
      <w:r w:rsidRPr="00C6052E">
        <w:t>important</w:t>
      </w:r>
      <w:r w:rsidR="00177848" w:rsidRPr="00C6052E">
        <w:t xml:space="preserve"> </w:t>
      </w:r>
      <w:r w:rsidRPr="00C6052E">
        <w:t>driver</w:t>
      </w:r>
      <w:r w:rsidR="00177848" w:rsidRPr="00C6052E">
        <w:t xml:space="preserve"> </w:t>
      </w:r>
      <w:r w:rsidRPr="00C6052E">
        <w:t>of</w:t>
      </w:r>
      <w:r w:rsidR="00177848" w:rsidRPr="00C6052E">
        <w:t xml:space="preserve"> </w:t>
      </w:r>
      <w:r w:rsidRPr="00C6052E">
        <w:t>economic</w:t>
      </w:r>
      <w:r w:rsidR="00177848" w:rsidRPr="00C6052E">
        <w:t xml:space="preserve"> </w:t>
      </w:r>
      <w:r w:rsidRPr="00C6052E">
        <w:t>growth</w:t>
      </w:r>
      <w:r w:rsidR="00177848" w:rsidRPr="00C6052E">
        <w:t xml:space="preserve"> </w:t>
      </w:r>
      <w:r w:rsidRPr="00C6052E">
        <w:t>and</w:t>
      </w:r>
      <w:r w:rsidR="00177848" w:rsidRPr="00C6052E">
        <w:t xml:space="preserve"> </w:t>
      </w:r>
      <w:r w:rsidRPr="00C6052E">
        <w:t>job</w:t>
      </w:r>
      <w:r w:rsidR="00177848" w:rsidRPr="00C6052E">
        <w:t xml:space="preserve"> </w:t>
      </w:r>
      <w:r w:rsidRPr="00C6052E">
        <w:t>creation</w:t>
      </w:r>
      <w:r w:rsidR="00177848" w:rsidRPr="00C6052E">
        <w:t xml:space="preserve"> </w:t>
      </w:r>
      <w:r w:rsidRPr="00C6052E">
        <w:t>and</w:t>
      </w:r>
      <w:r w:rsidR="00177848" w:rsidRPr="00C6052E">
        <w:t xml:space="preserve"> </w:t>
      </w:r>
      <w:r w:rsidRPr="00C6052E">
        <w:t>outpaced</w:t>
      </w:r>
      <w:r w:rsidR="00177848" w:rsidRPr="00C6052E">
        <w:t xml:space="preserve"> </w:t>
      </w:r>
      <w:r w:rsidRPr="00C6052E">
        <w:t>growth</w:t>
      </w:r>
      <w:r w:rsidR="00177848" w:rsidRPr="00C6052E">
        <w:t xml:space="preserve"> </w:t>
      </w:r>
      <w:r w:rsidRPr="00C6052E">
        <w:t>in</w:t>
      </w:r>
      <w:r w:rsidR="00177848" w:rsidRPr="00C6052E">
        <w:t xml:space="preserve"> </w:t>
      </w:r>
      <w:r w:rsidRPr="00C6052E">
        <w:t>the</w:t>
      </w:r>
      <w:r w:rsidR="00177848" w:rsidRPr="00C6052E">
        <w:t xml:space="preserve"> </w:t>
      </w:r>
      <w:r w:rsidRPr="00C6052E">
        <w:t>Victorian</w:t>
      </w:r>
      <w:r w:rsidR="00177848" w:rsidRPr="00C6052E">
        <w:t xml:space="preserve"> </w:t>
      </w:r>
      <w:r w:rsidRPr="00C6052E">
        <w:t>economy</w:t>
      </w:r>
      <w:r w:rsidR="00177848" w:rsidRPr="00C6052E">
        <w:t xml:space="preserve"> </w:t>
      </w:r>
      <w:r w:rsidRPr="00C6052E">
        <w:t>overall</w:t>
      </w:r>
      <w:r w:rsidR="00177848" w:rsidRPr="00C6052E">
        <w:t xml:space="preserve"> </w:t>
      </w:r>
      <w:r w:rsidRPr="00C6052E">
        <w:t>from</w:t>
      </w:r>
      <w:r w:rsidR="00177848" w:rsidRPr="00C6052E">
        <w:t xml:space="preserve"> </w:t>
      </w:r>
      <w:r w:rsidRPr="00C6052E">
        <w:t>2022–23,</w:t>
      </w:r>
      <w:r w:rsidR="00177848" w:rsidRPr="00C6052E">
        <w:t xml:space="preserve"> </w:t>
      </w:r>
      <w:r w:rsidRPr="00C6052E">
        <w:rPr>
          <w:spacing w:val="-2"/>
        </w:rPr>
        <w:t>reinforcing</w:t>
      </w:r>
      <w:r w:rsidR="00177848" w:rsidRPr="00C6052E">
        <w:rPr>
          <w:spacing w:val="-2"/>
        </w:rPr>
        <w:t xml:space="preserve"> </w:t>
      </w:r>
      <w:r w:rsidRPr="00C6052E">
        <w:rPr>
          <w:spacing w:val="-2"/>
        </w:rPr>
        <w:t>its</w:t>
      </w:r>
      <w:r w:rsidR="00177848" w:rsidRPr="00C6052E">
        <w:rPr>
          <w:spacing w:val="-2"/>
        </w:rPr>
        <w:t xml:space="preserve"> </w:t>
      </w:r>
      <w:r w:rsidRPr="00C6052E">
        <w:rPr>
          <w:spacing w:val="-2"/>
        </w:rPr>
        <w:t>vital</w:t>
      </w:r>
      <w:r w:rsidR="00177848" w:rsidRPr="00C6052E">
        <w:rPr>
          <w:spacing w:val="-2"/>
        </w:rPr>
        <w:t xml:space="preserve"> </w:t>
      </w:r>
      <w:r w:rsidRPr="00C6052E">
        <w:rPr>
          <w:spacing w:val="-2"/>
        </w:rPr>
        <w:t>role</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state’s</w:t>
      </w:r>
      <w:r w:rsidR="00177848" w:rsidRPr="00C6052E">
        <w:rPr>
          <w:spacing w:val="-2"/>
        </w:rPr>
        <w:t xml:space="preserve"> </w:t>
      </w:r>
      <w:r w:rsidRPr="00C6052E">
        <w:rPr>
          <w:spacing w:val="-2"/>
        </w:rPr>
        <w:t>economic</w:t>
      </w:r>
      <w:r w:rsidR="00177848" w:rsidRPr="00C6052E">
        <w:rPr>
          <w:spacing w:val="-2"/>
        </w:rPr>
        <w:t xml:space="preserve"> </w:t>
      </w:r>
      <w:r w:rsidRPr="00C6052E">
        <w:rPr>
          <w:spacing w:val="-2"/>
        </w:rPr>
        <w:t>prosperity.</w:t>
      </w:r>
    </w:p>
    <w:p w14:paraId="6DA4C701" w14:textId="7D0FD1E3" w:rsidR="00EE5BB8" w:rsidRPr="00C6052E" w:rsidRDefault="00EE5BB8" w:rsidP="00EE5BB8">
      <w:r w:rsidRPr="00C6052E">
        <w:lastRenderedPageBreak/>
        <w:t>The</w:t>
      </w:r>
      <w:r w:rsidR="00177848" w:rsidRPr="00C6052E">
        <w:t xml:space="preserve"> </w:t>
      </w:r>
      <w:r w:rsidRPr="00C6052E">
        <w:t>visitor</w:t>
      </w:r>
      <w:r w:rsidR="00177848" w:rsidRPr="00C6052E">
        <w:t xml:space="preserve"> </w:t>
      </w:r>
      <w:r w:rsidRPr="00C6052E">
        <w:t>economy</w:t>
      </w:r>
      <w:r w:rsidR="00177848" w:rsidRPr="00C6052E">
        <w:t xml:space="preserve"> </w:t>
      </w:r>
      <w:r w:rsidRPr="00C6052E">
        <w:t>is</w:t>
      </w:r>
      <w:r w:rsidR="00177848" w:rsidRPr="00C6052E">
        <w:t xml:space="preserve"> </w:t>
      </w:r>
      <w:r w:rsidRPr="00C6052E">
        <w:t>a</w:t>
      </w:r>
      <w:r w:rsidR="00177848" w:rsidRPr="00C6052E">
        <w:t xml:space="preserve"> </w:t>
      </w:r>
      <w:r w:rsidRPr="00C6052E">
        <w:t>major</w:t>
      </w:r>
      <w:r w:rsidR="00177848" w:rsidRPr="00C6052E">
        <w:t xml:space="preserve"> </w:t>
      </w:r>
      <w:r w:rsidRPr="00C6052E">
        <w:t>employer</w:t>
      </w:r>
      <w:r w:rsidR="00177848" w:rsidRPr="00C6052E">
        <w:t xml:space="preserve"> </w:t>
      </w:r>
      <w:r w:rsidRPr="00C6052E">
        <w:t>in</w:t>
      </w:r>
      <w:r w:rsidR="00177848" w:rsidRPr="00C6052E">
        <w:t xml:space="preserve"> </w:t>
      </w:r>
      <w:r w:rsidRPr="00C6052E">
        <w:t>Victoria.</w:t>
      </w:r>
      <w:r w:rsidR="00177848" w:rsidRPr="00C6052E">
        <w:t xml:space="preserve"> </w:t>
      </w:r>
      <w:r w:rsidRPr="00C6052E">
        <w:t>During</w:t>
      </w:r>
      <w:r w:rsidR="00177848" w:rsidRPr="00C6052E">
        <w:t xml:space="preserve"> </w:t>
      </w:r>
      <w:r w:rsidRPr="00C6052E">
        <w:t>2023–24,</w:t>
      </w:r>
      <w:r w:rsidR="00177848" w:rsidRPr="00C6052E">
        <w:t xml:space="preserve"> </w:t>
      </w:r>
      <w:r w:rsidRPr="00C6052E">
        <w:t>tourism</w:t>
      </w:r>
      <w:r w:rsidR="00177848" w:rsidRPr="00C6052E">
        <w:t xml:space="preserve"> </w:t>
      </w:r>
      <w:r w:rsidRPr="00C6052E">
        <w:t>generated</w:t>
      </w:r>
      <w:r w:rsidR="00177848" w:rsidRPr="00C6052E">
        <w:t xml:space="preserve"> </w:t>
      </w:r>
      <w:r w:rsidRPr="00C6052E">
        <w:t>288,800</w:t>
      </w:r>
      <w:r w:rsidR="00177848" w:rsidRPr="00C6052E">
        <w:t xml:space="preserve"> </w:t>
      </w:r>
      <w:r w:rsidRPr="00C6052E">
        <w:t>filled</w:t>
      </w:r>
      <w:r w:rsidR="00177848" w:rsidRPr="00C6052E">
        <w:t xml:space="preserve"> </w:t>
      </w:r>
      <w:r w:rsidRPr="00C6052E">
        <w:t>jobs</w:t>
      </w:r>
      <w:r w:rsidR="00177848" w:rsidRPr="00C6052E">
        <w:t xml:space="preserve"> </w:t>
      </w:r>
      <w:r w:rsidRPr="00C6052E">
        <w:t>in</w:t>
      </w:r>
      <w:r w:rsidR="00177848" w:rsidRPr="00C6052E">
        <w:t xml:space="preserve"> </w:t>
      </w:r>
      <w:r w:rsidRPr="00C6052E">
        <w:t>Victoria</w:t>
      </w:r>
      <w:r w:rsidR="00177848" w:rsidRPr="00C6052E">
        <w:t xml:space="preserve"> </w:t>
      </w:r>
      <w:r w:rsidRPr="00C6052E">
        <w:t>(direct</w:t>
      </w:r>
      <w:r w:rsidR="00177848" w:rsidRPr="00C6052E">
        <w:t xml:space="preserve"> </w:t>
      </w:r>
      <w:r w:rsidRPr="00C6052E">
        <w:t>and</w:t>
      </w:r>
      <w:r w:rsidR="00177848" w:rsidRPr="00C6052E">
        <w:t xml:space="preserve"> </w:t>
      </w:r>
      <w:r w:rsidRPr="00C6052E">
        <w:t>indirect),</w:t>
      </w:r>
      <w:r w:rsidR="00177848" w:rsidRPr="00C6052E">
        <w:t xml:space="preserve"> </w:t>
      </w:r>
      <w:r w:rsidRPr="00C6052E">
        <w:t>up</w:t>
      </w:r>
      <w:r w:rsidR="00177848" w:rsidRPr="00C6052E">
        <w:t xml:space="preserve"> </w:t>
      </w:r>
      <w:r w:rsidRPr="00C6052E">
        <w:t>8%</w:t>
      </w:r>
      <w:r w:rsidR="00177848" w:rsidRPr="00C6052E">
        <w:t xml:space="preserve"> </w:t>
      </w:r>
      <w:r w:rsidRPr="00C6052E">
        <w:t>from</w:t>
      </w:r>
      <w:r w:rsidR="00177848" w:rsidRPr="00C6052E">
        <w:t xml:space="preserve"> </w:t>
      </w:r>
      <w:r w:rsidRPr="00C6052E">
        <w:t>2022–23.</w:t>
      </w:r>
      <w:r w:rsidR="00177848" w:rsidRPr="00C6052E">
        <w:t xml:space="preserve"> </w:t>
      </w:r>
      <w:r w:rsidRPr="00C6052E">
        <w:t>Tourism</w:t>
      </w:r>
      <w:r w:rsidR="00177848" w:rsidRPr="00C6052E">
        <w:t xml:space="preserve"> </w:t>
      </w:r>
      <w:r w:rsidRPr="00C6052E">
        <w:t>generates</w:t>
      </w:r>
      <w:r w:rsidR="00177848" w:rsidRPr="00C6052E">
        <w:t xml:space="preserve"> </w:t>
      </w:r>
      <w:r w:rsidRPr="00C6052E">
        <w:t>jobs</w:t>
      </w:r>
      <w:r w:rsidR="00177848" w:rsidRPr="00C6052E">
        <w:t xml:space="preserve"> </w:t>
      </w:r>
      <w:r w:rsidRPr="00C6052E">
        <w:t>across</w:t>
      </w:r>
      <w:r w:rsidR="00177848" w:rsidRPr="00C6052E">
        <w:t xml:space="preserve"> </w:t>
      </w:r>
      <w:r w:rsidRPr="00C6052E">
        <w:t>many</w:t>
      </w:r>
      <w:r w:rsidR="00177848" w:rsidRPr="00C6052E">
        <w:t xml:space="preserve"> </w:t>
      </w:r>
      <w:r w:rsidRPr="00C6052E">
        <w:t>industries.</w:t>
      </w:r>
      <w:r w:rsidR="00177848" w:rsidRPr="00C6052E">
        <w:t xml:space="preserve"> </w:t>
      </w:r>
      <w:r w:rsidRPr="00C6052E">
        <w:t>Looking</w:t>
      </w:r>
      <w:r w:rsidR="00177848" w:rsidRPr="00C6052E">
        <w:t xml:space="preserve"> </w:t>
      </w:r>
      <w:r w:rsidRPr="00C6052E">
        <w:t>at</w:t>
      </w:r>
      <w:r w:rsidR="00177848" w:rsidRPr="00C6052E">
        <w:t xml:space="preserve"> </w:t>
      </w:r>
      <w:r w:rsidRPr="00C6052E">
        <w:t>the</w:t>
      </w:r>
      <w:r w:rsidR="00177848" w:rsidRPr="00C6052E">
        <w:t xml:space="preserve"> </w:t>
      </w:r>
      <w:r w:rsidRPr="00C6052E">
        <w:t>distribution</w:t>
      </w:r>
      <w:r w:rsidR="00177848" w:rsidRPr="00C6052E">
        <w:t xml:space="preserve"> </w:t>
      </w:r>
      <w:r w:rsidRPr="00C6052E">
        <w:t>of</w:t>
      </w:r>
      <w:r w:rsidR="00177848" w:rsidRPr="00C6052E">
        <w:t xml:space="preserve"> </w:t>
      </w:r>
      <w:r w:rsidRPr="00C6052E">
        <w:t>tourism</w:t>
      </w:r>
      <w:r w:rsidR="00177848" w:rsidRPr="00C6052E">
        <w:t xml:space="preserve"> </w:t>
      </w:r>
      <w:r w:rsidRPr="00C6052E">
        <w:t>jobs</w:t>
      </w:r>
      <w:r w:rsidR="00177848" w:rsidRPr="00C6052E">
        <w:t xml:space="preserve"> </w:t>
      </w:r>
      <w:r w:rsidRPr="00C6052E">
        <w:t>across</w:t>
      </w:r>
      <w:r w:rsidR="00177848" w:rsidRPr="00C6052E">
        <w:t xml:space="preserve"> </w:t>
      </w:r>
      <w:r w:rsidRPr="00C6052E">
        <w:t>Victorian</w:t>
      </w:r>
      <w:r w:rsidR="00177848" w:rsidRPr="00C6052E">
        <w:t xml:space="preserve"> </w:t>
      </w:r>
      <w:r w:rsidRPr="00C6052E">
        <w:t>industries,</w:t>
      </w:r>
      <w:r w:rsidR="00177848" w:rsidRPr="00C6052E">
        <w:t xml:space="preserve"> </w:t>
      </w:r>
      <w:r w:rsidRPr="00C6052E">
        <w:t>cafés,</w:t>
      </w:r>
      <w:r w:rsidR="00177848" w:rsidRPr="00C6052E">
        <w:t xml:space="preserve"> </w:t>
      </w:r>
      <w:r w:rsidRPr="00C6052E">
        <w:t>restaurants</w:t>
      </w:r>
      <w:r w:rsidR="00177848" w:rsidRPr="00C6052E">
        <w:t xml:space="preserve"> </w:t>
      </w:r>
      <w:r w:rsidRPr="00C6052E">
        <w:t>and</w:t>
      </w:r>
      <w:r w:rsidR="00177848" w:rsidRPr="00C6052E">
        <w:t xml:space="preserve"> </w:t>
      </w:r>
      <w:r w:rsidRPr="00C6052E">
        <w:t>takeaway</w:t>
      </w:r>
      <w:r w:rsidR="00177848" w:rsidRPr="00C6052E">
        <w:t xml:space="preserve"> </w:t>
      </w:r>
      <w:r w:rsidRPr="00C6052E">
        <w:t>food</w:t>
      </w:r>
      <w:r w:rsidR="00177848" w:rsidRPr="00C6052E">
        <w:t xml:space="preserve"> </w:t>
      </w:r>
      <w:r w:rsidRPr="00C6052E">
        <w:t>services</w:t>
      </w:r>
      <w:r w:rsidR="00177848" w:rsidRPr="00C6052E">
        <w:t xml:space="preserve"> </w:t>
      </w:r>
      <w:r w:rsidRPr="00C6052E">
        <w:t>(35%)</w:t>
      </w:r>
      <w:r w:rsidR="00177848" w:rsidRPr="00C6052E">
        <w:t xml:space="preserve"> </w:t>
      </w:r>
      <w:r w:rsidRPr="00C6052E">
        <w:t>accounted</w:t>
      </w:r>
      <w:r w:rsidR="00177848" w:rsidRPr="00C6052E">
        <w:t xml:space="preserve"> </w:t>
      </w:r>
      <w:r w:rsidRPr="00C6052E">
        <w:t>for</w:t>
      </w:r>
      <w:r w:rsidR="00177848" w:rsidRPr="00C6052E">
        <w:t xml:space="preserve"> </w:t>
      </w:r>
      <w:r w:rsidRPr="00C6052E">
        <w:t>the</w:t>
      </w:r>
      <w:r w:rsidR="00177848" w:rsidRPr="00C6052E">
        <w:t xml:space="preserve"> </w:t>
      </w:r>
      <w:r w:rsidRPr="00C6052E">
        <w:t>largest</w:t>
      </w:r>
      <w:r w:rsidR="00177848" w:rsidRPr="00C6052E">
        <w:t xml:space="preserve"> </w:t>
      </w:r>
      <w:r w:rsidRPr="00C6052E">
        <w:t>share</w:t>
      </w:r>
      <w:r w:rsidR="00177848" w:rsidRPr="00C6052E">
        <w:t xml:space="preserve"> </w:t>
      </w:r>
      <w:r w:rsidRPr="00C6052E">
        <w:t>of</w:t>
      </w:r>
      <w:r w:rsidR="00177848" w:rsidRPr="00C6052E">
        <w:t xml:space="preserve"> </w:t>
      </w:r>
      <w:r w:rsidRPr="00C6052E">
        <w:t>direct</w:t>
      </w:r>
      <w:r w:rsidR="00177848" w:rsidRPr="00C6052E">
        <w:t xml:space="preserve"> </w:t>
      </w:r>
      <w:r w:rsidRPr="00C6052E">
        <w:t>tourism-filled</w:t>
      </w:r>
      <w:r w:rsidR="00177848" w:rsidRPr="00C6052E">
        <w:t xml:space="preserve"> </w:t>
      </w:r>
      <w:r w:rsidRPr="00C6052E">
        <w:t>jobs,</w:t>
      </w:r>
      <w:r w:rsidR="00177848" w:rsidRPr="00C6052E">
        <w:t xml:space="preserve"> </w:t>
      </w:r>
      <w:r w:rsidRPr="00C6052E">
        <w:t>followed</w:t>
      </w:r>
      <w:r w:rsidR="00177848" w:rsidRPr="00C6052E">
        <w:t xml:space="preserve"> </w:t>
      </w:r>
      <w:r w:rsidRPr="00C6052E">
        <w:t>by</w:t>
      </w:r>
      <w:r w:rsidR="00177848" w:rsidRPr="00C6052E">
        <w:t xml:space="preserve"> </w:t>
      </w:r>
      <w:r w:rsidRPr="00C6052E">
        <w:t>accommodation</w:t>
      </w:r>
      <w:r w:rsidR="00177848" w:rsidRPr="00C6052E">
        <w:t xml:space="preserve"> </w:t>
      </w:r>
      <w:r w:rsidRPr="00C6052E">
        <w:t>(16%),</w:t>
      </w:r>
      <w:r w:rsidR="00177848" w:rsidRPr="00C6052E">
        <w:t xml:space="preserve"> </w:t>
      </w:r>
      <w:r w:rsidRPr="00C6052E">
        <w:t>retail</w:t>
      </w:r>
      <w:r w:rsidR="00177848" w:rsidRPr="00C6052E">
        <w:t xml:space="preserve"> </w:t>
      </w:r>
      <w:r w:rsidRPr="00C6052E">
        <w:t>trade</w:t>
      </w:r>
      <w:r w:rsidR="00177848" w:rsidRPr="00C6052E">
        <w:t xml:space="preserve"> </w:t>
      </w:r>
      <w:r w:rsidRPr="00C6052E">
        <w:t>(16%)</w:t>
      </w:r>
      <w:r w:rsidR="00177848" w:rsidRPr="00C6052E">
        <w:t xml:space="preserve"> </w:t>
      </w:r>
      <w:r w:rsidRPr="00C6052E">
        <w:t>and</w:t>
      </w:r>
      <w:r w:rsidR="00177848" w:rsidRPr="00C6052E">
        <w:t xml:space="preserve"> </w:t>
      </w:r>
      <w:r w:rsidRPr="00C6052E">
        <w:t>clubs,</w:t>
      </w:r>
      <w:r w:rsidR="00177848" w:rsidRPr="00C6052E">
        <w:t xml:space="preserve"> </w:t>
      </w:r>
      <w:r w:rsidRPr="00C6052E">
        <w:t>pubs,</w:t>
      </w:r>
      <w:r w:rsidR="00177848" w:rsidRPr="00C6052E">
        <w:t xml:space="preserve"> </w:t>
      </w:r>
      <w:r w:rsidRPr="00C6052E">
        <w:t>taverns</w:t>
      </w:r>
      <w:r w:rsidR="00177848" w:rsidRPr="00C6052E">
        <w:t xml:space="preserve"> </w:t>
      </w:r>
      <w:r w:rsidRPr="00C6052E">
        <w:t>and</w:t>
      </w:r>
      <w:r w:rsidR="00177848" w:rsidRPr="00C6052E">
        <w:t xml:space="preserve"> </w:t>
      </w:r>
      <w:r w:rsidRPr="00C6052E">
        <w:t>bars</w:t>
      </w:r>
      <w:r w:rsidR="00177848" w:rsidRPr="00C6052E">
        <w:t xml:space="preserve"> </w:t>
      </w:r>
      <w:r w:rsidRPr="00C6052E">
        <w:t>(7%).</w:t>
      </w:r>
    </w:p>
    <w:p w14:paraId="65735CBC" w14:textId="24F8805F" w:rsidR="00EE5BB8" w:rsidRPr="00C6052E" w:rsidRDefault="00EE5BB8" w:rsidP="009952C1">
      <w:pPr>
        <w:pStyle w:val="Normalbeforebullets"/>
      </w:pPr>
      <w:r w:rsidRPr="00C6052E">
        <w:t>The</w:t>
      </w:r>
      <w:r w:rsidR="00177848" w:rsidRPr="00C6052E">
        <w:t xml:space="preserve"> </w:t>
      </w:r>
      <w:r w:rsidRPr="00C6052E">
        <w:t>department</w:t>
      </w:r>
      <w:r w:rsidR="00177848" w:rsidRPr="00C6052E">
        <w:t xml:space="preserve"> </w:t>
      </w:r>
      <w:r w:rsidRPr="00C6052E">
        <w:t>continues</w:t>
      </w:r>
      <w:r w:rsidR="00177848" w:rsidRPr="00C6052E">
        <w:t xml:space="preserve"> </w:t>
      </w:r>
      <w:r w:rsidRPr="00C6052E">
        <w:t>to</w:t>
      </w:r>
      <w:r w:rsidR="00177848" w:rsidRPr="00C6052E">
        <w:t xml:space="preserve"> </w:t>
      </w:r>
      <w:r w:rsidRPr="00C6052E">
        <w:t>deliver</w:t>
      </w:r>
      <w:r w:rsidR="00177848" w:rsidRPr="00C6052E">
        <w:t xml:space="preserve"> </w:t>
      </w:r>
      <w:r w:rsidRPr="00C6052E">
        <w:t>initiatives</w:t>
      </w:r>
      <w:r w:rsidR="00177848" w:rsidRPr="00C6052E">
        <w:t xml:space="preserve"> </w:t>
      </w:r>
      <w:r w:rsidRPr="00C6052E">
        <w:t>to</w:t>
      </w:r>
      <w:r w:rsidR="00177848" w:rsidRPr="00C6052E">
        <w:t xml:space="preserve"> </w:t>
      </w:r>
      <w:r w:rsidRPr="00C6052E">
        <w:t>support</w:t>
      </w:r>
      <w:r w:rsidR="00177848" w:rsidRPr="00C6052E">
        <w:t xml:space="preserve"> </w:t>
      </w:r>
      <w:r w:rsidRPr="00C6052E">
        <w:t>jobs</w:t>
      </w:r>
      <w:r w:rsidR="00177848" w:rsidRPr="00C6052E">
        <w:t xml:space="preserve"> </w:t>
      </w:r>
      <w:r w:rsidRPr="00C6052E">
        <w:t>growth,</w:t>
      </w:r>
      <w:r w:rsidR="00177848" w:rsidRPr="00C6052E">
        <w:t xml:space="preserve"> </w:t>
      </w:r>
      <w:r w:rsidRPr="00C6052E">
        <w:t>including:</w:t>
      </w:r>
    </w:p>
    <w:p w14:paraId="15B97D61" w14:textId="0DC7F9A8" w:rsidR="00EE5BB8" w:rsidRPr="00C6052E" w:rsidRDefault="00EE5BB8" w:rsidP="00EE5BB8">
      <w:pPr>
        <w:pStyle w:val="Bullet1"/>
        <w:numPr>
          <w:ilvl w:val="0"/>
          <w:numId w:val="1"/>
        </w:numPr>
        <w:spacing w:line="278" w:lineRule="auto"/>
        <w:ind w:left="284" w:hanging="284"/>
        <w:rPr>
          <w:lang w:val="en-AU"/>
        </w:rPr>
      </w:pPr>
      <w:r w:rsidRPr="00C6052E">
        <w:rPr>
          <w:lang w:val="en-AU"/>
        </w:rPr>
        <w:t>providing</w:t>
      </w:r>
      <w:r w:rsidR="00177848" w:rsidRPr="00C6052E">
        <w:rPr>
          <w:lang w:val="en-AU"/>
        </w:rPr>
        <w:t xml:space="preserve"> </w:t>
      </w:r>
      <w:r w:rsidRPr="00C6052E">
        <w:rPr>
          <w:lang w:val="en-AU"/>
        </w:rPr>
        <w:t>$1.3</w:t>
      </w:r>
      <w:r w:rsidR="00177848" w:rsidRPr="00C6052E">
        <w:rPr>
          <w:lang w:val="en-AU"/>
        </w:rPr>
        <w:t xml:space="preserve"> </w:t>
      </w:r>
      <w:r w:rsidRPr="00C6052E">
        <w:rPr>
          <w:lang w:val="en-AU"/>
        </w:rPr>
        <w:t>million</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Visitor</w:t>
      </w:r>
      <w:r w:rsidR="00177848" w:rsidRPr="00C6052E">
        <w:rPr>
          <w:lang w:val="en-AU"/>
        </w:rPr>
        <w:t xml:space="preserve"> </w:t>
      </w:r>
      <w:r w:rsidRPr="00C6052E">
        <w:rPr>
          <w:lang w:val="en-AU"/>
        </w:rPr>
        <w:t>Economy</w:t>
      </w:r>
      <w:r w:rsidR="00177848" w:rsidRPr="00C6052E">
        <w:rPr>
          <w:lang w:val="en-AU"/>
        </w:rPr>
        <w:t xml:space="preserve"> </w:t>
      </w:r>
      <w:r w:rsidRPr="00C6052E">
        <w:rPr>
          <w:lang w:val="en-AU"/>
        </w:rPr>
        <w:t>Partnerships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Tourism</w:t>
      </w:r>
      <w:r w:rsidR="00177848" w:rsidRPr="00C6052E">
        <w:rPr>
          <w:lang w:val="en-AU"/>
        </w:rPr>
        <w:t xml:space="preserve"> </w:t>
      </w:r>
      <w:r w:rsidRPr="00C6052E">
        <w:rPr>
          <w:lang w:val="en-AU"/>
        </w:rPr>
        <w:t>Boards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deliver</w:t>
      </w:r>
      <w:r w:rsidR="00177848" w:rsidRPr="00C6052E">
        <w:rPr>
          <w:lang w:val="en-AU"/>
        </w:rPr>
        <w:t xml:space="preserve"> </w:t>
      </w:r>
      <w:r w:rsidRPr="00C6052E">
        <w:rPr>
          <w:lang w:val="en-AU"/>
        </w:rPr>
        <w:t>capability</w:t>
      </w:r>
      <w:r w:rsidR="00177848" w:rsidRPr="00C6052E">
        <w:rPr>
          <w:lang w:val="en-AU"/>
        </w:rPr>
        <w:t xml:space="preserve"> </w:t>
      </w:r>
      <w:r w:rsidRPr="00C6052E">
        <w:rPr>
          <w:lang w:val="en-AU"/>
        </w:rPr>
        <w:t>building</w:t>
      </w:r>
      <w:r w:rsidR="00177848" w:rsidRPr="00C6052E">
        <w:rPr>
          <w:lang w:val="en-AU"/>
        </w:rPr>
        <w:t xml:space="preserve"> </w:t>
      </w:r>
      <w:r w:rsidRPr="00C6052E">
        <w:rPr>
          <w:lang w:val="en-AU"/>
        </w:rPr>
        <w:t>training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businesses</w:t>
      </w:r>
    </w:p>
    <w:p w14:paraId="080BA6FE" w14:textId="6402A215" w:rsidR="00EE5BB8" w:rsidRPr="00C6052E" w:rsidRDefault="00EE5BB8" w:rsidP="00EE5BB8">
      <w:pPr>
        <w:pStyle w:val="Bullet1"/>
        <w:numPr>
          <w:ilvl w:val="0"/>
          <w:numId w:val="1"/>
        </w:numPr>
        <w:spacing w:line="278" w:lineRule="auto"/>
        <w:ind w:left="284" w:hanging="284"/>
        <w:rPr>
          <w:lang w:val="en-AU"/>
        </w:rPr>
      </w:pPr>
      <w:r w:rsidRPr="00C6052E">
        <w:rPr>
          <w:lang w:val="en-AU"/>
        </w:rPr>
        <w:t>upskilling</w:t>
      </w:r>
      <w:r w:rsidR="00177848" w:rsidRPr="00C6052E">
        <w:rPr>
          <w:lang w:val="en-AU"/>
        </w:rPr>
        <w:t xml:space="preserve"> </w:t>
      </w:r>
      <w:r w:rsidRPr="00C6052E">
        <w:rPr>
          <w:lang w:val="en-AU"/>
        </w:rPr>
        <w:t>businesses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better</w:t>
      </w:r>
      <w:r w:rsidR="00177848" w:rsidRPr="00C6052E">
        <w:rPr>
          <w:lang w:val="en-AU"/>
        </w:rPr>
        <w:t xml:space="preserve"> </w:t>
      </w:r>
      <w:r w:rsidRPr="00C6052E">
        <w:rPr>
          <w:lang w:val="en-AU"/>
        </w:rPr>
        <w:t>service</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clients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delegates</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Program</w:t>
      </w:r>
    </w:p>
    <w:p w14:paraId="42120CF4" w14:textId="3E34DEFB" w:rsidR="00EE5BB8" w:rsidRPr="00C6052E" w:rsidRDefault="00EE5BB8" w:rsidP="00EE5BB8">
      <w:pPr>
        <w:pStyle w:val="Bullet1last"/>
        <w:numPr>
          <w:ilvl w:val="0"/>
          <w:numId w:val="1"/>
        </w:numPr>
        <w:spacing w:line="278" w:lineRule="auto"/>
        <w:ind w:left="284" w:hanging="284"/>
        <w:rPr>
          <w:lang w:val="en-AU"/>
        </w:rPr>
      </w:pPr>
      <w:r w:rsidRPr="00C6052E">
        <w:rPr>
          <w:lang w:val="en-AU"/>
        </w:rPr>
        <w:t>progressing</w:t>
      </w:r>
      <w:r w:rsidR="00177848" w:rsidRPr="00C6052E">
        <w:rPr>
          <w:lang w:val="en-AU"/>
        </w:rPr>
        <w:t xml:space="preserve"> </w:t>
      </w:r>
      <w:r w:rsidRPr="00C6052E">
        <w:rPr>
          <w:lang w:val="en-AU"/>
        </w:rPr>
        <w:t>reform</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Tourism</w:t>
      </w:r>
      <w:r w:rsidR="00177848" w:rsidRPr="00C6052E">
        <w:rPr>
          <w:lang w:val="en-AU"/>
        </w:rPr>
        <w:t xml:space="preserve"> </w:t>
      </w:r>
      <w:r w:rsidRPr="00C6052E">
        <w:rPr>
          <w:lang w:val="en-AU"/>
        </w:rPr>
        <w:t>Network,</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complex</w:t>
      </w:r>
      <w:r w:rsidR="00177848" w:rsidRPr="00C6052E">
        <w:rPr>
          <w:lang w:val="en-AU"/>
        </w:rPr>
        <w:t xml:space="preserve"> </w:t>
      </w:r>
      <w:r w:rsidRPr="00C6052E">
        <w:rPr>
          <w:lang w:val="en-AU"/>
        </w:rPr>
        <w:t>co-design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4</w:t>
      </w:r>
      <w:r w:rsidR="00177848" w:rsidRPr="00C6052E">
        <w:rPr>
          <w:lang w:val="en-AU"/>
        </w:rPr>
        <w:t xml:space="preserve"> </w:t>
      </w:r>
      <w:r w:rsidRPr="00C6052E">
        <w:rPr>
          <w:lang w:val="en-AU"/>
        </w:rPr>
        <w:t>regions</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Yarra</w:t>
      </w:r>
      <w:r w:rsidR="00177848" w:rsidRPr="00C6052E">
        <w:rPr>
          <w:lang w:val="en-AU"/>
        </w:rPr>
        <w:t xml:space="preserve"> </w:t>
      </w:r>
      <w:r w:rsidRPr="00C6052E">
        <w:rPr>
          <w:lang w:val="en-AU"/>
        </w:rPr>
        <w:t>Valley/Dandenong</w:t>
      </w:r>
      <w:r w:rsidR="00177848" w:rsidRPr="00C6052E">
        <w:rPr>
          <w:lang w:val="en-AU"/>
        </w:rPr>
        <w:t xml:space="preserve"> </w:t>
      </w:r>
      <w:r w:rsidRPr="00C6052E">
        <w:rPr>
          <w:lang w:val="en-AU"/>
        </w:rPr>
        <w:t>Ranges,</w:t>
      </w:r>
      <w:r w:rsidR="00177848" w:rsidRPr="00C6052E">
        <w:rPr>
          <w:lang w:val="en-AU"/>
        </w:rPr>
        <w:t xml:space="preserve"> </w:t>
      </w:r>
      <w:r w:rsidRPr="00C6052E">
        <w:rPr>
          <w:lang w:val="en-AU"/>
        </w:rPr>
        <w:t>Central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Greater</w:t>
      </w:r>
      <w:r w:rsidR="00177848" w:rsidRPr="00C6052E">
        <w:rPr>
          <w:lang w:val="en-AU"/>
        </w:rPr>
        <w:t xml:space="preserve"> </w:t>
      </w:r>
      <w:r w:rsidRPr="00C6052E">
        <w:rPr>
          <w:lang w:val="en-AU"/>
        </w:rPr>
        <w:t>Bendigo/Loddon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Mornington</w:t>
      </w:r>
      <w:r w:rsidR="00177848" w:rsidRPr="00C6052E">
        <w:rPr>
          <w:lang w:val="en-AU"/>
        </w:rPr>
        <w:t xml:space="preserve"> </w:t>
      </w:r>
      <w:r w:rsidRPr="00C6052E">
        <w:rPr>
          <w:lang w:val="en-AU"/>
        </w:rPr>
        <w:t>Peninsula.</w:t>
      </w:r>
    </w:p>
    <w:p w14:paraId="4987CCB3" w14:textId="1B2DC8E1" w:rsidR="00EE5BB8" w:rsidRPr="00C6052E" w:rsidRDefault="00EE5BB8" w:rsidP="00EE5BB8">
      <w:pPr>
        <w:pStyle w:val="Heading3"/>
      </w:pPr>
      <w:bookmarkStart w:id="39" w:name="_Toc152067231"/>
      <w:r w:rsidRPr="00C6052E">
        <w:t>Indicator:</w:t>
      </w:r>
      <w:r w:rsidR="00177848" w:rsidRPr="00C6052E">
        <w:t xml:space="preserve"> </w:t>
      </w:r>
      <w:r w:rsidRPr="00C6052E">
        <w:t>Tourists</w:t>
      </w:r>
      <w:r w:rsidR="00177848" w:rsidRPr="00C6052E">
        <w:t xml:space="preserve"> </w:t>
      </w:r>
      <w:r w:rsidRPr="00C6052E">
        <w:t>attracted</w:t>
      </w:r>
      <w:r w:rsidR="00177848" w:rsidRPr="00C6052E">
        <w:t xml:space="preserve"> </w:t>
      </w:r>
      <w:r w:rsidRPr="00C6052E">
        <w:t>to</w:t>
      </w:r>
      <w:r w:rsidR="00177848" w:rsidRPr="00C6052E">
        <w:t xml:space="preserve"> </w:t>
      </w:r>
      <w:r w:rsidRPr="00C6052E">
        <w:t>Victoria</w:t>
      </w:r>
      <w:bookmarkEnd w:id="39"/>
    </w:p>
    <w:p w14:paraId="79C4C39E" w14:textId="1E427E86" w:rsidR="00EE5BB8" w:rsidRPr="00C6052E" w:rsidRDefault="00EE5BB8" w:rsidP="00EE5BB8">
      <w:pPr>
        <w:pStyle w:val="TableHeading"/>
      </w:pPr>
      <w:r w:rsidRPr="00C6052E">
        <w:t>Table</w:t>
      </w:r>
      <w:r w:rsidR="00177848" w:rsidRPr="00C6052E">
        <w:t xml:space="preserve"> </w:t>
      </w:r>
      <w:r w:rsidRPr="00C6052E">
        <w:t>20:</w:t>
      </w:r>
      <w:r w:rsidR="00177848" w:rsidRPr="00C6052E">
        <w:t xml:space="preserve"> </w:t>
      </w:r>
      <w:r w:rsidRPr="00C6052E">
        <w:t>Tourists</w:t>
      </w:r>
      <w:r w:rsidR="00177848" w:rsidRPr="00C6052E">
        <w:t xml:space="preserve"> </w:t>
      </w:r>
      <w:r w:rsidRPr="00C6052E">
        <w:t>attracted</w:t>
      </w:r>
      <w:r w:rsidR="00177848" w:rsidRPr="00C6052E">
        <w:t xml:space="preserve"> </w:t>
      </w:r>
      <w:r w:rsidRPr="00C6052E">
        <w:t>to</w:t>
      </w:r>
      <w:r w:rsidR="00177848" w:rsidRPr="00C6052E">
        <w:t xml:space="preserve"> </w:t>
      </w:r>
      <w:r w:rsidRPr="00C6052E">
        <w:t>Victoria</w:t>
      </w:r>
    </w:p>
    <w:tbl>
      <w:tblPr>
        <w:tblStyle w:val="TableGrid"/>
        <w:tblW w:w="9634" w:type="dxa"/>
        <w:tblLayout w:type="fixed"/>
        <w:tblLook w:val="0020" w:firstRow="1" w:lastRow="0" w:firstColumn="0" w:lastColumn="0" w:noHBand="0" w:noVBand="0"/>
      </w:tblPr>
      <w:tblGrid>
        <w:gridCol w:w="5245"/>
        <w:gridCol w:w="1097"/>
        <w:gridCol w:w="1097"/>
        <w:gridCol w:w="1097"/>
        <w:gridCol w:w="1098"/>
      </w:tblGrid>
      <w:tr w:rsidR="00EE5BB8" w:rsidRPr="00C6052E" w14:paraId="0EE87B1E" w14:textId="77777777" w:rsidTr="009952C1">
        <w:trPr>
          <w:cantSplit/>
        </w:trPr>
        <w:tc>
          <w:tcPr>
            <w:tcW w:w="5245" w:type="dxa"/>
          </w:tcPr>
          <w:p w14:paraId="0C918760" w14:textId="171B9790" w:rsidR="00EE5BB8" w:rsidRPr="00C6052E" w:rsidRDefault="00EE5BB8" w:rsidP="0063097D">
            <w:pPr>
              <w:pStyle w:val="TableColumnHeading"/>
              <w:rPr>
                <w:lang w:val="en-AU"/>
              </w:rPr>
            </w:pPr>
            <w:bookmarkStart w:id="40" w:name="TableColumnHeadings_28"/>
            <w:bookmarkEnd w:id="40"/>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97" w:type="dxa"/>
          </w:tcPr>
          <w:p w14:paraId="460334D5" w14:textId="77777777" w:rsidR="00EE5BB8" w:rsidRPr="00C6052E" w:rsidRDefault="00EE5BB8" w:rsidP="0063097D">
            <w:pPr>
              <w:pStyle w:val="TableColumnHeading"/>
              <w:jc w:val="right"/>
              <w:rPr>
                <w:lang w:val="en-AU"/>
              </w:rPr>
            </w:pPr>
            <w:r w:rsidRPr="00C6052E">
              <w:rPr>
                <w:lang w:val="en-AU"/>
              </w:rPr>
              <w:t>2021–22</w:t>
            </w:r>
          </w:p>
        </w:tc>
        <w:tc>
          <w:tcPr>
            <w:tcW w:w="1097" w:type="dxa"/>
          </w:tcPr>
          <w:p w14:paraId="040EA9BF" w14:textId="77777777" w:rsidR="00EE5BB8" w:rsidRPr="00C6052E" w:rsidRDefault="00EE5BB8" w:rsidP="0063097D">
            <w:pPr>
              <w:pStyle w:val="TableColumnHeading"/>
              <w:jc w:val="right"/>
              <w:rPr>
                <w:lang w:val="en-AU"/>
              </w:rPr>
            </w:pPr>
            <w:r w:rsidRPr="00C6052E">
              <w:rPr>
                <w:lang w:val="en-AU"/>
              </w:rPr>
              <w:t>2022–23</w:t>
            </w:r>
          </w:p>
        </w:tc>
        <w:tc>
          <w:tcPr>
            <w:tcW w:w="1097" w:type="dxa"/>
          </w:tcPr>
          <w:p w14:paraId="4192BA1C" w14:textId="77777777" w:rsidR="00EE5BB8" w:rsidRPr="00C6052E" w:rsidRDefault="00EE5BB8" w:rsidP="0063097D">
            <w:pPr>
              <w:pStyle w:val="TableColumnHeading"/>
              <w:jc w:val="right"/>
              <w:rPr>
                <w:lang w:val="en-AU"/>
              </w:rPr>
            </w:pPr>
            <w:r w:rsidRPr="00C6052E">
              <w:rPr>
                <w:lang w:val="en-AU"/>
              </w:rPr>
              <w:t>2023–24</w:t>
            </w:r>
          </w:p>
        </w:tc>
        <w:tc>
          <w:tcPr>
            <w:tcW w:w="1098" w:type="dxa"/>
          </w:tcPr>
          <w:p w14:paraId="34FAA714"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002ACC5A" w14:textId="77777777" w:rsidTr="009952C1">
        <w:trPr>
          <w:cantSplit/>
        </w:trPr>
        <w:tc>
          <w:tcPr>
            <w:tcW w:w="5245" w:type="dxa"/>
          </w:tcPr>
          <w:p w14:paraId="07C7E101" w14:textId="365525CF" w:rsidR="00EE5BB8" w:rsidRPr="00C6052E"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domestic</w:t>
            </w:r>
            <w:r w:rsidR="00177848" w:rsidRPr="00C6052E">
              <w:rPr>
                <w:lang w:val="en-AU"/>
              </w:rPr>
              <w:t xml:space="preserve"> </w:t>
            </w:r>
            <w:r w:rsidRPr="00C6052E">
              <w:rPr>
                <w:lang w:val="en-AU"/>
              </w:rPr>
              <w:t>overnight</w:t>
            </w:r>
            <w:r w:rsidR="00177848" w:rsidRPr="00C6052E">
              <w:rPr>
                <w:lang w:val="en-AU"/>
              </w:rPr>
              <w:t xml:space="preserve"> </w:t>
            </w:r>
            <w:r w:rsidRPr="00C6052E">
              <w:rPr>
                <w:lang w:val="en-AU"/>
              </w:rPr>
              <w:t>visitors</w:t>
            </w:r>
            <w:r w:rsidR="00177848" w:rsidRPr="00C6052E">
              <w:rPr>
                <w:lang w:val="en-AU"/>
              </w:rPr>
              <w:t xml:space="preserve"> </w:t>
            </w:r>
            <w:r w:rsidRPr="00C6052E">
              <w:rPr>
                <w:lang w:val="en-AU"/>
              </w:rPr>
              <w:t>(number</w:t>
            </w:r>
            <w:r w:rsidR="00177848" w:rsidRPr="00C6052E">
              <w:rPr>
                <w:lang w:val="en-AU"/>
              </w:rPr>
              <w:t xml:space="preserve"> </w:t>
            </w:r>
            <w:r w:rsidRPr="00C6052E">
              <w:rPr>
                <w:lang w:val="en-AU"/>
              </w:rPr>
              <w:t>(million))</w:t>
            </w:r>
          </w:p>
        </w:tc>
        <w:tc>
          <w:tcPr>
            <w:tcW w:w="1097" w:type="dxa"/>
          </w:tcPr>
          <w:p w14:paraId="1A0F9232" w14:textId="77777777" w:rsidR="00EE5BB8" w:rsidRPr="00C6052E" w:rsidRDefault="00EE5BB8" w:rsidP="0063097D">
            <w:pPr>
              <w:pStyle w:val="TableCopy"/>
              <w:jc w:val="right"/>
              <w:rPr>
                <w:lang w:val="en-AU"/>
              </w:rPr>
            </w:pPr>
            <w:r w:rsidRPr="00C6052E">
              <w:rPr>
                <w:lang w:val="en-AU"/>
              </w:rPr>
              <w:t>18.2</w:t>
            </w:r>
          </w:p>
        </w:tc>
        <w:tc>
          <w:tcPr>
            <w:tcW w:w="1097" w:type="dxa"/>
          </w:tcPr>
          <w:p w14:paraId="62684FCB" w14:textId="77777777" w:rsidR="00EE5BB8" w:rsidRPr="00C6052E" w:rsidRDefault="00EE5BB8" w:rsidP="0063097D">
            <w:pPr>
              <w:pStyle w:val="TableCopy"/>
              <w:jc w:val="right"/>
              <w:rPr>
                <w:lang w:val="en-AU"/>
              </w:rPr>
            </w:pPr>
            <w:r w:rsidRPr="00C6052E">
              <w:rPr>
                <w:lang w:val="en-AU"/>
              </w:rPr>
              <w:t>27.5</w:t>
            </w:r>
          </w:p>
        </w:tc>
        <w:tc>
          <w:tcPr>
            <w:tcW w:w="1097" w:type="dxa"/>
          </w:tcPr>
          <w:p w14:paraId="56CA1176" w14:textId="77777777" w:rsidR="00EE5BB8" w:rsidRPr="00C6052E" w:rsidRDefault="00EE5BB8" w:rsidP="0063097D">
            <w:pPr>
              <w:pStyle w:val="TableCopy"/>
              <w:jc w:val="right"/>
              <w:rPr>
                <w:lang w:val="en-AU"/>
              </w:rPr>
            </w:pPr>
            <w:r w:rsidRPr="00C6052E">
              <w:rPr>
                <w:lang w:val="en-AU"/>
              </w:rPr>
              <w:t>28.6</w:t>
            </w:r>
          </w:p>
        </w:tc>
        <w:tc>
          <w:tcPr>
            <w:tcW w:w="1098" w:type="dxa"/>
          </w:tcPr>
          <w:p w14:paraId="210CB93B" w14:textId="77777777" w:rsidR="00EE5BB8" w:rsidRPr="00C6052E" w:rsidRDefault="00EE5BB8" w:rsidP="0063097D">
            <w:pPr>
              <w:pStyle w:val="TableCopy"/>
              <w:jc w:val="right"/>
              <w:rPr>
                <w:lang w:val="en-AU"/>
              </w:rPr>
            </w:pPr>
            <w:r w:rsidRPr="00C6052E">
              <w:rPr>
                <w:lang w:val="en-AU"/>
              </w:rPr>
              <w:t>31.1</w:t>
            </w:r>
          </w:p>
        </w:tc>
      </w:tr>
      <w:tr w:rsidR="00EE5BB8" w:rsidRPr="00C6052E" w14:paraId="0C4B55DD" w14:textId="77777777" w:rsidTr="009952C1">
        <w:trPr>
          <w:cantSplit/>
        </w:trPr>
        <w:tc>
          <w:tcPr>
            <w:tcW w:w="5245" w:type="dxa"/>
          </w:tcPr>
          <w:p w14:paraId="04EE49DA" w14:textId="6BA9A3FB" w:rsidR="00EE5BB8" w:rsidRPr="00C6052E"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visitors</w:t>
            </w:r>
            <w:r w:rsidR="00177848" w:rsidRPr="00C6052E">
              <w:rPr>
                <w:lang w:val="en-AU"/>
              </w:rPr>
              <w:t xml:space="preserve"> </w:t>
            </w:r>
            <w:r w:rsidRPr="00C6052E">
              <w:rPr>
                <w:lang w:val="en-AU"/>
              </w:rPr>
              <w:t>(number</w:t>
            </w:r>
            <w:r w:rsidR="00177848" w:rsidRPr="00C6052E">
              <w:rPr>
                <w:lang w:val="en-AU"/>
              </w:rPr>
              <w:t xml:space="preserve"> </w:t>
            </w:r>
            <w:r w:rsidRPr="00C6052E">
              <w:rPr>
                <w:lang w:val="en-AU"/>
              </w:rPr>
              <w:t>(million))</w:t>
            </w:r>
          </w:p>
        </w:tc>
        <w:tc>
          <w:tcPr>
            <w:tcW w:w="1097" w:type="dxa"/>
          </w:tcPr>
          <w:p w14:paraId="4493E9AB" w14:textId="77777777" w:rsidR="00EE5BB8" w:rsidRPr="00C6052E" w:rsidRDefault="00EE5BB8" w:rsidP="0063097D">
            <w:pPr>
              <w:pStyle w:val="TableCopy"/>
              <w:jc w:val="right"/>
              <w:rPr>
                <w:lang w:val="en-AU"/>
              </w:rPr>
            </w:pPr>
            <w:r w:rsidRPr="00C6052E">
              <w:rPr>
                <w:lang w:val="en-AU"/>
              </w:rPr>
              <w:t>0.16</w:t>
            </w:r>
          </w:p>
        </w:tc>
        <w:tc>
          <w:tcPr>
            <w:tcW w:w="1097" w:type="dxa"/>
          </w:tcPr>
          <w:p w14:paraId="7978132E" w14:textId="77777777" w:rsidR="00EE5BB8" w:rsidRPr="00C6052E" w:rsidRDefault="00EE5BB8" w:rsidP="0063097D">
            <w:pPr>
              <w:pStyle w:val="TableCopy"/>
              <w:jc w:val="right"/>
              <w:rPr>
                <w:lang w:val="en-AU"/>
              </w:rPr>
            </w:pPr>
            <w:r w:rsidRPr="00C6052E">
              <w:rPr>
                <w:lang w:val="en-AU"/>
              </w:rPr>
              <w:t>1.4</w:t>
            </w:r>
          </w:p>
        </w:tc>
        <w:tc>
          <w:tcPr>
            <w:tcW w:w="1097" w:type="dxa"/>
          </w:tcPr>
          <w:p w14:paraId="0E84BF67" w14:textId="77777777" w:rsidR="00EE5BB8" w:rsidRPr="00C6052E" w:rsidRDefault="00EE5BB8" w:rsidP="0063097D">
            <w:pPr>
              <w:pStyle w:val="TableCopy"/>
              <w:jc w:val="right"/>
              <w:rPr>
                <w:lang w:val="en-AU"/>
              </w:rPr>
            </w:pPr>
            <w:r w:rsidRPr="00C6052E">
              <w:rPr>
                <w:lang w:val="en-AU"/>
              </w:rPr>
              <w:t>2.4</w:t>
            </w:r>
          </w:p>
        </w:tc>
        <w:tc>
          <w:tcPr>
            <w:tcW w:w="1098" w:type="dxa"/>
          </w:tcPr>
          <w:p w14:paraId="15AF9748" w14:textId="77777777" w:rsidR="00EE5BB8" w:rsidRPr="00C6052E" w:rsidRDefault="00EE5BB8" w:rsidP="0063097D">
            <w:pPr>
              <w:pStyle w:val="TableCopy"/>
              <w:jc w:val="right"/>
              <w:rPr>
                <w:lang w:val="en-AU"/>
              </w:rPr>
            </w:pPr>
            <w:r w:rsidRPr="00C6052E">
              <w:rPr>
                <w:lang w:val="en-AU"/>
              </w:rPr>
              <w:t>2.7</w:t>
            </w:r>
          </w:p>
        </w:tc>
      </w:tr>
      <w:tr w:rsidR="00EE5BB8" w:rsidRPr="00C6052E" w14:paraId="5FA2F43D" w14:textId="77777777" w:rsidTr="009952C1">
        <w:trPr>
          <w:cantSplit/>
        </w:trPr>
        <w:tc>
          <w:tcPr>
            <w:tcW w:w="5245" w:type="dxa"/>
          </w:tcPr>
          <w:p w14:paraId="4129B54F" w14:textId="6401C3C2" w:rsidR="00EE5BB8" w:rsidRPr="00C6052E" w:rsidRDefault="00EE5BB8" w:rsidP="0063097D">
            <w:pPr>
              <w:pStyle w:val="TableCopy"/>
              <w:rPr>
                <w:lang w:val="en-AU"/>
              </w:rPr>
            </w:pPr>
            <w:r w:rsidRPr="00C6052E">
              <w:rPr>
                <w:lang w:val="en-AU"/>
              </w:rPr>
              <w:t>Visitor</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domestic</w:t>
            </w:r>
            <w:r w:rsidR="00177848" w:rsidRPr="00C6052E">
              <w:rPr>
                <w:lang w:val="en-AU"/>
              </w:rPr>
              <w:t xml:space="preserve"> </w:t>
            </w:r>
            <w:r w:rsidRPr="00C6052E">
              <w:rPr>
                <w:lang w:val="en-AU"/>
              </w:rPr>
              <w:t>($</w:t>
            </w:r>
            <w:r w:rsidR="00177848" w:rsidRPr="00C6052E">
              <w:rPr>
                <w:lang w:val="en-AU"/>
              </w:rPr>
              <w:t xml:space="preserve"> </w:t>
            </w:r>
            <w:r w:rsidRPr="00C6052E">
              <w:rPr>
                <w:lang w:val="en-AU"/>
              </w:rPr>
              <w:t>billion)</w:t>
            </w:r>
          </w:p>
        </w:tc>
        <w:tc>
          <w:tcPr>
            <w:tcW w:w="1097" w:type="dxa"/>
          </w:tcPr>
          <w:p w14:paraId="781D701D" w14:textId="77777777" w:rsidR="00EE5BB8" w:rsidRPr="00C6052E" w:rsidRDefault="00EE5BB8" w:rsidP="0063097D">
            <w:pPr>
              <w:pStyle w:val="TableCopy"/>
              <w:jc w:val="right"/>
              <w:rPr>
                <w:lang w:val="en-AU"/>
              </w:rPr>
            </w:pPr>
            <w:r w:rsidRPr="00C6052E">
              <w:rPr>
                <w:lang w:val="en-AU"/>
              </w:rPr>
              <w:t>15.4</w:t>
            </w:r>
          </w:p>
        </w:tc>
        <w:tc>
          <w:tcPr>
            <w:tcW w:w="1097" w:type="dxa"/>
          </w:tcPr>
          <w:p w14:paraId="1C62EF44" w14:textId="77777777" w:rsidR="00EE5BB8" w:rsidRPr="00C6052E" w:rsidRDefault="00EE5BB8" w:rsidP="0063097D">
            <w:pPr>
              <w:pStyle w:val="TableCopy"/>
              <w:jc w:val="right"/>
              <w:rPr>
                <w:lang w:val="en-AU"/>
              </w:rPr>
            </w:pPr>
            <w:r w:rsidRPr="00C6052E">
              <w:rPr>
                <w:lang w:val="en-AU"/>
              </w:rPr>
              <w:t>30.8</w:t>
            </w:r>
          </w:p>
        </w:tc>
        <w:tc>
          <w:tcPr>
            <w:tcW w:w="1097" w:type="dxa"/>
          </w:tcPr>
          <w:p w14:paraId="1A81B861" w14:textId="77777777" w:rsidR="00EE5BB8" w:rsidRPr="00C6052E" w:rsidRDefault="00EE5BB8" w:rsidP="0063097D">
            <w:pPr>
              <w:pStyle w:val="TableCopy"/>
              <w:jc w:val="right"/>
              <w:rPr>
                <w:lang w:val="en-AU"/>
              </w:rPr>
            </w:pPr>
            <w:r w:rsidRPr="00C6052E">
              <w:rPr>
                <w:lang w:val="en-AU"/>
              </w:rPr>
              <w:t>31.5</w:t>
            </w:r>
          </w:p>
        </w:tc>
        <w:tc>
          <w:tcPr>
            <w:tcW w:w="1098" w:type="dxa"/>
          </w:tcPr>
          <w:p w14:paraId="7D8B2F4F" w14:textId="77777777" w:rsidR="00EE5BB8" w:rsidRPr="00C6052E" w:rsidRDefault="00EE5BB8" w:rsidP="0063097D">
            <w:pPr>
              <w:pStyle w:val="TableCopy"/>
              <w:jc w:val="right"/>
              <w:rPr>
                <w:lang w:val="en-AU"/>
              </w:rPr>
            </w:pPr>
            <w:r w:rsidRPr="00C6052E">
              <w:rPr>
                <w:lang w:val="en-AU"/>
              </w:rPr>
              <w:t>30.9^</w:t>
            </w:r>
          </w:p>
        </w:tc>
      </w:tr>
      <w:tr w:rsidR="00EE5BB8" w:rsidRPr="00C6052E" w14:paraId="1B606807" w14:textId="77777777" w:rsidTr="009952C1">
        <w:trPr>
          <w:cantSplit/>
        </w:trPr>
        <w:tc>
          <w:tcPr>
            <w:tcW w:w="5245" w:type="dxa"/>
          </w:tcPr>
          <w:p w14:paraId="0980C2D2" w14:textId="7D72E0EA" w:rsidR="00EE5BB8" w:rsidRPr="00C6052E" w:rsidRDefault="00EE5BB8" w:rsidP="0063097D">
            <w:pPr>
              <w:pStyle w:val="TableCopy"/>
              <w:rPr>
                <w:lang w:val="en-AU"/>
              </w:rPr>
            </w:pPr>
            <w:r w:rsidRPr="00C6052E">
              <w:rPr>
                <w:lang w:val="en-AU"/>
              </w:rPr>
              <w:t>Visitor</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t>($</w:t>
            </w:r>
            <w:r w:rsidR="00177848" w:rsidRPr="00C6052E">
              <w:rPr>
                <w:lang w:val="en-AU"/>
              </w:rPr>
              <w:t xml:space="preserve"> </w:t>
            </w:r>
            <w:r w:rsidRPr="00C6052E">
              <w:rPr>
                <w:lang w:val="en-AU"/>
              </w:rPr>
              <w:t>billion)</w:t>
            </w:r>
          </w:p>
        </w:tc>
        <w:tc>
          <w:tcPr>
            <w:tcW w:w="1097" w:type="dxa"/>
          </w:tcPr>
          <w:p w14:paraId="2BBEB307" w14:textId="77777777" w:rsidR="00EE5BB8" w:rsidRPr="00C6052E" w:rsidRDefault="00EE5BB8" w:rsidP="0063097D">
            <w:pPr>
              <w:pStyle w:val="TableCopy"/>
              <w:jc w:val="right"/>
              <w:rPr>
                <w:lang w:val="en-AU"/>
              </w:rPr>
            </w:pPr>
            <w:r w:rsidRPr="00C6052E">
              <w:rPr>
                <w:lang w:val="en-AU"/>
              </w:rPr>
              <w:t>1.0**</w:t>
            </w:r>
          </w:p>
        </w:tc>
        <w:tc>
          <w:tcPr>
            <w:tcW w:w="1097" w:type="dxa"/>
          </w:tcPr>
          <w:p w14:paraId="4DE6EAFC" w14:textId="77777777" w:rsidR="00EE5BB8" w:rsidRPr="00C6052E" w:rsidRDefault="00EE5BB8" w:rsidP="0063097D">
            <w:pPr>
              <w:pStyle w:val="TableCopy"/>
              <w:jc w:val="right"/>
              <w:rPr>
                <w:lang w:val="en-AU"/>
              </w:rPr>
            </w:pPr>
            <w:r w:rsidRPr="00C6052E">
              <w:rPr>
                <w:lang w:val="en-AU"/>
              </w:rPr>
              <w:t>4.2</w:t>
            </w:r>
          </w:p>
        </w:tc>
        <w:tc>
          <w:tcPr>
            <w:tcW w:w="1097" w:type="dxa"/>
          </w:tcPr>
          <w:p w14:paraId="2ED19E6A" w14:textId="77777777" w:rsidR="00EE5BB8" w:rsidRPr="00C6052E" w:rsidRDefault="00EE5BB8" w:rsidP="0063097D">
            <w:pPr>
              <w:pStyle w:val="TableCopy"/>
              <w:jc w:val="right"/>
              <w:rPr>
                <w:lang w:val="en-AU"/>
              </w:rPr>
            </w:pPr>
            <w:r w:rsidRPr="00C6052E">
              <w:rPr>
                <w:lang w:val="en-AU"/>
              </w:rPr>
              <w:t>7.8</w:t>
            </w:r>
          </w:p>
        </w:tc>
        <w:tc>
          <w:tcPr>
            <w:tcW w:w="1098" w:type="dxa"/>
          </w:tcPr>
          <w:p w14:paraId="3AB70C52" w14:textId="77777777" w:rsidR="00EE5BB8" w:rsidRPr="00C6052E" w:rsidRDefault="00EE5BB8" w:rsidP="0063097D">
            <w:pPr>
              <w:pStyle w:val="TableCopy"/>
              <w:jc w:val="right"/>
              <w:rPr>
                <w:lang w:val="en-AU"/>
              </w:rPr>
            </w:pPr>
            <w:r w:rsidRPr="00C6052E">
              <w:rPr>
                <w:lang w:val="en-AU"/>
              </w:rPr>
              <w:t>9.3</w:t>
            </w:r>
          </w:p>
        </w:tc>
      </w:tr>
      <w:tr w:rsidR="00EE5BB8" w:rsidRPr="00C6052E" w14:paraId="680EDE51" w14:textId="77777777" w:rsidTr="009952C1">
        <w:trPr>
          <w:cantSplit/>
        </w:trPr>
        <w:tc>
          <w:tcPr>
            <w:tcW w:w="5245" w:type="dxa"/>
          </w:tcPr>
          <w:p w14:paraId="5C839DE5" w14:textId="426AC3CB" w:rsidR="00EE5BB8" w:rsidRPr="00C6052E" w:rsidRDefault="00EE5BB8" w:rsidP="0063097D">
            <w:pPr>
              <w:pStyle w:val="TableCopy"/>
              <w:rPr>
                <w:lang w:val="en-AU"/>
              </w:rPr>
            </w:pPr>
            <w:r w:rsidRPr="00C6052E">
              <w:rPr>
                <w:lang w:val="en-AU"/>
              </w:rPr>
              <w:t>Visitor</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(domestic)</w:t>
            </w:r>
            <w:r w:rsidR="00177848" w:rsidRPr="00C6052E">
              <w:rPr>
                <w:lang w:val="en-AU"/>
              </w:rPr>
              <w:t xml:space="preserve"> </w:t>
            </w:r>
            <w:r w:rsidRPr="00C6052E">
              <w:rPr>
                <w:lang w:val="en-AU"/>
              </w:rPr>
              <w:t>($</w:t>
            </w:r>
            <w:r w:rsidR="00177848" w:rsidRPr="00C6052E">
              <w:rPr>
                <w:lang w:val="en-AU"/>
              </w:rPr>
              <w:t xml:space="preserve"> </w:t>
            </w:r>
            <w:r w:rsidRPr="00C6052E">
              <w:rPr>
                <w:lang w:val="en-AU"/>
              </w:rPr>
              <w:t>billion)</w:t>
            </w:r>
          </w:p>
        </w:tc>
        <w:tc>
          <w:tcPr>
            <w:tcW w:w="1097" w:type="dxa"/>
          </w:tcPr>
          <w:p w14:paraId="404D53BA" w14:textId="77777777" w:rsidR="00EE5BB8" w:rsidRPr="00C6052E" w:rsidRDefault="00EE5BB8" w:rsidP="0063097D">
            <w:pPr>
              <w:pStyle w:val="TableCopy"/>
              <w:jc w:val="right"/>
              <w:rPr>
                <w:lang w:val="en-AU"/>
              </w:rPr>
            </w:pPr>
            <w:r w:rsidRPr="00C6052E">
              <w:rPr>
                <w:lang w:val="en-AU"/>
              </w:rPr>
              <w:t>9.9</w:t>
            </w:r>
          </w:p>
        </w:tc>
        <w:tc>
          <w:tcPr>
            <w:tcW w:w="1097" w:type="dxa"/>
          </w:tcPr>
          <w:p w14:paraId="7191D1DF" w14:textId="77777777" w:rsidR="00EE5BB8" w:rsidRPr="00C6052E" w:rsidRDefault="00EE5BB8" w:rsidP="0063097D">
            <w:pPr>
              <w:pStyle w:val="TableCopy"/>
              <w:jc w:val="right"/>
              <w:rPr>
                <w:lang w:val="en-AU"/>
              </w:rPr>
            </w:pPr>
            <w:r w:rsidRPr="00C6052E">
              <w:rPr>
                <w:lang w:val="en-AU"/>
              </w:rPr>
              <w:t>16.4</w:t>
            </w:r>
          </w:p>
        </w:tc>
        <w:tc>
          <w:tcPr>
            <w:tcW w:w="1097" w:type="dxa"/>
          </w:tcPr>
          <w:p w14:paraId="022D46E9" w14:textId="77777777" w:rsidR="00EE5BB8" w:rsidRPr="00C6052E" w:rsidRDefault="00EE5BB8" w:rsidP="0063097D">
            <w:pPr>
              <w:pStyle w:val="TableCopy"/>
              <w:jc w:val="right"/>
              <w:rPr>
                <w:lang w:val="en-AU"/>
              </w:rPr>
            </w:pPr>
            <w:r w:rsidRPr="00C6052E">
              <w:rPr>
                <w:lang w:val="en-AU"/>
              </w:rPr>
              <w:t>16.3</w:t>
            </w:r>
          </w:p>
        </w:tc>
        <w:tc>
          <w:tcPr>
            <w:tcW w:w="1098" w:type="dxa"/>
          </w:tcPr>
          <w:p w14:paraId="1E060587" w14:textId="77777777" w:rsidR="00EE5BB8" w:rsidRPr="00C6052E" w:rsidRDefault="00EE5BB8" w:rsidP="0063097D">
            <w:pPr>
              <w:pStyle w:val="TableCopy"/>
              <w:jc w:val="right"/>
              <w:rPr>
                <w:lang w:val="en-AU"/>
              </w:rPr>
            </w:pPr>
            <w:r w:rsidRPr="00C6052E">
              <w:rPr>
                <w:lang w:val="en-AU"/>
              </w:rPr>
              <w:t>15.4^</w:t>
            </w:r>
          </w:p>
        </w:tc>
      </w:tr>
      <w:tr w:rsidR="00EE5BB8" w:rsidRPr="00C6052E" w14:paraId="16785BC7" w14:textId="77777777" w:rsidTr="009952C1">
        <w:trPr>
          <w:cantSplit/>
        </w:trPr>
        <w:tc>
          <w:tcPr>
            <w:tcW w:w="5245" w:type="dxa"/>
          </w:tcPr>
          <w:p w14:paraId="1D73A4D7" w14:textId="43EF57F6" w:rsidR="00EE5BB8" w:rsidRPr="00C6052E" w:rsidRDefault="00EE5BB8" w:rsidP="0063097D">
            <w:pPr>
              <w:pStyle w:val="TableCopy"/>
              <w:rPr>
                <w:lang w:val="en-AU"/>
              </w:rPr>
            </w:pPr>
            <w:r w:rsidRPr="00C6052E">
              <w:rPr>
                <w:lang w:val="en-AU"/>
              </w:rPr>
              <w:t>Visitor</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(international)</w:t>
            </w:r>
            <w:r w:rsidR="00177848" w:rsidRPr="00C6052E">
              <w:rPr>
                <w:lang w:val="en-AU"/>
              </w:rPr>
              <w:t xml:space="preserve"> </w:t>
            </w:r>
            <w:r w:rsidRPr="00C6052E">
              <w:rPr>
                <w:lang w:val="en-AU"/>
              </w:rPr>
              <w:br/>
              <w:t>($</w:t>
            </w:r>
            <w:r w:rsidR="00177848" w:rsidRPr="00C6052E">
              <w:rPr>
                <w:lang w:val="en-AU"/>
              </w:rPr>
              <w:t xml:space="preserve"> </w:t>
            </w:r>
            <w:r w:rsidRPr="00C6052E">
              <w:rPr>
                <w:lang w:val="en-AU"/>
              </w:rPr>
              <w:t>million)</w:t>
            </w:r>
          </w:p>
        </w:tc>
        <w:tc>
          <w:tcPr>
            <w:tcW w:w="1097" w:type="dxa"/>
          </w:tcPr>
          <w:p w14:paraId="788796A8" w14:textId="77777777" w:rsidR="00EE5BB8" w:rsidRPr="00C6052E" w:rsidRDefault="00EE5BB8" w:rsidP="0063097D">
            <w:pPr>
              <w:pStyle w:val="TableCopy"/>
              <w:jc w:val="right"/>
              <w:rPr>
                <w:lang w:val="en-AU"/>
              </w:rPr>
            </w:pPr>
            <w:r w:rsidRPr="00C6052E">
              <w:rPr>
                <w:lang w:val="en-AU"/>
              </w:rPr>
              <w:t>N/A***</w:t>
            </w:r>
          </w:p>
        </w:tc>
        <w:tc>
          <w:tcPr>
            <w:tcW w:w="1097" w:type="dxa"/>
          </w:tcPr>
          <w:p w14:paraId="04ABA0F9" w14:textId="77777777" w:rsidR="00EE5BB8" w:rsidRPr="00C6052E" w:rsidRDefault="00EE5BB8" w:rsidP="0063097D">
            <w:pPr>
              <w:pStyle w:val="TableCopy"/>
              <w:jc w:val="right"/>
              <w:rPr>
                <w:lang w:val="en-AU"/>
              </w:rPr>
            </w:pPr>
            <w:r w:rsidRPr="00C6052E">
              <w:rPr>
                <w:lang w:val="en-AU"/>
              </w:rPr>
              <w:t>N/A***</w:t>
            </w:r>
          </w:p>
        </w:tc>
        <w:tc>
          <w:tcPr>
            <w:tcW w:w="1097" w:type="dxa"/>
          </w:tcPr>
          <w:p w14:paraId="474B2056" w14:textId="77777777" w:rsidR="00EE5BB8" w:rsidRPr="00C6052E" w:rsidRDefault="00EE5BB8" w:rsidP="0063097D">
            <w:pPr>
              <w:pStyle w:val="TableCopy"/>
              <w:jc w:val="right"/>
              <w:rPr>
                <w:lang w:val="en-AU"/>
              </w:rPr>
            </w:pPr>
            <w:r w:rsidRPr="00C6052E">
              <w:rPr>
                <w:lang w:val="en-AU"/>
              </w:rPr>
              <w:t>552**</w:t>
            </w:r>
          </w:p>
        </w:tc>
        <w:tc>
          <w:tcPr>
            <w:tcW w:w="1098" w:type="dxa"/>
          </w:tcPr>
          <w:p w14:paraId="28245FB5" w14:textId="77777777" w:rsidR="00EE5BB8" w:rsidRPr="00C6052E" w:rsidRDefault="00EE5BB8" w:rsidP="0063097D">
            <w:pPr>
              <w:pStyle w:val="TableCopy"/>
              <w:jc w:val="right"/>
              <w:rPr>
                <w:lang w:val="en-AU"/>
              </w:rPr>
            </w:pPr>
            <w:r w:rsidRPr="00C6052E">
              <w:rPr>
                <w:lang w:val="en-AU"/>
              </w:rPr>
              <w:t>795</w:t>
            </w:r>
          </w:p>
        </w:tc>
      </w:tr>
    </w:tbl>
    <w:p w14:paraId="22659D8A" w14:textId="385C464A" w:rsidR="00EE5BB8" w:rsidRPr="00C6052E" w:rsidRDefault="00EE5BB8" w:rsidP="00EE5BB8">
      <w:pPr>
        <w:pStyle w:val="Tablenotes"/>
      </w:pPr>
      <w:r w:rsidRPr="00C6052E">
        <w:t>*</w:t>
      </w:r>
      <w:r w:rsidRPr="00C6052E">
        <w:tab/>
        <w:t>Most</w:t>
      </w:r>
      <w:r w:rsidR="00177848" w:rsidRPr="00C6052E">
        <w:t xml:space="preserve"> </w:t>
      </w:r>
      <w:r w:rsidRPr="00C6052E">
        <w:t>data</w:t>
      </w:r>
      <w:r w:rsidR="00177848" w:rsidRPr="00C6052E">
        <w:t xml:space="preserve"> </w:t>
      </w:r>
      <w:r w:rsidRPr="00C6052E">
        <w:t>reflect</w:t>
      </w:r>
      <w:r w:rsidR="00177848" w:rsidRPr="00C6052E">
        <w:t xml:space="preserve"> </w:t>
      </w:r>
      <w:r w:rsidRPr="00C6052E">
        <w:t>year</w:t>
      </w:r>
      <w:r w:rsidR="00177848" w:rsidRPr="00C6052E">
        <w:t xml:space="preserve"> </w:t>
      </w:r>
      <w:r w:rsidRPr="00C6052E">
        <w:t>ending</w:t>
      </w:r>
      <w:r w:rsidR="00177848" w:rsidRPr="00C6052E">
        <w:t xml:space="preserve"> </w:t>
      </w:r>
      <w:r w:rsidRPr="00C6052E">
        <w:t>March</w:t>
      </w:r>
      <w:r w:rsidR="00177848" w:rsidRPr="00C6052E">
        <w:t xml:space="preserve"> </w:t>
      </w:r>
      <w:r w:rsidRPr="00C6052E">
        <w:t>estimates</w:t>
      </w:r>
      <w:r w:rsidR="00177848" w:rsidRPr="00C6052E">
        <w:t xml:space="preserve"> </w:t>
      </w:r>
      <w:r w:rsidRPr="00C6052E">
        <w:t>from</w:t>
      </w:r>
      <w:r w:rsidR="00177848" w:rsidRPr="00C6052E">
        <w:t xml:space="preserve"> </w:t>
      </w:r>
      <w:r w:rsidRPr="00C6052E">
        <w:t>the</w:t>
      </w:r>
      <w:r w:rsidR="00177848" w:rsidRPr="00C6052E">
        <w:t xml:space="preserve"> </w:t>
      </w:r>
      <w:r w:rsidRPr="00C6052E">
        <w:t>National</w:t>
      </w:r>
      <w:r w:rsidR="00177848" w:rsidRPr="00C6052E">
        <w:t xml:space="preserve"> </w:t>
      </w:r>
      <w:r w:rsidRPr="00C6052E">
        <w:t>and</w:t>
      </w:r>
      <w:r w:rsidR="00177848" w:rsidRPr="00C6052E">
        <w:t xml:space="preserve"> </w:t>
      </w:r>
      <w:r w:rsidRPr="00C6052E">
        <w:t>International</w:t>
      </w:r>
      <w:r w:rsidR="00177848" w:rsidRPr="00C6052E">
        <w:t xml:space="preserve"> </w:t>
      </w:r>
      <w:r w:rsidRPr="00C6052E">
        <w:t>Visitor</w:t>
      </w:r>
      <w:r w:rsidR="00177848" w:rsidRPr="00C6052E">
        <w:t xml:space="preserve"> </w:t>
      </w:r>
      <w:r w:rsidRPr="00C6052E">
        <w:t>Surveys</w:t>
      </w:r>
      <w:r w:rsidR="00177848" w:rsidRPr="00C6052E">
        <w:t xml:space="preserve"> </w:t>
      </w:r>
      <w:r w:rsidRPr="00C6052E">
        <w:t>(published</w:t>
      </w:r>
      <w:r w:rsidR="00177848" w:rsidRPr="00C6052E">
        <w:t xml:space="preserve"> </w:t>
      </w:r>
      <w:r w:rsidRPr="00C6052E">
        <w:t>by</w:t>
      </w:r>
      <w:r w:rsidR="00177848" w:rsidRPr="00C6052E">
        <w:t xml:space="preserve"> </w:t>
      </w:r>
      <w:r w:rsidRPr="00C6052E">
        <w:t>Tourism</w:t>
      </w:r>
      <w:r w:rsidR="00177848" w:rsidRPr="00C6052E">
        <w:t xml:space="preserve"> </w:t>
      </w:r>
      <w:r w:rsidRPr="00C6052E">
        <w:t>Research</w:t>
      </w:r>
      <w:r w:rsidR="00177848" w:rsidRPr="00C6052E">
        <w:t xml:space="preserve"> </w:t>
      </w:r>
      <w:r w:rsidRPr="00C6052E">
        <w:t>Australia).</w:t>
      </w:r>
      <w:r w:rsidR="00177848" w:rsidRPr="00C6052E">
        <w:t xml:space="preserve"> </w:t>
      </w:r>
      <w:r w:rsidRPr="00C6052E">
        <w:t>From</w:t>
      </w:r>
      <w:r w:rsidR="00177848" w:rsidRPr="00C6052E">
        <w:t xml:space="preserve"> </w:t>
      </w:r>
      <w:r w:rsidRPr="00C6052E">
        <w:t>January</w:t>
      </w:r>
      <w:r w:rsidR="00177848" w:rsidRPr="00C6052E">
        <w:t xml:space="preserve"> </w:t>
      </w:r>
      <w:r w:rsidRPr="00C6052E">
        <w:t>2025,</w:t>
      </w:r>
      <w:r w:rsidR="00177848" w:rsidRPr="00C6052E">
        <w:t xml:space="preserve"> </w:t>
      </w:r>
      <w:r w:rsidRPr="00C6052E">
        <w:t>the</w:t>
      </w:r>
      <w:r w:rsidR="00177848" w:rsidRPr="00C6052E">
        <w:t xml:space="preserve"> </w:t>
      </w:r>
      <w:r w:rsidRPr="00C6052E">
        <w:t>Domestic</w:t>
      </w:r>
      <w:r w:rsidR="00177848" w:rsidRPr="00C6052E">
        <w:t xml:space="preserve"> </w:t>
      </w:r>
      <w:r w:rsidRPr="00C6052E">
        <w:t>Tourism</w:t>
      </w:r>
      <w:r w:rsidR="00177848" w:rsidRPr="00C6052E">
        <w:t xml:space="preserve"> </w:t>
      </w:r>
      <w:r w:rsidRPr="00C6052E">
        <w:t>Statistics</w:t>
      </w:r>
      <w:r w:rsidR="00177848" w:rsidRPr="00C6052E">
        <w:t xml:space="preserve"> </w:t>
      </w:r>
      <w:r w:rsidRPr="00C6052E">
        <w:t>(</w:t>
      </w:r>
      <w:proofErr w:type="spellStart"/>
      <w:r w:rsidRPr="00C6052E">
        <w:t>DoTS</w:t>
      </w:r>
      <w:proofErr w:type="spellEnd"/>
      <w:r w:rsidRPr="00C6052E">
        <w:t>)</w:t>
      </w:r>
      <w:r w:rsidR="00177848" w:rsidRPr="00C6052E">
        <w:t xml:space="preserve"> </w:t>
      </w:r>
      <w:r w:rsidRPr="00C6052E">
        <w:t>replaced</w:t>
      </w:r>
      <w:r w:rsidR="00177848" w:rsidRPr="00C6052E">
        <w:t xml:space="preserve"> </w:t>
      </w:r>
      <w:r w:rsidRPr="00C6052E">
        <w:t>the</w:t>
      </w:r>
      <w:r w:rsidR="00177848" w:rsidRPr="00C6052E">
        <w:t xml:space="preserve"> </w:t>
      </w:r>
      <w:r w:rsidRPr="00C6052E">
        <w:t>National</w:t>
      </w:r>
      <w:r w:rsidR="00177848" w:rsidRPr="00C6052E">
        <w:t xml:space="preserve"> </w:t>
      </w:r>
      <w:r w:rsidRPr="00C6052E">
        <w:t>Visitor</w:t>
      </w:r>
      <w:r w:rsidR="00177848" w:rsidRPr="00C6052E">
        <w:t xml:space="preserve"> </w:t>
      </w:r>
      <w:r w:rsidRPr="00C6052E">
        <w:t>Survey</w:t>
      </w:r>
      <w:r w:rsidR="00177848" w:rsidRPr="00C6052E">
        <w:t xml:space="preserve"> </w:t>
      </w:r>
      <w:r w:rsidRPr="00C6052E">
        <w:t>(NVS).</w:t>
      </w:r>
      <w:r w:rsidR="00177848" w:rsidRPr="00C6052E">
        <w:t xml:space="preserve"> </w:t>
      </w:r>
      <w:r w:rsidRPr="00C6052E">
        <w:t>As</w:t>
      </w:r>
      <w:r w:rsidR="00177848" w:rsidRPr="00C6052E">
        <w:t xml:space="preserve"> </w:t>
      </w:r>
      <w:r w:rsidRPr="00C6052E">
        <w:t>a</w:t>
      </w:r>
      <w:r w:rsidR="00177848" w:rsidRPr="00C6052E">
        <w:t xml:space="preserve"> </w:t>
      </w:r>
      <w:r w:rsidRPr="00C6052E">
        <w:t>result,</w:t>
      </w:r>
      <w:r w:rsidR="00177848" w:rsidRPr="00C6052E">
        <w:t xml:space="preserve"> </w:t>
      </w:r>
      <w:r w:rsidRPr="00C6052E">
        <w:t>2024–25</w:t>
      </w:r>
      <w:r w:rsidR="00177848" w:rsidRPr="00C6052E">
        <w:t xml:space="preserve"> </w:t>
      </w:r>
      <w:r w:rsidRPr="00C6052E">
        <w:t>domestic</w:t>
      </w:r>
      <w:r w:rsidR="00177848" w:rsidRPr="00C6052E">
        <w:t xml:space="preserve"> </w:t>
      </w:r>
      <w:r w:rsidRPr="00C6052E">
        <w:t>visitor</w:t>
      </w:r>
      <w:r w:rsidR="00177848" w:rsidRPr="00C6052E">
        <w:t xml:space="preserve"> </w:t>
      </w:r>
      <w:r w:rsidRPr="00C6052E">
        <w:t>data</w:t>
      </w:r>
      <w:r w:rsidR="00177848" w:rsidRPr="00C6052E">
        <w:t xml:space="preserve"> </w:t>
      </w:r>
      <w:r w:rsidRPr="00C6052E">
        <w:t>are</w:t>
      </w:r>
      <w:r w:rsidR="00177848" w:rsidRPr="00C6052E">
        <w:t xml:space="preserve"> </w:t>
      </w:r>
      <w:r w:rsidRPr="00C6052E">
        <w:t>sourced</w:t>
      </w:r>
      <w:r w:rsidR="00177848" w:rsidRPr="00C6052E">
        <w:t xml:space="preserve"> </w:t>
      </w:r>
      <w:r w:rsidRPr="00C6052E">
        <w:t>from</w:t>
      </w:r>
      <w:r w:rsidR="00177848" w:rsidRPr="00C6052E">
        <w:t xml:space="preserve"> </w:t>
      </w:r>
      <w:proofErr w:type="spellStart"/>
      <w:r w:rsidRPr="00C6052E">
        <w:t>DoTS</w:t>
      </w:r>
      <w:proofErr w:type="spellEnd"/>
      <w:r w:rsidR="00177848" w:rsidRPr="00C6052E">
        <w:t xml:space="preserve"> </w:t>
      </w:r>
      <w:r w:rsidRPr="00C6052E">
        <w:t>and</w:t>
      </w:r>
      <w:r w:rsidR="00177848" w:rsidRPr="00C6052E">
        <w:t xml:space="preserve"> </w:t>
      </w:r>
      <w:r w:rsidRPr="00C6052E">
        <w:t>are</w:t>
      </w:r>
      <w:r w:rsidR="00177848" w:rsidRPr="00C6052E">
        <w:t xml:space="preserve"> </w:t>
      </w:r>
      <w:r w:rsidRPr="00C6052E">
        <w:t>not</w:t>
      </w:r>
      <w:r w:rsidR="00177848" w:rsidRPr="00C6052E">
        <w:t xml:space="preserve"> </w:t>
      </w:r>
      <w:r w:rsidRPr="00C6052E">
        <w:t>comparable</w:t>
      </w:r>
      <w:r w:rsidR="00177848" w:rsidRPr="00C6052E">
        <w:t xml:space="preserve"> </w:t>
      </w:r>
      <w:r w:rsidRPr="00C6052E">
        <w:t>with</w:t>
      </w:r>
      <w:r w:rsidR="00177848" w:rsidRPr="00C6052E">
        <w:t xml:space="preserve"> </w:t>
      </w:r>
      <w:r w:rsidRPr="00C6052E">
        <w:t>previous</w:t>
      </w:r>
      <w:r w:rsidR="00177848" w:rsidRPr="00C6052E">
        <w:t xml:space="preserve"> </w:t>
      </w:r>
      <w:r w:rsidRPr="00C6052E">
        <w:t>NVS</w:t>
      </w:r>
      <w:r w:rsidR="00177848" w:rsidRPr="00C6052E">
        <w:t xml:space="preserve"> </w:t>
      </w:r>
      <w:r w:rsidRPr="00C6052E">
        <w:t>estimates.</w:t>
      </w:r>
      <w:r w:rsidR="00177848" w:rsidRPr="00C6052E">
        <w:t xml:space="preserve"> </w:t>
      </w:r>
      <w:proofErr w:type="spellStart"/>
      <w:r w:rsidRPr="00C6052E">
        <w:t>DoTS</w:t>
      </w:r>
      <w:proofErr w:type="spellEnd"/>
      <w:r w:rsidR="00177848" w:rsidRPr="00C6052E">
        <w:t xml:space="preserve"> </w:t>
      </w:r>
      <w:r w:rsidRPr="00C6052E">
        <w:t>March</w:t>
      </w:r>
      <w:r w:rsidR="00177848" w:rsidRPr="00C6052E">
        <w:t xml:space="preserve"> </w:t>
      </w:r>
      <w:r w:rsidRPr="00C6052E">
        <w:t>2025</w:t>
      </w:r>
      <w:r w:rsidR="00177848" w:rsidRPr="00C6052E">
        <w:t xml:space="preserve"> </w:t>
      </w:r>
      <w:r w:rsidRPr="00C6052E">
        <w:t>estimates</w:t>
      </w:r>
      <w:r w:rsidR="00177848" w:rsidRPr="00C6052E">
        <w:t xml:space="preserve"> </w:t>
      </w:r>
      <w:r w:rsidRPr="00C6052E">
        <w:t>published</w:t>
      </w:r>
      <w:r w:rsidR="00177848" w:rsidRPr="00C6052E">
        <w:t xml:space="preserve"> </w:t>
      </w:r>
      <w:r w:rsidRPr="00C6052E">
        <w:t>in</w:t>
      </w:r>
      <w:r w:rsidR="00177848" w:rsidRPr="00C6052E">
        <w:t xml:space="preserve"> </w:t>
      </w:r>
      <w:r w:rsidRPr="00C6052E">
        <w:t>June</w:t>
      </w:r>
      <w:r w:rsidR="00177848" w:rsidRPr="00C6052E">
        <w:t xml:space="preserve"> </w:t>
      </w:r>
      <w:r w:rsidRPr="00C6052E">
        <w:t>2025</w:t>
      </w:r>
      <w:r w:rsidR="00177848" w:rsidRPr="00C6052E">
        <w:t xml:space="preserve"> </w:t>
      </w:r>
      <w:r w:rsidRPr="00C6052E">
        <w:t>(subject</w:t>
      </w:r>
      <w:r w:rsidR="00177848" w:rsidRPr="00C6052E">
        <w:t xml:space="preserve"> </w:t>
      </w:r>
      <w:r w:rsidRPr="00C6052E">
        <w:t>to</w:t>
      </w:r>
      <w:r w:rsidR="00177848" w:rsidRPr="00C6052E">
        <w:t xml:space="preserve"> </w:t>
      </w:r>
      <w:r w:rsidRPr="00C6052E">
        <w:t>back</w:t>
      </w:r>
      <w:r w:rsidR="00177848" w:rsidRPr="00C6052E">
        <w:t xml:space="preserve"> </w:t>
      </w:r>
      <w:r w:rsidRPr="00C6052E">
        <w:t>casting</w:t>
      </w:r>
      <w:r w:rsidR="00177848" w:rsidRPr="00C6052E">
        <w:t xml:space="preserve"> </w:t>
      </w:r>
      <w:r w:rsidRPr="00C6052E">
        <w:t>revisions).</w:t>
      </w:r>
    </w:p>
    <w:p w14:paraId="2F596C1C" w14:textId="0FDB0894" w:rsidR="00EE5BB8" w:rsidRPr="00C6052E" w:rsidRDefault="00EE5BB8" w:rsidP="00EE5BB8">
      <w:pPr>
        <w:pStyle w:val="Tablenotes"/>
      </w:pPr>
      <w:r w:rsidRPr="00C6052E">
        <w:t>^</w:t>
      </w:r>
      <w:r w:rsidRPr="00C6052E">
        <w:tab/>
        <w:t>Exceptions:</w:t>
      </w:r>
      <w:r w:rsidR="00177848" w:rsidRPr="00C6052E">
        <w:t xml:space="preserve"> </w:t>
      </w:r>
      <w:r w:rsidRPr="00C6052E">
        <w:t>2024–25</w:t>
      </w:r>
      <w:r w:rsidR="00177848" w:rsidRPr="00C6052E">
        <w:t xml:space="preserve"> </w:t>
      </w:r>
      <w:r w:rsidRPr="00C6052E">
        <w:t>domestic</w:t>
      </w:r>
      <w:r w:rsidR="00177848" w:rsidRPr="00C6052E">
        <w:t xml:space="preserve"> </w:t>
      </w:r>
      <w:r w:rsidRPr="00C6052E">
        <w:t>expenditure</w:t>
      </w:r>
      <w:r w:rsidR="00177848" w:rsidRPr="00C6052E">
        <w:t xml:space="preserve"> </w:t>
      </w:r>
      <w:r w:rsidRPr="00C6052E">
        <w:t>data</w:t>
      </w:r>
      <w:r w:rsidR="00177848" w:rsidRPr="00C6052E">
        <w:t xml:space="preserve"> </w:t>
      </w:r>
      <w:r w:rsidRPr="00C6052E">
        <w:t>and</w:t>
      </w:r>
      <w:r w:rsidR="00177848" w:rsidRPr="00C6052E">
        <w:t xml:space="preserve"> </w:t>
      </w:r>
      <w:r w:rsidRPr="00C6052E">
        <w:t>2024–25</w:t>
      </w:r>
      <w:r w:rsidR="00177848" w:rsidRPr="00C6052E">
        <w:t xml:space="preserve"> </w:t>
      </w:r>
      <w:r w:rsidRPr="00C6052E">
        <w:t>domestic</w:t>
      </w:r>
      <w:r w:rsidR="00177848" w:rsidRPr="00C6052E">
        <w:t xml:space="preserve"> </w:t>
      </w:r>
      <w:r w:rsidRPr="00C6052E">
        <w:t>regional</w:t>
      </w:r>
      <w:r w:rsidR="00177848" w:rsidRPr="00C6052E">
        <w:t xml:space="preserve"> </w:t>
      </w:r>
      <w:r w:rsidRPr="00C6052E">
        <w:t>expenditure</w:t>
      </w:r>
      <w:r w:rsidR="00177848" w:rsidRPr="00C6052E">
        <w:t xml:space="preserve"> </w:t>
      </w:r>
      <w:r w:rsidRPr="00C6052E">
        <w:t>data</w:t>
      </w:r>
      <w:r w:rsidR="00177848" w:rsidRPr="00C6052E">
        <w:t xml:space="preserve"> </w:t>
      </w:r>
      <w:r w:rsidRPr="00C6052E">
        <w:t>are</w:t>
      </w:r>
      <w:r w:rsidR="00177848" w:rsidRPr="00C6052E">
        <w:t xml:space="preserve"> </w:t>
      </w:r>
      <w:r w:rsidRPr="00C6052E">
        <w:t>based</w:t>
      </w:r>
      <w:r w:rsidR="00177848" w:rsidRPr="00C6052E">
        <w:t xml:space="preserve"> </w:t>
      </w:r>
      <w:r w:rsidRPr="00C6052E">
        <w:t>on</w:t>
      </w:r>
      <w:r w:rsidR="00177848" w:rsidRPr="00C6052E">
        <w:t xml:space="preserve"> </w:t>
      </w:r>
      <w:r w:rsidRPr="00C6052E">
        <w:t>the</w:t>
      </w:r>
      <w:r w:rsidR="00177848" w:rsidRPr="00C6052E">
        <w:t xml:space="preserve"> </w:t>
      </w:r>
      <w:r w:rsidRPr="00C6052E">
        <w:t>NVS</w:t>
      </w:r>
      <w:r w:rsidR="00177848" w:rsidRPr="00C6052E">
        <w:t xml:space="preserve"> </w:t>
      </w:r>
      <w:r w:rsidRPr="00C6052E">
        <w:t>(year</w:t>
      </w:r>
      <w:r w:rsidR="00177848" w:rsidRPr="00C6052E">
        <w:t xml:space="preserve"> </w:t>
      </w:r>
      <w:r w:rsidRPr="00C6052E">
        <w:t>ending</w:t>
      </w:r>
      <w:r w:rsidR="00177848" w:rsidRPr="00C6052E">
        <w:t xml:space="preserve"> </w:t>
      </w:r>
      <w:r w:rsidRPr="00C6052E">
        <w:t>December</w:t>
      </w:r>
      <w:r w:rsidR="00177848" w:rsidRPr="00C6052E">
        <w:t xml:space="preserve"> </w:t>
      </w:r>
      <w:r w:rsidRPr="00C6052E">
        <w:t>2024),</w:t>
      </w:r>
      <w:r w:rsidR="00177848" w:rsidRPr="00C6052E">
        <w:t xml:space="preserve"> </w:t>
      </w:r>
      <w:r w:rsidRPr="00C6052E">
        <w:t>as</w:t>
      </w:r>
      <w:r w:rsidR="00177848" w:rsidRPr="00C6052E">
        <w:t xml:space="preserve"> </w:t>
      </w:r>
      <w:r w:rsidRPr="00C6052E">
        <w:t>detailed</w:t>
      </w:r>
      <w:r w:rsidR="00177848" w:rsidRPr="00C6052E">
        <w:t xml:space="preserve"> </w:t>
      </w:r>
      <w:proofErr w:type="spellStart"/>
      <w:r w:rsidRPr="00C6052E">
        <w:t>DoTS</w:t>
      </w:r>
      <w:proofErr w:type="spellEnd"/>
      <w:r w:rsidR="00177848" w:rsidRPr="00C6052E">
        <w:t xml:space="preserve"> </w:t>
      </w:r>
      <w:r w:rsidRPr="00C6052E">
        <w:t>results</w:t>
      </w:r>
      <w:r w:rsidR="00177848" w:rsidRPr="00C6052E">
        <w:t xml:space="preserve"> </w:t>
      </w:r>
      <w:r w:rsidRPr="00C6052E">
        <w:t>below</w:t>
      </w:r>
      <w:r w:rsidR="00177848" w:rsidRPr="00C6052E">
        <w:t xml:space="preserve"> </w:t>
      </w:r>
      <w:r w:rsidRPr="00C6052E">
        <w:t>the</w:t>
      </w:r>
      <w:r w:rsidR="00177848" w:rsidRPr="00C6052E">
        <w:t xml:space="preserve"> </w:t>
      </w:r>
      <w:r w:rsidRPr="00C6052E">
        <w:t>state</w:t>
      </w:r>
      <w:r w:rsidR="00177848" w:rsidRPr="00C6052E">
        <w:t xml:space="preserve"> </w:t>
      </w:r>
      <w:r w:rsidRPr="00C6052E">
        <w:t>level</w:t>
      </w:r>
      <w:r w:rsidR="00177848" w:rsidRPr="00C6052E">
        <w:t xml:space="preserve"> </w:t>
      </w:r>
      <w:r w:rsidRPr="00C6052E">
        <w:t>are</w:t>
      </w:r>
      <w:r w:rsidR="00177848" w:rsidRPr="00C6052E">
        <w:t xml:space="preserve"> </w:t>
      </w:r>
      <w:r w:rsidRPr="00C6052E">
        <w:t>not</w:t>
      </w:r>
      <w:r w:rsidR="00177848" w:rsidRPr="00C6052E">
        <w:t xml:space="preserve"> </w:t>
      </w:r>
      <w:r w:rsidRPr="00C6052E">
        <w:t>yet</w:t>
      </w:r>
      <w:r w:rsidR="00177848" w:rsidRPr="00C6052E">
        <w:t xml:space="preserve"> </w:t>
      </w:r>
      <w:r w:rsidRPr="00C6052E">
        <w:t>available.</w:t>
      </w:r>
    </w:p>
    <w:p w14:paraId="149531C3" w14:textId="6CA632FC" w:rsidR="00EE5BB8" w:rsidRPr="00C6052E" w:rsidRDefault="00EE5BB8" w:rsidP="00EE5BB8">
      <w:pPr>
        <w:pStyle w:val="Tablenotes"/>
      </w:pPr>
      <w:r w:rsidRPr="00C6052E">
        <w:t>**</w:t>
      </w:r>
      <w:r w:rsidR="00177848" w:rsidRPr="00C6052E">
        <w:t xml:space="preserve"> </w:t>
      </w:r>
      <w:r w:rsidRPr="00C6052E">
        <w:tab/>
        <w:t>Figures</w:t>
      </w:r>
      <w:r w:rsidR="00177848" w:rsidRPr="00C6052E">
        <w:t xml:space="preserve"> </w:t>
      </w:r>
      <w:r w:rsidRPr="00C6052E">
        <w:t>updated</w:t>
      </w:r>
      <w:r w:rsidR="00177848" w:rsidRPr="00C6052E">
        <w:t xml:space="preserve"> </w:t>
      </w:r>
      <w:r w:rsidRPr="00C6052E">
        <w:t>from</w:t>
      </w:r>
      <w:r w:rsidR="00177848" w:rsidRPr="00C6052E">
        <w:t xml:space="preserve"> </w:t>
      </w:r>
      <w:r w:rsidRPr="00C6052E">
        <w:t>previously</w:t>
      </w:r>
      <w:r w:rsidR="00177848" w:rsidRPr="00C6052E">
        <w:t xml:space="preserve"> </w:t>
      </w:r>
      <w:r w:rsidRPr="00C6052E">
        <w:t>published</w:t>
      </w:r>
      <w:r w:rsidR="00177848" w:rsidRPr="00C6052E">
        <w:t xml:space="preserve"> </w:t>
      </w:r>
      <w:r w:rsidRPr="00C6052E">
        <w:t>results.</w:t>
      </w:r>
    </w:p>
    <w:p w14:paraId="3AA2B32C" w14:textId="5F0F7747" w:rsidR="00EE5BB8" w:rsidRPr="00C6052E" w:rsidRDefault="00EE5BB8" w:rsidP="00EE5BB8">
      <w:pPr>
        <w:pStyle w:val="Tablenotes"/>
        <w:spacing w:after="240"/>
      </w:pPr>
      <w:r w:rsidRPr="00C6052E">
        <w:t>***</w:t>
      </w:r>
      <w:r w:rsidR="00177848" w:rsidRPr="00C6052E">
        <w:t xml:space="preserve"> </w:t>
      </w:r>
      <w:r w:rsidRPr="00C6052E">
        <w:tab/>
        <w:t>International</w:t>
      </w:r>
      <w:r w:rsidR="00177848" w:rsidRPr="00C6052E">
        <w:t xml:space="preserve"> </w:t>
      </w:r>
      <w:r w:rsidRPr="00C6052E">
        <w:t>visitor</w:t>
      </w:r>
      <w:r w:rsidR="00177848" w:rsidRPr="00C6052E">
        <w:t xml:space="preserve"> </w:t>
      </w:r>
      <w:r w:rsidRPr="00C6052E">
        <w:t>data</w:t>
      </w:r>
      <w:r w:rsidR="00177848" w:rsidRPr="00C6052E">
        <w:t xml:space="preserve"> </w:t>
      </w:r>
      <w:r w:rsidRPr="00C6052E">
        <w:t>was</w:t>
      </w:r>
      <w:r w:rsidR="00177848" w:rsidRPr="00C6052E">
        <w:t xml:space="preserve"> </w:t>
      </w:r>
      <w:r w:rsidRPr="00C6052E">
        <w:t>limited</w:t>
      </w:r>
      <w:r w:rsidR="00177848" w:rsidRPr="00C6052E">
        <w:t xml:space="preserve"> </w:t>
      </w:r>
      <w:r w:rsidRPr="00C6052E">
        <w:t>to</w:t>
      </w:r>
      <w:r w:rsidR="00177848" w:rsidRPr="00C6052E">
        <w:t xml:space="preserve"> </w:t>
      </w:r>
      <w:r w:rsidRPr="00C6052E">
        <w:t>state-wide</w:t>
      </w:r>
      <w:r w:rsidR="00177848" w:rsidRPr="00C6052E">
        <w:t xml:space="preserve"> </w:t>
      </w:r>
      <w:r w:rsidRPr="00C6052E">
        <w:t>results</w:t>
      </w:r>
      <w:r w:rsidR="00177848" w:rsidRPr="00C6052E">
        <w:t xml:space="preserve"> </w:t>
      </w:r>
      <w:r w:rsidRPr="00C6052E">
        <w:t>between</w:t>
      </w:r>
      <w:r w:rsidR="00177848" w:rsidRPr="00C6052E">
        <w:t xml:space="preserve"> </w:t>
      </w:r>
      <w:r w:rsidRPr="00C6052E">
        <w:t>2020-21</w:t>
      </w:r>
      <w:r w:rsidR="00177848" w:rsidRPr="00C6052E">
        <w:t xml:space="preserve"> </w:t>
      </w:r>
      <w:r w:rsidRPr="00C6052E">
        <w:t>and</w:t>
      </w:r>
      <w:r w:rsidR="00177848" w:rsidRPr="00C6052E">
        <w:t xml:space="preserve"> </w:t>
      </w:r>
      <w:r w:rsidRPr="00C6052E">
        <w:t>2022-23.</w:t>
      </w:r>
    </w:p>
    <w:p w14:paraId="0EC074B5" w14:textId="4555E2A9" w:rsidR="00EE5BB8" w:rsidRPr="00C6052E" w:rsidRDefault="00EE5BB8" w:rsidP="00EE5BB8">
      <w:pPr>
        <w:pStyle w:val="TableHeading"/>
      </w:pPr>
      <w:r w:rsidRPr="00C6052E">
        <w:lastRenderedPageBreak/>
        <w:t>Figure</w:t>
      </w:r>
      <w:r w:rsidR="00177848" w:rsidRPr="00C6052E">
        <w:t xml:space="preserve"> </w:t>
      </w:r>
      <w:r w:rsidRPr="00C6052E">
        <w:t>19:</w:t>
      </w:r>
      <w:r w:rsidR="00177848" w:rsidRPr="00C6052E">
        <w:t xml:space="preserve"> </w:t>
      </w:r>
      <w:r w:rsidRPr="00C6052E">
        <w:t>Number</w:t>
      </w:r>
      <w:r w:rsidR="00177848" w:rsidRPr="00C6052E">
        <w:t xml:space="preserve"> </w:t>
      </w:r>
      <w:r w:rsidRPr="00C6052E">
        <w:t>of</w:t>
      </w:r>
      <w:r w:rsidR="00177848" w:rsidRPr="00C6052E">
        <w:t xml:space="preserve"> </w:t>
      </w:r>
      <w:r w:rsidRPr="00C6052E">
        <w:t>domestic</w:t>
      </w:r>
      <w:r w:rsidR="00177848" w:rsidRPr="00C6052E">
        <w:t xml:space="preserve"> </w:t>
      </w:r>
      <w:r w:rsidRPr="00C6052E">
        <w:t>overnight</w:t>
      </w:r>
      <w:r w:rsidR="00177848" w:rsidRPr="00C6052E">
        <w:t xml:space="preserve"> </w:t>
      </w:r>
      <w:r w:rsidRPr="00C6052E">
        <w:t>visitors</w:t>
      </w:r>
    </w:p>
    <w:p w14:paraId="0849EF71" w14:textId="77777777" w:rsidR="00EE5BB8" w:rsidRPr="00C6052E" w:rsidRDefault="00EE5BB8" w:rsidP="00EE5BB8">
      <w:pPr>
        <w:pStyle w:val="Graph"/>
        <w:rPr>
          <w:noProof w:val="0"/>
        </w:rPr>
      </w:pPr>
      <w:r w:rsidRPr="00C6052E">
        <w:drawing>
          <wp:inline distT="0" distB="0" distL="0" distR="0" wp14:anchorId="5FD4664C" wp14:editId="54CEC97D">
            <wp:extent cx="4050000" cy="2700000"/>
            <wp:effectExtent l="0" t="0" r="0" b="0"/>
            <wp:docPr id="716703837" name="Chart 1" descr="Line graph showing data from Table 20: Tourists attracted to Victoria (above).">
              <a:extLst xmlns:a="http://schemas.openxmlformats.org/drawingml/2006/main">
                <a:ext uri="{FF2B5EF4-FFF2-40B4-BE49-F238E27FC236}">
                  <a16:creationId xmlns:a16="http://schemas.microsoft.com/office/drawing/2014/main" id="{00000000-0008-0000-0600-00001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773718F" w14:textId="42A955EC" w:rsidR="00EE5BB8" w:rsidRPr="00C6052E" w:rsidRDefault="00EE5BB8" w:rsidP="00EE5BB8">
      <w:pPr>
        <w:pStyle w:val="TableHeading"/>
      </w:pPr>
      <w:r w:rsidRPr="00C6052E">
        <w:t>Figure</w:t>
      </w:r>
      <w:r w:rsidR="00177848" w:rsidRPr="00C6052E">
        <w:t xml:space="preserve"> </w:t>
      </w:r>
      <w:r w:rsidRPr="00C6052E">
        <w:t>20:</w:t>
      </w:r>
      <w:r w:rsidR="00177848" w:rsidRPr="00C6052E">
        <w:t xml:space="preserve"> </w:t>
      </w:r>
      <w:r w:rsidRPr="00C6052E">
        <w:t>Number</w:t>
      </w:r>
      <w:r w:rsidR="00177848" w:rsidRPr="00C6052E">
        <w:t xml:space="preserve"> </w:t>
      </w:r>
      <w:r w:rsidRPr="00C6052E">
        <w:t>of</w:t>
      </w:r>
      <w:r w:rsidR="00177848" w:rsidRPr="00C6052E">
        <w:t xml:space="preserve"> </w:t>
      </w:r>
      <w:r w:rsidRPr="00C6052E">
        <w:t>international</w:t>
      </w:r>
      <w:r w:rsidR="00177848" w:rsidRPr="00C6052E">
        <w:t xml:space="preserve"> </w:t>
      </w:r>
      <w:r w:rsidRPr="00C6052E">
        <w:t>visitors</w:t>
      </w:r>
    </w:p>
    <w:p w14:paraId="42D83492" w14:textId="77777777" w:rsidR="00EE5BB8" w:rsidRPr="00C6052E" w:rsidRDefault="00EE5BB8" w:rsidP="00EE5BB8">
      <w:pPr>
        <w:pStyle w:val="Graph"/>
        <w:rPr>
          <w:noProof w:val="0"/>
        </w:rPr>
      </w:pPr>
      <w:r w:rsidRPr="00C6052E">
        <w:drawing>
          <wp:inline distT="0" distB="0" distL="0" distR="0" wp14:anchorId="34625D0F" wp14:editId="4784248F">
            <wp:extent cx="4050000" cy="2700000"/>
            <wp:effectExtent l="0" t="0" r="0" b="0"/>
            <wp:docPr id="1881059217" name="Chart 1" descr="Line graph showing data from Table 20: Tourists attracted to Victoria (above).">
              <a:extLst xmlns:a="http://schemas.openxmlformats.org/drawingml/2006/main">
                <a:ext uri="{FF2B5EF4-FFF2-40B4-BE49-F238E27FC236}">
                  <a16:creationId xmlns:a16="http://schemas.microsoft.com/office/drawing/2014/main" id="{00000000-0008-0000-0600-000013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B6592A9" w14:textId="642CFF37" w:rsidR="00EE5BB8" w:rsidRPr="00C6052E" w:rsidRDefault="00EE5BB8" w:rsidP="00EE5BB8">
      <w:pPr>
        <w:pStyle w:val="TableHeading"/>
      </w:pPr>
      <w:r w:rsidRPr="00C6052E">
        <w:t>Figure</w:t>
      </w:r>
      <w:r w:rsidR="00177848" w:rsidRPr="00C6052E">
        <w:t xml:space="preserve"> </w:t>
      </w:r>
      <w:r w:rsidRPr="00C6052E">
        <w:t>21:</w:t>
      </w:r>
      <w:r w:rsidR="00177848" w:rsidRPr="00C6052E">
        <w:t xml:space="preserve"> </w:t>
      </w:r>
      <w:r w:rsidRPr="00C6052E">
        <w:t>Visitor</w:t>
      </w:r>
      <w:r w:rsidR="00177848" w:rsidRPr="00C6052E">
        <w:t xml:space="preserve"> </w:t>
      </w:r>
      <w:r w:rsidRPr="00C6052E">
        <w:t>expenditure:</w:t>
      </w:r>
      <w:r w:rsidR="00177848" w:rsidRPr="00C6052E">
        <w:t xml:space="preserve"> </w:t>
      </w:r>
      <w:r w:rsidRPr="00C6052E">
        <w:t>domestic</w:t>
      </w:r>
    </w:p>
    <w:p w14:paraId="02B8647F" w14:textId="77777777" w:rsidR="00EE5BB8" w:rsidRPr="00C6052E" w:rsidRDefault="00EE5BB8" w:rsidP="00EE5BB8">
      <w:pPr>
        <w:pStyle w:val="Graph"/>
        <w:rPr>
          <w:noProof w:val="0"/>
        </w:rPr>
      </w:pPr>
      <w:r w:rsidRPr="00C6052E">
        <w:drawing>
          <wp:inline distT="0" distB="0" distL="0" distR="0" wp14:anchorId="515EB4D8" wp14:editId="39E6754B">
            <wp:extent cx="4050000" cy="2700000"/>
            <wp:effectExtent l="0" t="0" r="8255" b="0"/>
            <wp:docPr id="120963555" name="Chart 1" descr="Line graph showing data from Table 20: Tourists attracted to Victoria (above).">
              <a:extLst xmlns:a="http://schemas.openxmlformats.org/drawingml/2006/main">
                <a:ext uri="{FF2B5EF4-FFF2-40B4-BE49-F238E27FC236}">
                  <a16:creationId xmlns:a16="http://schemas.microsoft.com/office/drawing/2014/main" id="{00000000-0008-0000-0600-000014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6F3FC6E" w14:textId="6AB81953" w:rsidR="00EE5BB8" w:rsidRPr="00C6052E" w:rsidRDefault="00EE5BB8" w:rsidP="00EE5BB8">
      <w:pPr>
        <w:pStyle w:val="TableHeading"/>
      </w:pPr>
      <w:r w:rsidRPr="00C6052E">
        <w:lastRenderedPageBreak/>
        <w:t>Figure</w:t>
      </w:r>
      <w:r w:rsidR="00177848" w:rsidRPr="00C6052E">
        <w:t xml:space="preserve"> </w:t>
      </w:r>
      <w:r w:rsidRPr="00C6052E">
        <w:t>22:</w:t>
      </w:r>
      <w:r w:rsidR="00177848" w:rsidRPr="00C6052E">
        <w:t xml:space="preserve"> </w:t>
      </w:r>
      <w:r w:rsidRPr="00C6052E">
        <w:t>Visitor</w:t>
      </w:r>
      <w:r w:rsidR="00177848" w:rsidRPr="00C6052E">
        <w:t xml:space="preserve"> </w:t>
      </w:r>
      <w:r w:rsidRPr="00C6052E">
        <w:t>expenditure:</w:t>
      </w:r>
      <w:r w:rsidR="00177848" w:rsidRPr="00C6052E">
        <w:t xml:space="preserve"> </w:t>
      </w:r>
      <w:r w:rsidRPr="00C6052E">
        <w:t>international</w:t>
      </w:r>
    </w:p>
    <w:p w14:paraId="0927ECD2" w14:textId="77777777" w:rsidR="00EE5BB8" w:rsidRPr="00C6052E" w:rsidRDefault="00EE5BB8" w:rsidP="00EE5BB8">
      <w:pPr>
        <w:pStyle w:val="Graph"/>
        <w:rPr>
          <w:noProof w:val="0"/>
        </w:rPr>
      </w:pPr>
      <w:r w:rsidRPr="00C6052E">
        <w:drawing>
          <wp:inline distT="0" distB="0" distL="0" distR="0" wp14:anchorId="4E8AAC8A" wp14:editId="4D574396">
            <wp:extent cx="4050000" cy="2700000"/>
            <wp:effectExtent l="0" t="0" r="0" b="0"/>
            <wp:docPr id="1237058660" name="Chart 1" descr="Line graph showing data from Table 20: Tourists attracted to Victoria (above).">
              <a:extLst xmlns:a="http://schemas.openxmlformats.org/drawingml/2006/main">
                <a:ext uri="{FF2B5EF4-FFF2-40B4-BE49-F238E27FC236}">
                  <a16:creationId xmlns:a16="http://schemas.microsoft.com/office/drawing/2014/main" id="{00000000-0008-0000-0600-000015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B4EB36" w14:textId="31E47F2C" w:rsidR="00EE5BB8" w:rsidRPr="00C6052E" w:rsidRDefault="00EE5BB8" w:rsidP="00EE5BB8">
      <w:pPr>
        <w:pStyle w:val="TableHeading"/>
      </w:pPr>
      <w:r w:rsidRPr="00C6052E">
        <w:t>Figure</w:t>
      </w:r>
      <w:r w:rsidR="00177848" w:rsidRPr="00C6052E">
        <w:t xml:space="preserve"> </w:t>
      </w:r>
      <w:r w:rsidRPr="00C6052E">
        <w:t>23:</w:t>
      </w:r>
      <w:r w:rsidR="00177848" w:rsidRPr="00C6052E">
        <w:t xml:space="preserve"> </w:t>
      </w:r>
      <w:r w:rsidRPr="00C6052E">
        <w:t>Visitor</w:t>
      </w:r>
      <w:r w:rsidR="00177848" w:rsidRPr="00C6052E">
        <w:t xml:space="preserve"> </w:t>
      </w:r>
      <w:r w:rsidRPr="00C6052E">
        <w:t>expenditure:</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(domestic)</w:t>
      </w:r>
    </w:p>
    <w:p w14:paraId="46B055ED" w14:textId="77777777" w:rsidR="00EE5BB8" w:rsidRPr="00C6052E" w:rsidRDefault="00EE5BB8" w:rsidP="00EE5BB8">
      <w:pPr>
        <w:pStyle w:val="Graph"/>
        <w:rPr>
          <w:noProof w:val="0"/>
        </w:rPr>
      </w:pPr>
      <w:r w:rsidRPr="00C6052E">
        <w:drawing>
          <wp:inline distT="0" distB="0" distL="0" distR="0" wp14:anchorId="4FB77F98" wp14:editId="32E55D84">
            <wp:extent cx="4050000" cy="2700000"/>
            <wp:effectExtent l="0" t="0" r="0" b="0"/>
            <wp:docPr id="1514246258" name="Chart 1" descr="Line graph showing data from Table 20: Tourists attracted to Victoria (above).">
              <a:extLst xmlns:a="http://schemas.openxmlformats.org/drawingml/2006/main">
                <a:ext uri="{FF2B5EF4-FFF2-40B4-BE49-F238E27FC236}">
                  <a16:creationId xmlns:a16="http://schemas.microsoft.com/office/drawing/2014/main" id="{00000000-0008-0000-0600-000016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5DD40BB" w14:textId="3292F450" w:rsidR="00EE5BB8" w:rsidRPr="00C6052E" w:rsidRDefault="00EE5BB8" w:rsidP="00EE5BB8">
      <w:pPr>
        <w:pStyle w:val="TableHeading"/>
      </w:pPr>
      <w:r w:rsidRPr="00C6052E">
        <w:t>Figure</w:t>
      </w:r>
      <w:r w:rsidR="00177848" w:rsidRPr="00C6052E">
        <w:t xml:space="preserve"> </w:t>
      </w:r>
      <w:r w:rsidRPr="00C6052E">
        <w:t>24:</w:t>
      </w:r>
      <w:r w:rsidR="00177848" w:rsidRPr="00C6052E">
        <w:t xml:space="preserve"> </w:t>
      </w:r>
      <w:r w:rsidRPr="00C6052E">
        <w:t>Visitor</w:t>
      </w:r>
      <w:r w:rsidR="00177848" w:rsidRPr="00C6052E">
        <w:t xml:space="preserve"> </w:t>
      </w:r>
      <w:r w:rsidRPr="00C6052E">
        <w:t>expenditure:</w:t>
      </w:r>
      <w:r w:rsidR="00177848" w:rsidRPr="00C6052E">
        <w:t xml:space="preserve"> </w:t>
      </w:r>
      <w:r w:rsidRPr="00C6052E">
        <w:t>regional</w:t>
      </w:r>
      <w:r w:rsidR="00177848" w:rsidRPr="00C6052E">
        <w:t xml:space="preserve"> </w:t>
      </w:r>
      <w:r w:rsidRPr="00C6052E">
        <w:t>Victoria</w:t>
      </w:r>
      <w:r w:rsidR="00177848" w:rsidRPr="00C6052E">
        <w:t xml:space="preserve"> </w:t>
      </w:r>
      <w:r w:rsidRPr="00C6052E">
        <w:t>(international)</w:t>
      </w:r>
    </w:p>
    <w:p w14:paraId="44094BC1" w14:textId="77777777" w:rsidR="00EE5BB8" w:rsidRPr="00C6052E" w:rsidRDefault="00EE5BB8" w:rsidP="00EE5BB8">
      <w:pPr>
        <w:pStyle w:val="Graph"/>
        <w:rPr>
          <w:noProof w:val="0"/>
        </w:rPr>
      </w:pPr>
      <w:r w:rsidRPr="00C6052E">
        <w:rPr>
          <w:sz w:val="14"/>
          <w:szCs w:val="14"/>
        </w:rPr>
        <w:drawing>
          <wp:inline distT="0" distB="0" distL="0" distR="0" wp14:anchorId="13CD2D54" wp14:editId="67D03DD7">
            <wp:extent cx="4050000" cy="2700000"/>
            <wp:effectExtent l="0" t="0" r="8255" b="0"/>
            <wp:docPr id="1423943894" name="Chart 1" descr="Line graph showing data from Table 20: Tourists attracted to Victoria (above).">
              <a:extLst xmlns:a="http://schemas.openxmlformats.org/drawingml/2006/main">
                <a:ext uri="{FF2B5EF4-FFF2-40B4-BE49-F238E27FC236}">
                  <a16:creationId xmlns:a16="http://schemas.microsoft.com/office/drawing/2014/main" id="{00000000-0008-0000-0600-000017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3AC14D7" w14:textId="7009F583" w:rsidR="00EE5BB8" w:rsidRPr="00C6052E" w:rsidRDefault="00EE5BB8" w:rsidP="00EE5BB8">
      <w:r w:rsidRPr="00C6052E">
        <w:lastRenderedPageBreak/>
        <w:t>Victoria’s</w:t>
      </w:r>
      <w:r w:rsidR="00177848" w:rsidRPr="00C6052E">
        <w:t xml:space="preserve"> </w:t>
      </w:r>
      <w:r w:rsidRPr="00C6052E">
        <w:t>tourism</w:t>
      </w:r>
      <w:r w:rsidR="00177848" w:rsidRPr="00C6052E">
        <w:t xml:space="preserve"> </w:t>
      </w:r>
      <w:r w:rsidRPr="00C6052E">
        <w:t>sector</w:t>
      </w:r>
      <w:r w:rsidR="00177848" w:rsidRPr="00C6052E">
        <w:t xml:space="preserve"> </w:t>
      </w:r>
      <w:r w:rsidRPr="00C6052E">
        <w:t>has</w:t>
      </w:r>
      <w:r w:rsidR="00177848" w:rsidRPr="00C6052E">
        <w:t xml:space="preserve"> </w:t>
      </w:r>
      <w:r w:rsidRPr="00C6052E">
        <w:t>broken</w:t>
      </w:r>
      <w:r w:rsidR="00177848" w:rsidRPr="00C6052E">
        <w:t xml:space="preserve"> </w:t>
      </w:r>
      <w:r w:rsidRPr="00C6052E">
        <w:t>a</w:t>
      </w:r>
      <w:r w:rsidR="00177848" w:rsidRPr="00C6052E">
        <w:t xml:space="preserve"> </w:t>
      </w:r>
      <w:r w:rsidRPr="00C6052E">
        <w:t>new</w:t>
      </w:r>
      <w:r w:rsidR="00177848" w:rsidRPr="00C6052E">
        <w:t xml:space="preserve"> </w:t>
      </w:r>
      <w:r w:rsidRPr="00C6052E">
        <w:t>record</w:t>
      </w:r>
      <w:r w:rsidR="00177848" w:rsidRPr="00C6052E">
        <w:t xml:space="preserve"> </w:t>
      </w:r>
      <w:r w:rsidRPr="00C6052E">
        <w:t>to</w:t>
      </w:r>
      <w:r w:rsidR="00177848" w:rsidRPr="00C6052E">
        <w:t xml:space="preserve"> </w:t>
      </w:r>
      <w:r w:rsidRPr="00C6052E">
        <w:t>reach</w:t>
      </w:r>
      <w:r w:rsidR="00177848" w:rsidRPr="00C6052E">
        <w:t xml:space="preserve"> </w:t>
      </w:r>
      <w:r w:rsidRPr="00C6052E">
        <w:t>$40</w:t>
      </w:r>
      <w:r w:rsidR="00177848" w:rsidRPr="00C6052E">
        <w:t xml:space="preserve"> </w:t>
      </w:r>
      <w:r w:rsidRPr="00C6052E">
        <w:t>billion</w:t>
      </w:r>
      <w:r w:rsidR="00177848" w:rsidRPr="00C6052E">
        <w:t xml:space="preserve"> </w:t>
      </w:r>
      <w:r w:rsidRPr="00C6052E">
        <w:t>in</w:t>
      </w:r>
      <w:r w:rsidR="00177848" w:rsidRPr="00C6052E">
        <w:t xml:space="preserve"> </w:t>
      </w:r>
      <w:r w:rsidRPr="00C6052E">
        <w:t>total</w:t>
      </w:r>
      <w:r w:rsidR="00177848" w:rsidRPr="00C6052E">
        <w:t xml:space="preserve"> </w:t>
      </w:r>
      <w:r w:rsidRPr="00C6052E">
        <w:t>visitor</w:t>
      </w:r>
      <w:r w:rsidR="00177848" w:rsidRPr="00C6052E">
        <w:t xml:space="preserve"> </w:t>
      </w:r>
      <w:r w:rsidRPr="00C6052E">
        <w:t>spend</w:t>
      </w:r>
      <w:r w:rsidR="00177848" w:rsidRPr="00C6052E">
        <w:t xml:space="preserve"> </w:t>
      </w:r>
      <w:r w:rsidRPr="00C6052E">
        <w:t>for</w:t>
      </w:r>
      <w:r w:rsidR="00177848" w:rsidRPr="00C6052E">
        <w:t xml:space="preserve"> </w:t>
      </w:r>
      <w:r w:rsidRPr="00C6052E">
        <w:t>the</w:t>
      </w:r>
      <w:r w:rsidR="00177848" w:rsidRPr="00C6052E">
        <w:t xml:space="preserve"> </w:t>
      </w:r>
      <w:r w:rsidRPr="00C6052E">
        <w:t>year</w:t>
      </w:r>
      <w:r w:rsidR="00177848" w:rsidRPr="00C6052E">
        <w:t xml:space="preserve"> </w:t>
      </w:r>
      <w:r w:rsidRPr="00C6052E">
        <w:t>ending</w:t>
      </w:r>
      <w:r w:rsidR="00177848" w:rsidRPr="00C6052E">
        <w:t xml:space="preserve"> </w:t>
      </w:r>
      <w:r w:rsidRPr="00C6052E">
        <w:t>December</w:t>
      </w:r>
      <w:r w:rsidR="00177848" w:rsidRPr="00C6052E">
        <w:t xml:space="preserve"> </w:t>
      </w:r>
      <w:r w:rsidRPr="00C6052E">
        <w:t>2024.</w:t>
      </w:r>
      <w:r w:rsidR="00177848" w:rsidRPr="00C6052E">
        <w:t xml:space="preserve"> </w:t>
      </w:r>
    </w:p>
    <w:p w14:paraId="6BA83AE5" w14:textId="170220EA" w:rsidR="00EE5BB8" w:rsidRPr="00C6052E" w:rsidRDefault="00EE5BB8" w:rsidP="00EE5BB8">
      <w:pPr>
        <w:pStyle w:val="Heading4"/>
      </w:pPr>
      <w:r w:rsidRPr="00C6052E">
        <w:t>Domestic</w:t>
      </w:r>
      <w:r w:rsidR="00177848" w:rsidRPr="00C6052E">
        <w:t xml:space="preserve"> </w:t>
      </w:r>
      <w:r w:rsidRPr="00C6052E">
        <w:t>overnight</w:t>
      </w:r>
      <w:r w:rsidR="00177848" w:rsidRPr="00C6052E">
        <w:t xml:space="preserve"> </w:t>
      </w:r>
      <w:r w:rsidRPr="00C6052E">
        <w:t>visitation</w:t>
      </w:r>
    </w:p>
    <w:p w14:paraId="2FE84546" w14:textId="3C3ACF8C" w:rsidR="00EE5BB8" w:rsidRPr="00C6052E" w:rsidRDefault="00EE5BB8" w:rsidP="00EE5BB8">
      <w:r w:rsidRPr="00C6052E">
        <w:t>The</w:t>
      </w:r>
      <w:r w:rsidR="00177848" w:rsidRPr="00C6052E">
        <w:t xml:space="preserve"> </w:t>
      </w:r>
      <w:r w:rsidRPr="00C6052E">
        <w:t>latest</w:t>
      </w:r>
      <w:r w:rsidR="00177848" w:rsidRPr="00C6052E">
        <w:t xml:space="preserve"> </w:t>
      </w:r>
      <w:r w:rsidRPr="00C6052E">
        <w:t>year</w:t>
      </w:r>
      <w:r w:rsidR="00177848" w:rsidRPr="00C6052E">
        <w:t xml:space="preserve"> </w:t>
      </w:r>
      <w:r w:rsidRPr="00C6052E">
        <w:t>ending</w:t>
      </w:r>
      <w:r w:rsidR="00177848" w:rsidRPr="00C6052E">
        <w:t xml:space="preserve"> </w:t>
      </w:r>
      <w:r w:rsidRPr="00C6052E">
        <w:t>March</w:t>
      </w:r>
      <w:r w:rsidR="00177848" w:rsidRPr="00C6052E">
        <w:t xml:space="preserve"> </w:t>
      </w:r>
      <w:r w:rsidRPr="00C6052E">
        <w:t>2025</w:t>
      </w:r>
      <w:r w:rsidR="00177848" w:rsidRPr="00C6052E">
        <w:t xml:space="preserve"> </w:t>
      </w:r>
      <w:r w:rsidRPr="00C6052E">
        <w:t>estimates</w:t>
      </w:r>
      <w:r w:rsidR="00177848" w:rsidRPr="00C6052E">
        <w:t xml:space="preserve"> </w:t>
      </w:r>
      <w:r w:rsidRPr="00C6052E">
        <w:t>from</w:t>
      </w:r>
      <w:r w:rsidR="00177848" w:rsidRPr="00C6052E">
        <w:t xml:space="preserve"> </w:t>
      </w:r>
      <w:r w:rsidRPr="00C6052E">
        <w:t>the</w:t>
      </w:r>
      <w:r w:rsidR="00177848" w:rsidRPr="00C6052E">
        <w:t xml:space="preserve"> </w:t>
      </w:r>
      <w:r w:rsidRPr="00C6052E">
        <w:t>Domestic</w:t>
      </w:r>
      <w:r w:rsidR="00177848" w:rsidRPr="00C6052E">
        <w:t xml:space="preserve"> </w:t>
      </w:r>
      <w:r w:rsidRPr="00C6052E">
        <w:t>Tourism</w:t>
      </w:r>
      <w:r w:rsidR="00177848" w:rsidRPr="00C6052E">
        <w:t xml:space="preserve"> </w:t>
      </w:r>
      <w:r w:rsidRPr="00C6052E">
        <w:t>Statistics</w:t>
      </w:r>
      <w:r w:rsidR="00177848" w:rsidRPr="00C6052E">
        <w:t xml:space="preserve"> </w:t>
      </w:r>
      <w:r w:rsidRPr="00C6052E">
        <w:t>(</w:t>
      </w:r>
      <w:proofErr w:type="spellStart"/>
      <w:r w:rsidRPr="00C6052E">
        <w:t>DoTS</w:t>
      </w:r>
      <w:proofErr w:type="spellEnd"/>
      <w:r w:rsidRPr="00C6052E">
        <w:t>)</w:t>
      </w:r>
      <w:r w:rsidRPr="00C6052E">
        <w:rPr>
          <w:rStyle w:val="FootnoteReference"/>
        </w:rPr>
        <w:footnoteReference w:id="3"/>
      </w:r>
      <w:r w:rsidR="00177848" w:rsidRPr="00C6052E">
        <w:t xml:space="preserve"> </w:t>
      </w:r>
      <w:r w:rsidRPr="00C6052E">
        <w:t>reveal</w:t>
      </w:r>
      <w:r w:rsidR="00177848" w:rsidRPr="00C6052E">
        <w:t xml:space="preserve"> </w:t>
      </w:r>
      <w:r w:rsidRPr="00C6052E">
        <w:t>that</w:t>
      </w:r>
      <w:r w:rsidR="00177848" w:rsidRPr="00C6052E">
        <w:t xml:space="preserve"> </w:t>
      </w:r>
      <w:r w:rsidRPr="00C6052E">
        <w:t>domestic</w:t>
      </w:r>
      <w:r w:rsidR="00177848" w:rsidRPr="00C6052E">
        <w:t xml:space="preserve"> </w:t>
      </w:r>
      <w:r w:rsidRPr="00C6052E">
        <w:t>overnight</w:t>
      </w:r>
      <w:r w:rsidR="00177848" w:rsidRPr="00C6052E">
        <w:t xml:space="preserve"> </w:t>
      </w:r>
      <w:r w:rsidRPr="00C6052E">
        <w:t>tourism</w:t>
      </w:r>
      <w:r w:rsidR="00177848" w:rsidRPr="00C6052E">
        <w:t xml:space="preserve"> </w:t>
      </w:r>
      <w:r w:rsidRPr="00C6052E">
        <w:t>growth</w:t>
      </w:r>
      <w:r w:rsidR="00177848" w:rsidRPr="00C6052E">
        <w:t xml:space="preserve"> </w:t>
      </w:r>
      <w:r w:rsidRPr="00C6052E">
        <w:t>remains</w:t>
      </w:r>
      <w:r w:rsidR="00177848" w:rsidRPr="00C6052E">
        <w:t xml:space="preserve"> </w:t>
      </w:r>
      <w:r w:rsidRPr="00C6052E">
        <w:t>subdued,</w:t>
      </w:r>
      <w:r w:rsidR="00177848" w:rsidRPr="00C6052E">
        <w:t xml:space="preserve"> </w:t>
      </w:r>
      <w:r w:rsidRPr="00C6052E">
        <w:t>up</w:t>
      </w:r>
      <w:r w:rsidR="00177848" w:rsidRPr="00C6052E">
        <w:t xml:space="preserve"> </w:t>
      </w:r>
      <w:r w:rsidRPr="00C6052E">
        <w:t>1%</w:t>
      </w:r>
      <w:r w:rsidR="00177848" w:rsidRPr="00C6052E">
        <w:t xml:space="preserve"> </w:t>
      </w:r>
      <w:r w:rsidRPr="00C6052E">
        <w:t>year-on-year</w:t>
      </w:r>
      <w:r w:rsidR="00177848" w:rsidRPr="00C6052E">
        <w:t xml:space="preserve"> </w:t>
      </w:r>
      <w:r w:rsidRPr="00C6052E">
        <w:t>to</w:t>
      </w:r>
      <w:r w:rsidR="00177848" w:rsidRPr="00C6052E">
        <w:t xml:space="preserve"> </w:t>
      </w:r>
      <w:r w:rsidRPr="00C6052E">
        <w:t>$25</w:t>
      </w:r>
      <w:r w:rsidR="00177848" w:rsidRPr="00C6052E">
        <w:t xml:space="preserve"> </w:t>
      </w:r>
      <w:r w:rsidRPr="00C6052E">
        <w:t>billion,</w:t>
      </w:r>
      <w:r w:rsidR="00177848" w:rsidRPr="00C6052E">
        <w:t xml:space="preserve"> </w:t>
      </w:r>
      <w:r w:rsidRPr="00C6052E">
        <w:t>reflecting</w:t>
      </w:r>
      <w:r w:rsidR="00177848" w:rsidRPr="00C6052E">
        <w:t xml:space="preserve"> </w:t>
      </w:r>
      <w:r w:rsidRPr="00C6052E">
        <w:t>persistent</w:t>
      </w:r>
      <w:r w:rsidR="00177848" w:rsidRPr="00C6052E">
        <w:t xml:space="preserve"> </w:t>
      </w:r>
      <w:r w:rsidRPr="00C6052E">
        <w:t>headwinds</w:t>
      </w:r>
      <w:r w:rsidR="00177848" w:rsidRPr="00C6052E">
        <w:t xml:space="preserve"> </w:t>
      </w:r>
      <w:r w:rsidRPr="00C6052E">
        <w:t>in</w:t>
      </w:r>
      <w:r w:rsidR="00177848" w:rsidRPr="00C6052E">
        <w:t xml:space="preserve"> </w:t>
      </w:r>
      <w:r w:rsidRPr="00C6052E">
        <w:t>the</w:t>
      </w:r>
      <w:r w:rsidR="00177848" w:rsidRPr="00C6052E">
        <w:t xml:space="preserve"> </w:t>
      </w:r>
      <w:r w:rsidRPr="00C6052E">
        <w:t>Australian</w:t>
      </w:r>
      <w:r w:rsidR="00177848" w:rsidRPr="00C6052E">
        <w:t xml:space="preserve"> </w:t>
      </w:r>
      <w:r w:rsidRPr="00C6052E">
        <w:t>economy.</w:t>
      </w:r>
    </w:p>
    <w:p w14:paraId="7CB65F6C" w14:textId="7E8A62CB" w:rsidR="00EE5BB8" w:rsidRPr="00C6052E" w:rsidRDefault="00EE5BB8" w:rsidP="00EE5BB8">
      <w:r w:rsidRPr="00C6052E">
        <w:t>Melbourne</w:t>
      </w:r>
      <w:r w:rsidR="00177848" w:rsidRPr="00C6052E">
        <w:t xml:space="preserve"> </w:t>
      </w:r>
      <w:r w:rsidRPr="00C6052E">
        <w:t>recorded</w:t>
      </w:r>
      <w:r w:rsidR="00177848" w:rsidRPr="00C6052E">
        <w:t xml:space="preserve"> </w:t>
      </w:r>
      <w:r w:rsidRPr="00C6052E">
        <w:t>the</w:t>
      </w:r>
      <w:r w:rsidR="00177848" w:rsidRPr="00C6052E">
        <w:t xml:space="preserve"> </w:t>
      </w:r>
      <w:r w:rsidRPr="00C6052E">
        <w:t>highest</w:t>
      </w:r>
      <w:r w:rsidR="00177848" w:rsidRPr="00C6052E">
        <w:t xml:space="preserve"> </w:t>
      </w:r>
      <w:r w:rsidRPr="00C6052E">
        <w:t>interstate</w:t>
      </w:r>
      <w:r w:rsidR="00177848" w:rsidRPr="00C6052E">
        <w:t xml:space="preserve"> </w:t>
      </w:r>
      <w:r w:rsidRPr="00C6052E">
        <w:t>overnight</w:t>
      </w:r>
      <w:r w:rsidR="00177848" w:rsidRPr="00C6052E">
        <w:t xml:space="preserve"> </w:t>
      </w:r>
      <w:r w:rsidRPr="00C6052E">
        <w:t>spend,</w:t>
      </w:r>
      <w:r w:rsidR="00177848" w:rsidRPr="00C6052E">
        <w:t xml:space="preserve"> </w:t>
      </w:r>
      <w:r w:rsidRPr="00C6052E">
        <w:t>visitors</w:t>
      </w:r>
      <w:r w:rsidR="00177848" w:rsidRPr="00C6052E">
        <w:t xml:space="preserve"> </w:t>
      </w:r>
      <w:r w:rsidRPr="00C6052E">
        <w:t>and</w:t>
      </w:r>
      <w:r w:rsidR="00177848" w:rsidRPr="00C6052E">
        <w:t xml:space="preserve"> </w:t>
      </w:r>
      <w:r w:rsidRPr="00C6052E">
        <w:t>nights</w:t>
      </w:r>
      <w:r w:rsidR="00177848" w:rsidRPr="00C6052E">
        <w:t xml:space="preserve"> </w:t>
      </w:r>
      <w:r w:rsidRPr="00C6052E">
        <w:t>of</w:t>
      </w:r>
      <w:r w:rsidR="00177848" w:rsidRPr="00C6052E">
        <w:t xml:space="preserve"> </w:t>
      </w:r>
      <w:r w:rsidRPr="00C6052E">
        <w:t>any</w:t>
      </w:r>
      <w:r w:rsidR="00177848" w:rsidRPr="00C6052E">
        <w:t xml:space="preserve"> </w:t>
      </w:r>
      <w:r w:rsidRPr="00C6052E">
        <w:t>Australian</w:t>
      </w:r>
      <w:r w:rsidR="00177848" w:rsidRPr="00C6052E">
        <w:t xml:space="preserve"> </w:t>
      </w:r>
      <w:r w:rsidRPr="00C6052E">
        <w:t>city,</w:t>
      </w:r>
      <w:r w:rsidR="00177848" w:rsidRPr="00C6052E">
        <w:t xml:space="preserve"> </w:t>
      </w:r>
      <w:r w:rsidRPr="00C6052E">
        <w:t>recording</w:t>
      </w:r>
      <w:r w:rsidR="00177848" w:rsidRPr="00C6052E">
        <w:t xml:space="preserve"> </w:t>
      </w:r>
      <w:r w:rsidRPr="00C6052E">
        <w:t>$2.0</w:t>
      </w:r>
      <w:r w:rsidR="00177848" w:rsidRPr="00C6052E">
        <w:t xml:space="preserve"> </w:t>
      </w:r>
      <w:r w:rsidRPr="00C6052E">
        <w:t>billion</w:t>
      </w:r>
      <w:r w:rsidR="00177848" w:rsidRPr="00C6052E">
        <w:t xml:space="preserve"> </w:t>
      </w:r>
      <w:r w:rsidRPr="00C6052E">
        <w:t>in</w:t>
      </w:r>
      <w:r w:rsidR="00177848" w:rsidRPr="00C6052E">
        <w:t xml:space="preserve"> </w:t>
      </w:r>
      <w:r w:rsidRPr="00C6052E">
        <w:t>spend,</w:t>
      </w:r>
      <w:r w:rsidR="00177848" w:rsidRPr="00C6052E">
        <w:t xml:space="preserve"> </w:t>
      </w:r>
      <w:r w:rsidRPr="00C6052E">
        <w:t>surpassing</w:t>
      </w:r>
      <w:r w:rsidR="00177848" w:rsidRPr="00C6052E">
        <w:t xml:space="preserve"> </w:t>
      </w:r>
      <w:r w:rsidRPr="00C6052E">
        <w:t>Sydney</w:t>
      </w:r>
      <w:r w:rsidR="00177848" w:rsidRPr="00C6052E">
        <w:t xml:space="preserve"> </w:t>
      </w:r>
      <w:r w:rsidRPr="00C6052E">
        <w:t>by</w:t>
      </w:r>
      <w:r w:rsidR="00177848" w:rsidRPr="00C6052E">
        <w:t xml:space="preserve"> </w:t>
      </w:r>
      <w:r w:rsidRPr="00C6052E">
        <w:t>over</w:t>
      </w:r>
      <w:r w:rsidR="00177848" w:rsidRPr="00C6052E">
        <w:t xml:space="preserve"> </w:t>
      </w:r>
      <w:r w:rsidRPr="00C6052E">
        <w:t>$300</w:t>
      </w:r>
      <w:r w:rsidR="00177848" w:rsidRPr="00C6052E">
        <w:t xml:space="preserve"> </w:t>
      </w:r>
      <w:r w:rsidRPr="00C6052E">
        <w:t>million.</w:t>
      </w:r>
    </w:p>
    <w:p w14:paraId="7B77BFFF" w14:textId="0CC924D3" w:rsidR="00EE5BB8" w:rsidRPr="00C6052E" w:rsidRDefault="00EE5BB8" w:rsidP="00EE5BB8">
      <w:pPr>
        <w:pStyle w:val="Heading4"/>
      </w:pPr>
      <w:r w:rsidRPr="00C6052E">
        <w:t>International</w:t>
      </w:r>
      <w:r w:rsidR="00177848" w:rsidRPr="00C6052E">
        <w:t xml:space="preserve"> </w:t>
      </w:r>
      <w:r w:rsidRPr="00C6052E">
        <w:t>visitation</w:t>
      </w:r>
    </w:p>
    <w:p w14:paraId="3C0D8CF4" w14:textId="3AD5C723" w:rsidR="00EE5BB8" w:rsidRPr="00C6052E" w:rsidRDefault="00EE5BB8" w:rsidP="00EE5BB8">
      <w:pPr>
        <w:keepLines/>
      </w:pPr>
      <w:r w:rsidRPr="00C6052E">
        <w:t>International</w:t>
      </w:r>
      <w:r w:rsidR="00177848" w:rsidRPr="00C6052E">
        <w:t xml:space="preserve"> </w:t>
      </w:r>
      <w:r w:rsidRPr="00C6052E">
        <w:t>spend</w:t>
      </w:r>
      <w:r w:rsidR="00177848" w:rsidRPr="00C6052E">
        <w:t xml:space="preserve"> </w:t>
      </w:r>
      <w:r w:rsidRPr="00C6052E">
        <w:t>in</w:t>
      </w:r>
      <w:r w:rsidR="00177848" w:rsidRPr="00C6052E">
        <w:t xml:space="preserve"> </w:t>
      </w:r>
      <w:r w:rsidRPr="00C6052E">
        <w:t>Victoria</w:t>
      </w:r>
      <w:r w:rsidR="00177848" w:rsidRPr="00C6052E">
        <w:t xml:space="preserve"> </w:t>
      </w:r>
      <w:r w:rsidRPr="00C6052E">
        <w:t>has</w:t>
      </w:r>
      <w:r w:rsidR="00177848" w:rsidRPr="00C6052E">
        <w:t xml:space="preserve"> </w:t>
      </w:r>
      <w:r w:rsidRPr="00C6052E">
        <w:t>surged</w:t>
      </w:r>
      <w:r w:rsidR="00177848" w:rsidRPr="00C6052E">
        <w:t xml:space="preserve"> </w:t>
      </w:r>
      <w:r w:rsidRPr="00C6052E">
        <w:t>by</w:t>
      </w:r>
      <w:r w:rsidR="00177848" w:rsidRPr="00C6052E">
        <w:t xml:space="preserve"> </w:t>
      </w:r>
      <w:r w:rsidRPr="00C6052E">
        <w:t>20%</w:t>
      </w:r>
      <w:r w:rsidR="00177848" w:rsidRPr="00C6052E">
        <w:t xml:space="preserve"> </w:t>
      </w:r>
      <w:r w:rsidRPr="00C6052E">
        <w:t>year</w:t>
      </w:r>
      <w:r w:rsidRPr="00C6052E">
        <w:noBreakHyphen/>
        <w:t>on-year</w:t>
      </w:r>
      <w:r w:rsidR="00177848" w:rsidRPr="00C6052E">
        <w:t xml:space="preserve"> </w:t>
      </w:r>
      <w:r w:rsidRPr="00C6052E">
        <w:t>to</w:t>
      </w:r>
      <w:r w:rsidR="00177848" w:rsidRPr="00C6052E">
        <w:t xml:space="preserve"> </w:t>
      </w:r>
      <w:r w:rsidRPr="00C6052E">
        <w:t>a</w:t>
      </w:r>
      <w:r w:rsidR="00177848" w:rsidRPr="00C6052E">
        <w:t xml:space="preserve"> </w:t>
      </w:r>
      <w:r w:rsidRPr="00C6052E">
        <w:t>record</w:t>
      </w:r>
      <w:r w:rsidR="00177848" w:rsidRPr="00C6052E">
        <w:t xml:space="preserve"> </w:t>
      </w:r>
      <w:r w:rsidRPr="00C6052E">
        <w:t>$9.3</w:t>
      </w:r>
      <w:r w:rsidR="00177848" w:rsidRPr="00C6052E">
        <w:t xml:space="preserve"> </w:t>
      </w:r>
      <w:r w:rsidRPr="00C6052E">
        <w:t>billion</w:t>
      </w:r>
      <w:r w:rsidR="00177848" w:rsidRPr="00C6052E">
        <w:t xml:space="preserve"> </w:t>
      </w:r>
      <w:r w:rsidRPr="00C6052E">
        <w:t>in</w:t>
      </w:r>
      <w:r w:rsidR="00177848" w:rsidRPr="00C6052E">
        <w:t xml:space="preserve"> </w:t>
      </w:r>
      <w:r w:rsidRPr="00C6052E">
        <w:t>the</w:t>
      </w:r>
      <w:r w:rsidR="00177848" w:rsidRPr="00C6052E">
        <w:t xml:space="preserve"> </w:t>
      </w:r>
      <w:r w:rsidRPr="00C6052E">
        <w:t>year</w:t>
      </w:r>
      <w:r w:rsidR="00177848" w:rsidRPr="00C6052E">
        <w:t xml:space="preserve"> </w:t>
      </w:r>
      <w:r w:rsidRPr="00C6052E">
        <w:t>ending</w:t>
      </w:r>
      <w:r w:rsidR="00177848" w:rsidRPr="00C6052E">
        <w:t xml:space="preserve"> </w:t>
      </w:r>
      <w:r w:rsidRPr="00C6052E">
        <w:t>March</w:t>
      </w:r>
      <w:r w:rsidR="00177848" w:rsidRPr="00C6052E">
        <w:t xml:space="preserve"> </w:t>
      </w:r>
      <w:r w:rsidRPr="00C6052E">
        <w:t>2025.</w:t>
      </w:r>
      <w:r w:rsidR="00177848" w:rsidRPr="00C6052E">
        <w:t xml:space="preserve"> </w:t>
      </w:r>
      <w:r w:rsidRPr="00C6052E">
        <w:t>This</w:t>
      </w:r>
      <w:r w:rsidR="00177848" w:rsidRPr="00C6052E">
        <w:t xml:space="preserve"> </w:t>
      </w:r>
      <w:r w:rsidRPr="00C6052E">
        <w:t>was</w:t>
      </w:r>
      <w:r w:rsidR="00177848" w:rsidRPr="00C6052E">
        <w:t xml:space="preserve"> </w:t>
      </w:r>
      <w:r w:rsidRPr="00C6052E">
        <w:t>propelled</w:t>
      </w:r>
      <w:r w:rsidR="00177848" w:rsidRPr="00C6052E">
        <w:t xml:space="preserve"> </w:t>
      </w:r>
      <w:r w:rsidRPr="00C6052E">
        <w:t>by</w:t>
      </w:r>
      <w:r w:rsidR="00177848" w:rsidRPr="00C6052E">
        <w:t xml:space="preserve"> </w:t>
      </w:r>
      <w:r w:rsidRPr="00C6052E">
        <w:t>strong</w:t>
      </w:r>
      <w:r w:rsidR="00177848" w:rsidRPr="00C6052E">
        <w:t xml:space="preserve"> </w:t>
      </w:r>
      <w:r w:rsidRPr="00C6052E">
        <w:t>growth</w:t>
      </w:r>
      <w:r w:rsidR="00177848" w:rsidRPr="00C6052E">
        <w:t xml:space="preserve"> </w:t>
      </w:r>
      <w:r w:rsidRPr="00C6052E">
        <w:t>in</w:t>
      </w:r>
      <w:r w:rsidR="00177848" w:rsidRPr="00C6052E">
        <w:t xml:space="preserve"> </w:t>
      </w:r>
      <w:r w:rsidRPr="00C6052E">
        <w:t>demand</w:t>
      </w:r>
      <w:r w:rsidR="00177848" w:rsidRPr="00C6052E">
        <w:t xml:space="preserve"> </w:t>
      </w:r>
      <w:r w:rsidRPr="00C6052E">
        <w:t>as</w:t>
      </w:r>
      <w:r w:rsidR="00177848" w:rsidRPr="00C6052E">
        <w:t xml:space="preserve"> </w:t>
      </w:r>
      <w:r w:rsidRPr="00C6052E">
        <w:t>11</w:t>
      </w:r>
      <w:r w:rsidR="00177848" w:rsidRPr="00C6052E">
        <w:t xml:space="preserve"> </w:t>
      </w:r>
      <w:r w:rsidRPr="00C6052E">
        <w:t>of</w:t>
      </w:r>
      <w:r w:rsidR="00177848" w:rsidRPr="00C6052E">
        <w:t xml:space="preserve"> </w:t>
      </w:r>
      <w:r w:rsidRPr="00C6052E">
        <w:t>the</w:t>
      </w:r>
      <w:r w:rsidR="00177848" w:rsidRPr="00C6052E">
        <w:t xml:space="preserve"> </w:t>
      </w:r>
      <w:r w:rsidRPr="00C6052E">
        <w:t>top</w:t>
      </w:r>
      <w:r w:rsidR="00177848" w:rsidRPr="00C6052E">
        <w:t xml:space="preserve"> </w:t>
      </w:r>
      <w:r w:rsidRPr="00C6052E">
        <w:t>15</w:t>
      </w:r>
      <w:r w:rsidR="00177848" w:rsidRPr="00C6052E">
        <w:t xml:space="preserve"> </w:t>
      </w:r>
      <w:r w:rsidRPr="00C6052E">
        <w:t>markets</w:t>
      </w:r>
      <w:r w:rsidR="00177848" w:rsidRPr="00C6052E">
        <w:t xml:space="preserve"> </w:t>
      </w:r>
      <w:r w:rsidRPr="00C6052E">
        <w:t>surpassed</w:t>
      </w:r>
      <w:r w:rsidR="00177848" w:rsidRPr="00C6052E">
        <w:t xml:space="preserve"> </w:t>
      </w:r>
      <w:r w:rsidRPr="00C6052E">
        <w:t>year</w:t>
      </w:r>
      <w:r w:rsidR="00177848" w:rsidRPr="00C6052E">
        <w:t xml:space="preserve"> </w:t>
      </w:r>
      <w:r w:rsidRPr="00C6052E">
        <w:t>ending</w:t>
      </w:r>
      <w:r w:rsidR="00177848" w:rsidRPr="00C6052E">
        <w:t xml:space="preserve"> </w:t>
      </w:r>
      <w:r w:rsidRPr="00C6052E">
        <w:t>March</w:t>
      </w:r>
      <w:r w:rsidR="00177848" w:rsidRPr="00C6052E">
        <w:t xml:space="preserve"> </w:t>
      </w:r>
      <w:r w:rsidRPr="00C6052E">
        <w:t>2019</w:t>
      </w:r>
      <w:r w:rsidR="00177848" w:rsidRPr="00C6052E">
        <w:t xml:space="preserve"> </w:t>
      </w:r>
      <w:r w:rsidRPr="00C6052E">
        <w:t>spend</w:t>
      </w:r>
      <w:r w:rsidR="00177848" w:rsidRPr="00C6052E">
        <w:t xml:space="preserve"> </w:t>
      </w:r>
      <w:r w:rsidRPr="00C6052E">
        <w:t>levels.</w:t>
      </w:r>
      <w:r w:rsidR="00177848" w:rsidRPr="00C6052E">
        <w:t xml:space="preserve"> </w:t>
      </w:r>
      <w:r w:rsidRPr="00C6052E">
        <w:t>International</w:t>
      </w:r>
      <w:r w:rsidR="00177848" w:rsidRPr="00C6052E">
        <w:t xml:space="preserve"> </w:t>
      </w:r>
      <w:r w:rsidRPr="00C6052E">
        <w:t>nights</w:t>
      </w:r>
      <w:r w:rsidR="00177848" w:rsidRPr="00C6052E">
        <w:t xml:space="preserve"> </w:t>
      </w:r>
      <w:r w:rsidRPr="00C6052E">
        <w:t>have</w:t>
      </w:r>
      <w:r w:rsidR="00177848" w:rsidRPr="00C6052E">
        <w:t xml:space="preserve"> </w:t>
      </w:r>
      <w:r w:rsidRPr="00C6052E">
        <w:t>also</w:t>
      </w:r>
      <w:r w:rsidR="00177848" w:rsidRPr="00C6052E">
        <w:t xml:space="preserve"> </w:t>
      </w:r>
      <w:r w:rsidRPr="00C6052E">
        <w:t>surpassed</w:t>
      </w:r>
      <w:r w:rsidR="00177848" w:rsidRPr="00C6052E">
        <w:t xml:space="preserve"> </w:t>
      </w:r>
      <w:r w:rsidRPr="00C6052E">
        <w:t>2019</w:t>
      </w:r>
      <w:r w:rsidR="00177848" w:rsidRPr="00C6052E">
        <w:t xml:space="preserve"> </w:t>
      </w:r>
      <w:r w:rsidRPr="00C6052E">
        <w:t>levels</w:t>
      </w:r>
      <w:r w:rsidR="00177848" w:rsidRPr="00C6052E">
        <w:t xml:space="preserve"> </w:t>
      </w:r>
      <w:r w:rsidRPr="00C6052E">
        <w:t>(up</w:t>
      </w:r>
      <w:r w:rsidR="00177848" w:rsidRPr="00C6052E">
        <w:t xml:space="preserve"> </w:t>
      </w:r>
      <w:r w:rsidRPr="00C6052E">
        <w:t>9%),</w:t>
      </w:r>
      <w:r w:rsidR="00177848" w:rsidRPr="00C6052E">
        <w:t xml:space="preserve"> </w:t>
      </w:r>
      <w:r w:rsidRPr="00C6052E">
        <w:t>while</w:t>
      </w:r>
      <w:r w:rsidR="00177848" w:rsidRPr="00C6052E">
        <w:t xml:space="preserve"> </w:t>
      </w:r>
      <w:r w:rsidRPr="00C6052E">
        <w:t>visitors</w:t>
      </w:r>
      <w:r w:rsidR="00177848" w:rsidRPr="00C6052E">
        <w:t xml:space="preserve"> </w:t>
      </w:r>
      <w:r w:rsidRPr="00C6052E">
        <w:t>were</w:t>
      </w:r>
      <w:r w:rsidR="00177848" w:rsidRPr="00C6052E">
        <w:t xml:space="preserve"> </w:t>
      </w:r>
      <w:r w:rsidRPr="00C6052E">
        <w:t>back</w:t>
      </w:r>
      <w:r w:rsidR="00177848" w:rsidRPr="00C6052E">
        <w:t xml:space="preserve"> </w:t>
      </w:r>
      <w:r w:rsidRPr="00C6052E">
        <w:t>to</w:t>
      </w:r>
      <w:r w:rsidR="00177848" w:rsidRPr="00C6052E">
        <w:t xml:space="preserve"> </w:t>
      </w:r>
      <w:r w:rsidRPr="00C6052E">
        <w:t>87%</w:t>
      </w:r>
      <w:r w:rsidR="00177848" w:rsidRPr="00C6052E">
        <w:t xml:space="preserve"> </w:t>
      </w:r>
      <w:r w:rsidRPr="00C6052E">
        <w:t>of</w:t>
      </w:r>
      <w:r w:rsidR="00177848" w:rsidRPr="00C6052E">
        <w:t xml:space="preserve"> </w:t>
      </w:r>
      <w:r w:rsidRPr="00C6052E">
        <w:t>the</w:t>
      </w:r>
      <w:r w:rsidR="00177848" w:rsidRPr="00C6052E">
        <w:t xml:space="preserve"> </w:t>
      </w:r>
      <w:r w:rsidRPr="00C6052E">
        <w:t>2019</w:t>
      </w:r>
      <w:r w:rsidR="00177848" w:rsidRPr="00C6052E">
        <w:t xml:space="preserve"> </w:t>
      </w:r>
      <w:r w:rsidRPr="00C6052E">
        <w:t>result.</w:t>
      </w:r>
    </w:p>
    <w:p w14:paraId="6EE53518" w14:textId="7DD3BA74" w:rsidR="00EE5BB8" w:rsidRPr="00C6052E" w:rsidRDefault="00EE5BB8" w:rsidP="00EE5BB8">
      <w:r w:rsidRPr="00C6052E">
        <w:t>China</w:t>
      </w:r>
      <w:r w:rsidR="00177848" w:rsidRPr="00C6052E">
        <w:t xml:space="preserve"> </w:t>
      </w:r>
      <w:r w:rsidRPr="00C6052E">
        <w:t>was</w:t>
      </w:r>
      <w:r w:rsidR="00177848" w:rsidRPr="00C6052E">
        <w:t xml:space="preserve"> </w:t>
      </w:r>
      <w:r w:rsidRPr="00C6052E">
        <w:t>Victoria’s</w:t>
      </w:r>
      <w:r w:rsidR="00177848" w:rsidRPr="00C6052E">
        <w:t xml:space="preserve"> </w:t>
      </w:r>
      <w:r w:rsidRPr="00C6052E">
        <w:t>top</w:t>
      </w:r>
      <w:r w:rsidR="00177848" w:rsidRPr="00C6052E">
        <w:t xml:space="preserve"> </w:t>
      </w:r>
      <w:r w:rsidRPr="00C6052E">
        <w:t>ranked</w:t>
      </w:r>
      <w:r w:rsidR="00177848" w:rsidRPr="00C6052E">
        <w:t xml:space="preserve"> </w:t>
      </w:r>
      <w:r w:rsidRPr="00C6052E">
        <w:t>market</w:t>
      </w:r>
      <w:r w:rsidR="00177848" w:rsidRPr="00C6052E">
        <w:t xml:space="preserve"> </w:t>
      </w:r>
      <w:r w:rsidRPr="00C6052E">
        <w:t>for</w:t>
      </w:r>
      <w:r w:rsidR="00177848" w:rsidRPr="00C6052E">
        <w:t xml:space="preserve"> </w:t>
      </w:r>
      <w:r w:rsidRPr="00C6052E">
        <w:t>visitors</w:t>
      </w:r>
      <w:r w:rsidR="00177848" w:rsidRPr="00C6052E">
        <w:t xml:space="preserve"> </w:t>
      </w:r>
      <w:r w:rsidRPr="00C6052E">
        <w:t>at</w:t>
      </w:r>
      <w:r w:rsidR="00177848" w:rsidRPr="00C6052E">
        <w:t xml:space="preserve"> </w:t>
      </w:r>
      <w:r w:rsidRPr="00C6052E">
        <w:t>411,000,</w:t>
      </w:r>
      <w:r w:rsidR="00177848" w:rsidRPr="00C6052E">
        <w:t xml:space="preserve"> </w:t>
      </w:r>
      <w:r w:rsidRPr="00C6052E">
        <w:t>which</w:t>
      </w:r>
      <w:r w:rsidR="00177848" w:rsidRPr="00C6052E">
        <w:t xml:space="preserve"> </w:t>
      </w:r>
      <w:r w:rsidRPr="00C6052E">
        <w:t>was</w:t>
      </w:r>
      <w:r w:rsidR="00177848" w:rsidRPr="00C6052E">
        <w:t xml:space="preserve"> </w:t>
      </w:r>
      <w:r w:rsidRPr="00C6052E">
        <w:t>back</w:t>
      </w:r>
      <w:r w:rsidR="00177848" w:rsidRPr="00C6052E">
        <w:t xml:space="preserve"> </w:t>
      </w:r>
      <w:r w:rsidRPr="00C6052E">
        <w:t>to</w:t>
      </w:r>
      <w:r w:rsidR="00177848" w:rsidRPr="00C6052E">
        <w:t xml:space="preserve"> </w:t>
      </w:r>
      <w:r w:rsidRPr="00C6052E">
        <w:t>60%</w:t>
      </w:r>
      <w:r w:rsidR="00177848" w:rsidRPr="00C6052E">
        <w:t xml:space="preserve"> </w:t>
      </w:r>
      <w:r w:rsidRPr="00C6052E">
        <w:t>of</w:t>
      </w:r>
      <w:r w:rsidR="00177848" w:rsidRPr="00C6052E">
        <w:t xml:space="preserve"> </w:t>
      </w:r>
      <w:r w:rsidRPr="00C6052E">
        <w:t>the</w:t>
      </w:r>
      <w:r w:rsidR="00177848" w:rsidRPr="00C6052E">
        <w:t xml:space="preserve"> </w:t>
      </w:r>
      <w:r w:rsidRPr="00C6052E">
        <w:t>2019</w:t>
      </w:r>
      <w:r w:rsidR="00177848" w:rsidRPr="00C6052E">
        <w:t xml:space="preserve"> </w:t>
      </w:r>
      <w:r w:rsidRPr="00C6052E">
        <w:t>result,</w:t>
      </w:r>
      <w:r w:rsidR="00177848" w:rsidRPr="00C6052E">
        <w:t xml:space="preserve"> </w:t>
      </w:r>
      <w:r w:rsidRPr="00C6052E">
        <w:t>and</w:t>
      </w:r>
      <w:r w:rsidR="00177848" w:rsidRPr="00C6052E">
        <w:t xml:space="preserve"> </w:t>
      </w:r>
      <w:r w:rsidRPr="00C6052E">
        <w:t>remained</w:t>
      </w:r>
      <w:r w:rsidR="00177848" w:rsidRPr="00C6052E">
        <w:t xml:space="preserve"> </w:t>
      </w:r>
      <w:r w:rsidRPr="00C6052E">
        <w:t>Victoria’s</w:t>
      </w:r>
      <w:r w:rsidR="00177848" w:rsidRPr="00C6052E">
        <w:t xml:space="preserve"> </w:t>
      </w:r>
      <w:r w:rsidRPr="00C6052E">
        <w:t>most</w:t>
      </w:r>
      <w:r w:rsidR="00177848" w:rsidRPr="00C6052E">
        <w:t xml:space="preserve"> </w:t>
      </w:r>
      <w:r w:rsidRPr="00C6052E">
        <w:t>valuable</w:t>
      </w:r>
      <w:r w:rsidR="00177848" w:rsidRPr="00C6052E">
        <w:t xml:space="preserve"> </w:t>
      </w:r>
      <w:r w:rsidRPr="00C6052E">
        <w:t>source</w:t>
      </w:r>
      <w:r w:rsidR="00177848" w:rsidRPr="00C6052E">
        <w:t xml:space="preserve"> </w:t>
      </w:r>
      <w:r w:rsidRPr="00C6052E">
        <w:t>market</w:t>
      </w:r>
      <w:r w:rsidR="00177848" w:rsidRPr="00C6052E">
        <w:t xml:space="preserve"> </w:t>
      </w:r>
      <w:r w:rsidRPr="00C6052E">
        <w:t>generating</w:t>
      </w:r>
      <w:r w:rsidR="00177848" w:rsidRPr="00C6052E">
        <w:t xml:space="preserve"> </w:t>
      </w:r>
      <w:r w:rsidRPr="00C6052E">
        <w:t>$2.9</w:t>
      </w:r>
      <w:r w:rsidR="00177848" w:rsidRPr="00C6052E">
        <w:t xml:space="preserve"> </w:t>
      </w:r>
      <w:r w:rsidRPr="00C6052E">
        <w:t>billion</w:t>
      </w:r>
      <w:r w:rsidR="00177848" w:rsidRPr="00C6052E">
        <w:t xml:space="preserve"> </w:t>
      </w:r>
      <w:r w:rsidRPr="00C6052E">
        <w:t>in</w:t>
      </w:r>
      <w:r w:rsidR="00177848" w:rsidRPr="00C6052E">
        <w:t xml:space="preserve"> </w:t>
      </w:r>
      <w:r w:rsidRPr="00C6052E">
        <w:t>tourism</w:t>
      </w:r>
      <w:r w:rsidR="00177848" w:rsidRPr="00C6052E">
        <w:t xml:space="preserve"> </w:t>
      </w:r>
      <w:r w:rsidRPr="00C6052E">
        <w:t>spend.</w:t>
      </w:r>
    </w:p>
    <w:p w14:paraId="6A32CC5B" w14:textId="3D4CB7DA" w:rsidR="00EE5BB8" w:rsidRPr="00C6052E" w:rsidRDefault="00EE5BB8" w:rsidP="00EE5BB8">
      <w:r w:rsidRPr="00C6052E">
        <w:t>Spend</w:t>
      </w:r>
      <w:r w:rsidR="00177848" w:rsidRPr="00C6052E">
        <w:t xml:space="preserve"> </w:t>
      </w:r>
      <w:r w:rsidRPr="00C6052E">
        <w:t>from</w:t>
      </w:r>
      <w:r w:rsidR="00177848" w:rsidRPr="00C6052E">
        <w:t xml:space="preserve"> </w:t>
      </w:r>
      <w:r w:rsidRPr="00C6052E">
        <w:t>India</w:t>
      </w:r>
      <w:r w:rsidR="00177848" w:rsidRPr="00C6052E">
        <w:t xml:space="preserve"> </w:t>
      </w:r>
      <w:r w:rsidRPr="00C6052E">
        <w:t>reached</w:t>
      </w:r>
      <w:r w:rsidR="00177848" w:rsidRPr="00C6052E">
        <w:t xml:space="preserve"> </w:t>
      </w:r>
      <w:r w:rsidRPr="00C6052E">
        <w:t>a</w:t>
      </w:r>
      <w:r w:rsidR="00177848" w:rsidRPr="00C6052E">
        <w:t xml:space="preserve"> </w:t>
      </w:r>
      <w:r w:rsidRPr="00C6052E">
        <w:t>new</w:t>
      </w:r>
      <w:r w:rsidR="00177848" w:rsidRPr="00C6052E">
        <w:t xml:space="preserve"> </w:t>
      </w:r>
      <w:r w:rsidRPr="00C6052E">
        <w:t>high</w:t>
      </w:r>
      <w:r w:rsidR="00177848" w:rsidRPr="00C6052E">
        <w:t xml:space="preserve"> </w:t>
      </w:r>
      <w:r w:rsidRPr="00C6052E">
        <w:t>of</w:t>
      </w:r>
      <w:r w:rsidR="00177848" w:rsidRPr="00C6052E">
        <w:t xml:space="preserve"> </w:t>
      </w:r>
      <w:r w:rsidRPr="00C6052E">
        <w:t>$810</w:t>
      </w:r>
      <w:r w:rsidR="00177848" w:rsidRPr="00C6052E">
        <w:t xml:space="preserve"> </w:t>
      </w:r>
      <w:r w:rsidRPr="00C6052E">
        <w:t>million,</w:t>
      </w:r>
      <w:r w:rsidR="00177848" w:rsidRPr="00C6052E">
        <w:t xml:space="preserve"> </w:t>
      </w:r>
      <w:r w:rsidRPr="00C6052E">
        <w:t>driven</w:t>
      </w:r>
      <w:r w:rsidR="00177848" w:rsidRPr="00C6052E">
        <w:t xml:space="preserve"> </w:t>
      </w:r>
      <w:r w:rsidRPr="00C6052E">
        <w:t>by</w:t>
      </w:r>
      <w:r w:rsidR="00177848" w:rsidRPr="00C6052E">
        <w:t xml:space="preserve"> </w:t>
      </w:r>
      <w:r w:rsidRPr="00C6052E">
        <w:t>strong</w:t>
      </w:r>
      <w:r w:rsidR="00177848" w:rsidRPr="00C6052E">
        <w:t xml:space="preserve"> </w:t>
      </w:r>
      <w:r w:rsidRPr="00C6052E">
        <w:t>aviation</w:t>
      </w:r>
      <w:r w:rsidR="00177848" w:rsidRPr="00C6052E">
        <w:t xml:space="preserve"> </w:t>
      </w:r>
      <w:r w:rsidRPr="00C6052E">
        <w:t>capacity</w:t>
      </w:r>
      <w:r w:rsidR="00177848" w:rsidRPr="00C6052E">
        <w:t xml:space="preserve"> </w:t>
      </w:r>
      <w:r w:rsidRPr="00C6052E">
        <w:t>gains</w:t>
      </w:r>
      <w:r w:rsidR="00177848" w:rsidRPr="00C6052E">
        <w:t xml:space="preserve"> </w:t>
      </w:r>
      <w:r w:rsidRPr="00C6052E">
        <w:t>and</w:t>
      </w:r>
      <w:r w:rsidR="00177848" w:rsidRPr="00C6052E">
        <w:t xml:space="preserve"> </w:t>
      </w:r>
      <w:r w:rsidRPr="00C6052E">
        <w:t>key</w:t>
      </w:r>
      <w:r w:rsidR="00177848" w:rsidRPr="00C6052E">
        <w:t xml:space="preserve"> </w:t>
      </w:r>
      <w:r w:rsidRPr="00C6052E">
        <w:t>events</w:t>
      </w:r>
      <w:r w:rsidR="00177848" w:rsidRPr="00C6052E">
        <w:t xml:space="preserve"> </w:t>
      </w:r>
      <w:r w:rsidRPr="00C6052E">
        <w:rPr>
          <w:spacing w:val="-2"/>
        </w:rPr>
        <w:t>such</w:t>
      </w:r>
      <w:r w:rsidR="00177848" w:rsidRPr="00C6052E">
        <w:rPr>
          <w:spacing w:val="-2"/>
        </w:rPr>
        <w:t xml:space="preserve"> </w:t>
      </w:r>
      <w:r w:rsidRPr="00C6052E">
        <w:rPr>
          <w:spacing w:val="-2"/>
        </w:rPr>
        <w:t>as</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Boxing</w:t>
      </w:r>
      <w:r w:rsidR="00177848" w:rsidRPr="00C6052E">
        <w:rPr>
          <w:spacing w:val="-2"/>
        </w:rPr>
        <w:t xml:space="preserve"> </w:t>
      </w:r>
      <w:r w:rsidRPr="00C6052E">
        <w:rPr>
          <w:spacing w:val="-2"/>
        </w:rPr>
        <w:t>Day</w:t>
      </w:r>
      <w:r w:rsidR="00177848" w:rsidRPr="00C6052E">
        <w:rPr>
          <w:spacing w:val="-2"/>
        </w:rPr>
        <w:t xml:space="preserve"> </w:t>
      </w:r>
      <w:r w:rsidRPr="00C6052E">
        <w:rPr>
          <w:spacing w:val="-2"/>
        </w:rPr>
        <w:t>Test</w:t>
      </w:r>
      <w:r w:rsidR="00177848" w:rsidRPr="00C6052E">
        <w:rPr>
          <w:spacing w:val="-2"/>
        </w:rPr>
        <w:t xml:space="preserve"> </w:t>
      </w:r>
      <w:r w:rsidRPr="00C6052E">
        <w:rPr>
          <w:spacing w:val="-2"/>
        </w:rPr>
        <w:t>cricket</w:t>
      </w:r>
      <w:r w:rsidR="00177848" w:rsidRPr="00C6052E">
        <w:rPr>
          <w:spacing w:val="-2"/>
        </w:rPr>
        <w:t xml:space="preserve"> </w:t>
      </w:r>
      <w:r w:rsidRPr="00C6052E">
        <w:rPr>
          <w:spacing w:val="-2"/>
        </w:rPr>
        <w:t>series.</w:t>
      </w:r>
      <w:r w:rsidR="00177848" w:rsidRPr="00C6052E">
        <w:rPr>
          <w:spacing w:val="-2"/>
        </w:rPr>
        <w:t xml:space="preserve"> </w:t>
      </w:r>
      <w:r w:rsidRPr="00C6052E">
        <w:rPr>
          <w:spacing w:val="-2"/>
        </w:rPr>
        <w:t>Spend</w:t>
      </w:r>
      <w:r w:rsidR="00177848" w:rsidRPr="00C6052E">
        <w:rPr>
          <w:spacing w:val="-2"/>
        </w:rPr>
        <w:t xml:space="preserve"> </w:t>
      </w:r>
      <w:r w:rsidRPr="00C6052E">
        <w:rPr>
          <w:spacing w:val="-2"/>
        </w:rPr>
        <w:t>growth</w:t>
      </w:r>
      <w:r w:rsidR="00177848" w:rsidRPr="00C6052E">
        <w:t xml:space="preserve"> </w:t>
      </w:r>
      <w:r w:rsidRPr="00C6052E">
        <w:t>continued</w:t>
      </w:r>
      <w:r w:rsidR="00177848" w:rsidRPr="00C6052E">
        <w:t xml:space="preserve"> </w:t>
      </w:r>
      <w:r w:rsidRPr="00C6052E">
        <w:t>to</w:t>
      </w:r>
      <w:r w:rsidR="00177848" w:rsidRPr="00C6052E">
        <w:t xml:space="preserve"> </w:t>
      </w:r>
      <w:r w:rsidRPr="00C6052E">
        <w:t>accelerate</w:t>
      </w:r>
      <w:r w:rsidR="00177848" w:rsidRPr="00C6052E">
        <w:t xml:space="preserve"> </w:t>
      </w:r>
      <w:r w:rsidRPr="00C6052E">
        <w:t>significantly,</w:t>
      </w:r>
      <w:r w:rsidR="00177848" w:rsidRPr="00C6052E">
        <w:t xml:space="preserve"> </w:t>
      </w:r>
      <w:r w:rsidRPr="00C6052E">
        <w:t>up</w:t>
      </w:r>
      <w:r w:rsidR="00177848" w:rsidRPr="00C6052E">
        <w:t xml:space="preserve"> </w:t>
      </w:r>
      <w:r w:rsidRPr="00C6052E">
        <w:t>84%</w:t>
      </w:r>
      <w:r w:rsidR="00177848" w:rsidRPr="00C6052E">
        <w:t xml:space="preserve"> </w:t>
      </w:r>
      <w:r w:rsidRPr="00C6052E">
        <w:t>year-on-year</w:t>
      </w:r>
      <w:r w:rsidR="00177848" w:rsidRPr="00C6052E">
        <w:t xml:space="preserve"> </w:t>
      </w:r>
      <w:r w:rsidRPr="00C6052E">
        <w:t>and</w:t>
      </w:r>
      <w:r w:rsidR="00177848" w:rsidRPr="00C6052E">
        <w:t xml:space="preserve"> </w:t>
      </w:r>
      <w:r w:rsidRPr="00C6052E">
        <w:t>49%</w:t>
      </w:r>
      <w:r w:rsidR="00177848" w:rsidRPr="00C6052E">
        <w:t xml:space="preserve"> </w:t>
      </w:r>
      <w:r w:rsidRPr="00C6052E">
        <w:t>above</w:t>
      </w:r>
      <w:r w:rsidR="00177848" w:rsidRPr="00C6052E">
        <w:t xml:space="preserve"> </w:t>
      </w:r>
      <w:r w:rsidRPr="00C6052E">
        <w:t>the</w:t>
      </w:r>
      <w:r w:rsidR="00177848" w:rsidRPr="00C6052E">
        <w:t xml:space="preserve"> </w:t>
      </w:r>
      <w:r w:rsidRPr="00C6052E">
        <w:t>2019</w:t>
      </w:r>
      <w:r w:rsidR="00177848" w:rsidRPr="00C6052E">
        <w:t xml:space="preserve"> </w:t>
      </w:r>
      <w:r w:rsidRPr="00C6052E">
        <w:t>result.</w:t>
      </w:r>
    </w:p>
    <w:p w14:paraId="39D6BBF7" w14:textId="6D2500DA" w:rsidR="00EE5BB8" w:rsidRPr="00C6052E" w:rsidRDefault="00EE5BB8" w:rsidP="0028635E">
      <w:pPr>
        <w:pStyle w:val="Normalbeforebullets"/>
      </w:pPr>
      <w:r w:rsidRPr="00C6052E">
        <w:t>The</w:t>
      </w:r>
      <w:r w:rsidR="00177848" w:rsidRPr="00C6052E">
        <w:t xml:space="preserve"> </w:t>
      </w:r>
      <w:r w:rsidRPr="00C6052E">
        <w:t>department</w:t>
      </w:r>
      <w:r w:rsidR="00177848" w:rsidRPr="00C6052E">
        <w:t xml:space="preserve"> </w:t>
      </w:r>
      <w:r w:rsidRPr="00C6052E">
        <w:t>continued</w:t>
      </w:r>
      <w:r w:rsidR="00177848" w:rsidRPr="00C6052E">
        <w:t xml:space="preserve"> </w:t>
      </w:r>
      <w:r w:rsidRPr="00C6052E">
        <w:t>to</w:t>
      </w:r>
      <w:r w:rsidR="00177848" w:rsidRPr="00C6052E">
        <w:t xml:space="preserve"> </w:t>
      </w:r>
      <w:r w:rsidRPr="00C6052E">
        <w:t>deliver</w:t>
      </w:r>
      <w:r w:rsidR="00177848" w:rsidRPr="00C6052E">
        <w:t xml:space="preserve"> </w:t>
      </w:r>
      <w:r w:rsidRPr="00C6052E">
        <w:t>initiatives</w:t>
      </w:r>
      <w:r w:rsidR="00177848" w:rsidRPr="00C6052E">
        <w:t xml:space="preserve"> </w:t>
      </w:r>
      <w:r w:rsidRPr="00C6052E">
        <w:t>to</w:t>
      </w:r>
      <w:r w:rsidR="00177848" w:rsidRPr="00C6052E">
        <w:t xml:space="preserve"> </w:t>
      </w:r>
      <w:r w:rsidRPr="00C6052E">
        <w:t>drive</w:t>
      </w:r>
      <w:r w:rsidR="00177848" w:rsidRPr="00C6052E">
        <w:t xml:space="preserve"> </w:t>
      </w:r>
      <w:r w:rsidRPr="00C6052E">
        <w:t>visitation</w:t>
      </w:r>
      <w:r w:rsidR="00177848" w:rsidRPr="00C6052E">
        <w:t xml:space="preserve"> </w:t>
      </w:r>
      <w:r w:rsidRPr="00C6052E">
        <w:t>in</w:t>
      </w:r>
      <w:r w:rsidR="00177848" w:rsidRPr="00C6052E">
        <w:t xml:space="preserve"> </w:t>
      </w:r>
      <w:r w:rsidRPr="00C6052E">
        <w:t>2024–25,</w:t>
      </w:r>
      <w:r w:rsidR="00177848" w:rsidRPr="00C6052E">
        <w:t xml:space="preserve"> </w:t>
      </w:r>
      <w:r w:rsidRPr="00C6052E">
        <w:t>including</w:t>
      </w:r>
      <w:r w:rsidR="00177848" w:rsidRPr="00C6052E">
        <w:t xml:space="preserve"> </w:t>
      </w:r>
      <w:r w:rsidRPr="00C6052E">
        <w:t>the</w:t>
      </w:r>
      <w:r w:rsidR="00177848" w:rsidRPr="00C6052E">
        <w:t xml:space="preserve"> </w:t>
      </w:r>
      <w:r w:rsidRPr="00C6052E">
        <w:t>following:</w:t>
      </w:r>
    </w:p>
    <w:p w14:paraId="7DF5C4B3" w14:textId="267CC97D" w:rsidR="00EE5BB8" w:rsidRPr="00C6052E" w:rsidRDefault="00EE5BB8" w:rsidP="00EE5BB8">
      <w:pPr>
        <w:pStyle w:val="Bullet1"/>
        <w:numPr>
          <w:ilvl w:val="0"/>
          <w:numId w:val="1"/>
        </w:numPr>
        <w:spacing w:line="278" w:lineRule="auto"/>
        <w:ind w:left="284" w:hanging="284"/>
        <w:rPr>
          <w:lang w:val="en-AU"/>
        </w:rPr>
      </w:pPr>
      <w:r w:rsidRPr="00C6052E">
        <w:rPr>
          <w:lang w:val="en-AU"/>
        </w:rPr>
        <w:t>Delivered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$3</w:t>
      </w:r>
      <w:r w:rsidR="00177848" w:rsidRPr="00C6052E">
        <w:rPr>
          <w:lang w:val="en-AU"/>
        </w:rPr>
        <w:t xml:space="preserve"> </w:t>
      </w:r>
      <w:r w:rsidRPr="00C6052E">
        <w:rPr>
          <w:lang w:val="en-AU"/>
        </w:rPr>
        <w:t>million</w:t>
      </w:r>
      <w:r w:rsidR="00177848" w:rsidRPr="00C6052E">
        <w:rPr>
          <w:lang w:val="en-AU"/>
        </w:rPr>
        <w:t xml:space="preserve"> </w:t>
      </w:r>
      <w:r w:rsidRPr="00C6052E">
        <w:rPr>
          <w:lang w:val="en-AU"/>
        </w:rPr>
        <w:t>Visitor</w:t>
      </w:r>
      <w:r w:rsidR="00177848" w:rsidRPr="00C6052E">
        <w:rPr>
          <w:lang w:val="en-AU"/>
        </w:rPr>
        <w:t xml:space="preserve"> </w:t>
      </w:r>
      <w:r w:rsidRPr="00C6052E">
        <w:rPr>
          <w:lang w:val="en-AU"/>
        </w:rPr>
        <w:t>Servicing</w:t>
      </w:r>
      <w:r w:rsidR="00177848" w:rsidRPr="00C6052E">
        <w:rPr>
          <w:lang w:val="en-AU"/>
        </w:rPr>
        <w:t xml:space="preserve"> </w:t>
      </w:r>
      <w:r w:rsidRPr="00C6052E">
        <w:rPr>
          <w:lang w:val="en-AU"/>
        </w:rPr>
        <w:t>Program,</w:t>
      </w:r>
      <w:r w:rsidR="00177848" w:rsidRPr="00C6052E">
        <w:rPr>
          <w:lang w:val="en-AU"/>
        </w:rPr>
        <w:t xml:space="preserve"> </w:t>
      </w:r>
      <w:r w:rsidRPr="00C6052E">
        <w:rPr>
          <w:lang w:val="en-AU"/>
        </w:rPr>
        <w:t>a</w:t>
      </w:r>
      <w:r w:rsidR="00177848" w:rsidRPr="00C6052E">
        <w:rPr>
          <w:lang w:val="en-AU"/>
        </w:rPr>
        <w:t xml:space="preserve"> </w:t>
      </w:r>
      <w:r w:rsidRPr="00C6052E">
        <w:rPr>
          <w:lang w:val="en-AU"/>
        </w:rPr>
        <w:t>grant</w:t>
      </w:r>
      <w:r w:rsidR="00177848" w:rsidRPr="00C6052E">
        <w:rPr>
          <w:lang w:val="en-AU"/>
        </w:rPr>
        <w:t xml:space="preserve"> </w:t>
      </w:r>
      <w:r w:rsidRPr="00C6052E">
        <w:rPr>
          <w:lang w:val="en-AU"/>
        </w:rPr>
        <w:t>program</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help</w:t>
      </w:r>
      <w:r w:rsidR="00177848" w:rsidRPr="00C6052E">
        <w:rPr>
          <w:lang w:val="en-AU"/>
        </w:rPr>
        <w:t xml:space="preserve"> </w:t>
      </w:r>
      <w:r w:rsidRPr="00C6052E">
        <w:rPr>
          <w:lang w:val="en-AU"/>
        </w:rPr>
        <w:t>industry</w:t>
      </w:r>
      <w:r w:rsidR="00177848" w:rsidRPr="00C6052E">
        <w:rPr>
          <w:lang w:val="en-AU"/>
        </w:rPr>
        <w:t xml:space="preserve"> </w:t>
      </w:r>
      <w:r w:rsidRPr="00C6052E">
        <w:rPr>
          <w:lang w:val="en-AU"/>
        </w:rPr>
        <w:t>develop</w:t>
      </w:r>
      <w:r w:rsidR="00177848" w:rsidRPr="00C6052E">
        <w:rPr>
          <w:lang w:val="en-AU"/>
        </w:rPr>
        <w:t xml:space="preserve"> </w:t>
      </w:r>
      <w:r w:rsidRPr="00C6052E">
        <w:rPr>
          <w:lang w:val="en-AU"/>
        </w:rPr>
        <w:t>innovative</w:t>
      </w:r>
      <w:r w:rsidR="00177848" w:rsidRPr="00C6052E">
        <w:rPr>
          <w:lang w:val="en-AU"/>
        </w:rPr>
        <w:t xml:space="preserve"> </w:t>
      </w:r>
      <w:r w:rsidRPr="00C6052E">
        <w:rPr>
          <w:lang w:val="en-AU"/>
        </w:rPr>
        <w:t>ways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encourage</w:t>
      </w:r>
      <w:r w:rsidR="00177848" w:rsidRPr="00C6052E">
        <w:rPr>
          <w:lang w:val="en-AU"/>
        </w:rPr>
        <w:t xml:space="preserve"> </w:t>
      </w:r>
      <w:r w:rsidRPr="00C6052E">
        <w:rPr>
          <w:lang w:val="en-AU"/>
        </w:rPr>
        <w:t>people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stay</w:t>
      </w:r>
      <w:r w:rsidR="00177848" w:rsidRPr="00C6052E">
        <w:rPr>
          <w:lang w:val="en-AU"/>
        </w:rPr>
        <w:t xml:space="preserve"> </w:t>
      </w:r>
      <w:r w:rsidRPr="00C6052E">
        <w:rPr>
          <w:lang w:val="en-AU"/>
        </w:rPr>
        <w:t>longer</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experience</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best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Victoria</w:t>
      </w:r>
      <w:r w:rsidR="00177848" w:rsidRPr="00C6052E">
        <w:rPr>
          <w:lang w:val="en-AU"/>
        </w:rPr>
        <w:t xml:space="preserve"> </w:t>
      </w:r>
    </w:p>
    <w:p w14:paraId="5887FC4A" w14:textId="2C775D54" w:rsidR="00EE5BB8" w:rsidRPr="00C6052E" w:rsidRDefault="00EE5BB8" w:rsidP="00EE5BB8">
      <w:pPr>
        <w:pStyle w:val="Bullet1"/>
        <w:numPr>
          <w:ilvl w:val="0"/>
          <w:numId w:val="1"/>
        </w:numPr>
        <w:spacing w:line="278" w:lineRule="auto"/>
        <w:ind w:left="284" w:hanging="284"/>
        <w:rPr>
          <w:spacing w:val="-2"/>
          <w:lang w:val="en-AU"/>
        </w:rPr>
      </w:pPr>
      <w:r w:rsidRPr="00C6052E">
        <w:rPr>
          <w:spacing w:val="-2"/>
          <w:lang w:val="en-AU"/>
        </w:rPr>
        <w:t>Developed</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First</w:t>
      </w:r>
      <w:r w:rsidR="00177848" w:rsidRPr="00C6052E">
        <w:rPr>
          <w:spacing w:val="-2"/>
          <w:lang w:val="en-AU"/>
        </w:rPr>
        <w:t xml:space="preserve"> </w:t>
      </w:r>
      <w:r w:rsidRPr="00C6052E">
        <w:rPr>
          <w:spacing w:val="-2"/>
          <w:lang w:val="en-AU"/>
        </w:rPr>
        <w:t>Peoples</w:t>
      </w:r>
      <w:r w:rsidR="00177848" w:rsidRPr="00C6052E">
        <w:rPr>
          <w:spacing w:val="-2"/>
          <w:lang w:val="en-AU"/>
        </w:rPr>
        <w:t xml:space="preserve"> </w:t>
      </w:r>
      <w:r w:rsidRPr="00C6052E">
        <w:rPr>
          <w:spacing w:val="-2"/>
          <w:lang w:val="en-AU"/>
        </w:rPr>
        <w:t>Tourism</w:t>
      </w:r>
      <w:r w:rsidR="00177848" w:rsidRPr="00C6052E">
        <w:rPr>
          <w:spacing w:val="-2"/>
          <w:lang w:val="en-AU"/>
        </w:rPr>
        <w:t xml:space="preserve"> </w:t>
      </w:r>
      <w:r w:rsidRPr="00C6052E">
        <w:rPr>
          <w:spacing w:val="-2"/>
          <w:lang w:val="en-AU"/>
        </w:rPr>
        <w:t>Plan</w:t>
      </w:r>
      <w:r w:rsidR="00177848" w:rsidRPr="00C6052E">
        <w:rPr>
          <w:spacing w:val="-2"/>
          <w:lang w:val="en-AU"/>
        </w:rPr>
        <w:t xml:space="preserve"> </w:t>
      </w:r>
      <w:r w:rsidRPr="00C6052E">
        <w:rPr>
          <w:spacing w:val="-2"/>
          <w:lang w:val="en-AU"/>
        </w:rPr>
        <w:t>for</w:t>
      </w:r>
      <w:r w:rsidR="00177848" w:rsidRPr="00C6052E">
        <w:rPr>
          <w:spacing w:val="-2"/>
          <w:lang w:val="en-AU"/>
        </w:rPr>
        <w:t xml:space="preserve"> </w:t>
      </w:r>
      <w:r w:rsidRPr="00C6052E">
        <w:rPr>
          <w:spacing w:val="-2"/>
          <w:lang w:val="en-AU"/>
        </w:rPr>
        <w:t>Victoria.</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plan</w:t>
      </w:r>
      <w:r w:rsidR="00177848" w:rsidRPr="00C6052E">
        <w:rPr>
          <w:spacing w:val="-2"/>
          <w:lang w:val="en-AU"/>
        </w:rPr>
        <w:t xml:space="preserve"> </w:t>
      </w:r>
      <w:r w:rsidRPr="00C6052E">
        <w:rPr>
          <w:spacing w:val="-2"/>
          <w:lang w:val="en-AU"/>
        </w:rPr>
        <w:t>will</w:t>
      </w:r>
      <w:r w:rsidR="00177848" w:rsidRPr="00C6052E">
        <w:rPr>
          <w:spacing w:val="-2"/>
          <w:lang w:val="en-AU"/>
        </w:rPr>
        <w:t xml:space="preserve"> </w:t>
      </w:r>
      <w:r w:rsidRPr="00C6052E">
        <w:rPr>
          <w:spacing w:val="-2"/>
          <w:lang w:val="en-AU"/>
        </w:rPr>
        <w:t>celebrate</w:t>
      </w:r>
      <w:r w:rsidR="00177848" w:rsidRPr="00C6052E">
        <w:rPr>
          <w:spacing w:val="-2"/>
          <w:lang w:val="en-AU"/>
        </w:rPr>
        <w:t xml:space="preserve"> </w:t>
      </w:r>
      <w:r w:rsidRPr="00C6052E">
        <w:rPr>
          <w:spacing w:val="-2"/>
          <w:lang w:val="en-AU"/>
        </w:rPr>
        <w:t>Victoria’s</w:t>
      </w:r>
      <w:r w:rsidR="00177848" w:rsidRPr="00C6052E">
        <w:rPr>
          <w:spacing w:val="-2"/>
          <w:lang w:val="en-AU"/>
        </w:rPr>
        <w:t xml:space="preserve"> </w:t>
      </w:r>
      <w:r w:rsidRPr="00C6052E">
        <w:rPr>
          <w:spacing w:val="-2"/>
          <w:lang w:val="en-AU"/>
        </w:rPr>
        <w:t>unique</w:t>
      </w:r>
      <w:r w:rsidR="00177848" w:rsidRPr="00C6052E">
        <w:rPr>
          <w:spacing w:val="-2"/>
          <w:lang w:val="en-AU"/>
        </w:rPr>
        <w:t xml:space="preserve"> </w:t>
      </w:r>
      <w:r w:rsidRPr="00C6052E">
        <w:rPr>
          <w:spacing w:val="-2"/>
          <w:lang w:val="en-AU"/>
        </w:rPr>
        <w:t>First</w:t>
      </w:r>
      <w:r w:rsidR="00177848" w:rsidRPr="00C6052E">
        <w:rPr>
          <w:spacing w:val="-2"/>
          <w:lang w:val="en-AU"/>
        </w:rPr>
        <w:t xml:space="preserve"> </w:t>
      </w:r>
      <w:r w:rsidRPr="00C6052E">
        <w:rPr>
          <w:spacing w:val="-2"/>
          <w:lang w:val="en-AU"/>
        </w:rPr>
        <w:t>Peoples</w:t>
      </w:r>
      <w:r w:rsidR="00177848" w:rsidRPr="00C6052E">
        <w:rPr>
          <w:spacing w:val="-2"/>
          <w:lang w:val="en-AU"/>
        </w:rPr>
        <w:t xml:space="preserve"> </w:t>
      </w:r>
      <w:r w:rsidRPr="00C6052E">
        <w:rPr>
          <w:spacing w:val="-2"/>
          <w:lang w:val="en-AU"/>
        </w:rPr>
        <w:t>culture</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r w:rsidRPr="00C6052E">
        <w:rPr>
          <w:spacing w:val="-2"/>
          <w:lang w:val="en-AU"/>
        </w:rPr>
        <w:t>support</w:t>
      </w:r>
      <w:r w:rsidR="00177848" w:rsidRPr="00C6052E">
        <w:rPr>
          <w:spacing w:val="-2"/>
          <w:lang w:val="en-AU"/>
        </w:rPr>
        <w:t xml:space="preserve"> </w:t>
      </w:r>
      <w:r w:rsidRPr="00C6052E">
        <w:rPr>
          <w:spacing w:val="-2"/>
          <w:lang w:val="en-AU"/>
        </w:rPr>
        <w:t>wealth</w:t>
      </w:r>
      <w:r w:rsidR="00177848" w:rsidRPr="00C6052E">
        <w:rPr>
          <w:spacing w:val="-2"/>
          <w:lang w:val="en-AU"/>
        </w:rPr>
        <w:t xml:space="preserve"> </w:t>
      </w:r>
      <w:r w:rsidRPr="00C6052E">
        <w:rPr>
          <w:spacing w:val="-2"/>
          <w:lang w:val="en-AU"/>
        </w:rPr>
        <w:t>creation</w:t>
      </w:r>
      <w:r w:rsidR="00177848" w:rsidRPr="00C6052E">
        <w:rPr>
          <w:spacing w:val="-2"/>
          <w:lang w:val="en-AU"/>
        </w:rPr>
        <w:t xml:space="preserve"> </w:t>
      </w:r>
      <w:r w:rsidRPr="00C6052E">
        <w:rPr>
          <w:spacing w:val="-2"/>
          <w:lang w:val="en-AU"/>
        </w:rPr>
        <w:t>and</w:t>
      </w:r>
      <w:r w:rsidR="00177848" w:rsidRPr="00C6052E">
        <w:rPr>
          <w:spacing w:val="-2"/>
          <w:lang w:val="en-AU"/>
        </w:rPr>
        <w:t xml:space="preserve"> </w:t>
      </w:r>
      <w:r w:rsidRPr="00C6052E">
        <w:rPr>
          <w:spacing w:val="-2"/>
          <w:lang w:val="en-AU"/>
        </w:rPr>
        <w:t>opportunities</w:t>
      </w:r>
      <w:r w:rsidR="00177848" w:rsidRPr="00C6052E">
        <w:rPr>
          <w:spacing w:val="-2"/>
          <w:lang w:val="en-AU"/>
        </w:rPr>
        <w:t xml:space="preserve"> </w:t>
      </w:r>
      <w:r w:rsidRPr="00C6052E">
        <w:rPr>
          <w:spacing w:val="-2"/>
          <w:lang w:val="en-AU"/>
        </w:rPr>
        <w:t>for</w:t>
      </w:r>
      <w:r w:rsidR="00177848" w:rsidRPr="00C6052E">
        <w:rPr>
          <w:spacing w:val="-2"/>
          <w:lang w:val="en-AU"/>
        </w:rPr>
        <w:t xml:space="preserve"> </w:t>
      </w:r>
      <w:r w:rsidRPr="00C6052E">
        <w:rPr>
          <w:spacing w:val="-2"/>
          <w:lang w:val="en-AU"/>
        </w:rPr>
        <w:t>economic</w:t>
      </w:r>
      <w:r w:rsidR="00177848" w:rsidRPr="00C6052E">
        <w:rPr>
          <w:spacing w:val="-2"/>
          <w:lang w:val="en-AU"/>
        </w:rPr>
        <w:t xml:space="preserve"> </w:t>
      </w:r>
      <w:r w:rsidRPr="00C6052E">
        <w:rPr>
          <w:spacing w:val="-2"/>
          <w:lang w:val="en-AU"/>
        </w:rPr>
        <w:t>parity</w:t>
      </w:r>
      <w:r w:rsidR="00177848" w:rsidRPr="00C6052E">
        <w:rPr>
          <w:spacing w:val="-2"/>
          <w:lang w:val="en-AU"/>
        </w:rPr>
        <w:t xml:space="preserve"> </w:t>
      </w:r>
      <w:r w:rsidRPr="00C6052E">
        <w:rPr>
          <w:spacing w:val="-2"/>
          <w:lang w:val="en-AU"/>
        </w:rPr>
        <w:t>through</w:t>
      </w:r>
      <w:r w:rsidR="00177848" w:rsidRPr="00C6052E">
        <w:rPr>
          <w:spacing w:val="-2"/>
          <w:lang w:val="en-AU"/>
        </w:rPr>
        <w:t xml:space="preserve"> </w:t>
      </w:r>
      <w:r w:rsidRPr="00C6052E">
        <w:rPr>
          <w:spacing w:val="-2"/>
          <w:lang w:val="en-AU"/>
        </w:rPr>
        <w:t>tourism</w:t>
      </w:r>
    </w:p>
    <w:p w14:paraId="73E6870F" w14:textId="7BE41899" w:rsidR="00EE5BB8" w:rsidRPr="00C6052E" w:rsidRDefault="00EE5BB8" w:rsidP="00EE5BB8">
      <w:pPr>
        <w:pStyle w:val="Bullet1"/>
        <w:numPr>
          <w:ilvl w:val="0"/>
          <w:numId w:val="1"/>
        </w:numPr>
        <w:spacing w:line="278" w:lineRule="auto"/>
        <w:ind w:left="284" w:hanging="284"/>
        <w:rPr>
          <w:lang w:val="en-AU"/>
        </w:rPr>
      </w:pPr>
      <w:r w:rsidRPr="00C6052E">
        <w:rPr>
          <w:lang w:val="en-AU"/>
        </w:rPr>
        <w:t>Supported</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deliver</w:t>
      </w:r>
      <w:r w:rsidR="00177848" w:rsidRPr="00C6052E">
        <w:rPr>
          <w:lang w:val="en-AU"/>
        </w:rPr>
        <w:t xml:space="preserve"> </w:t>
      </w:r>
      <w:r w:rsidRPr="00C6052E">
        <w:rPr>
          <w:lang w:val="en-AU"/>
        </w:rPr>
        <w:t>a</w:t>
      </w:r>
      <w:r w:rsidR="00177848" w:rsidRPr="00C6052E">
        <w:rPr>
          <w:lang w:val="en-AU"/>
        </w:rPr>
        <w:t xml:space="preserve"> </w:t>
      </w:r>
      <w:r w:rsidRPr="00C6052E">
        <w:rPr>
          <w:lang w:val="en-AU"/>
        </w:rPr>
        <w:t>cooperative</w:t>
      </w:r>
      <w:r w:rsidR="00177848" w:rsidRPr="00C6052E">
        <w:rPr>
          <w:lang w:val="en-AU"/>
        </w:rPr>
        <w:t xml:space="preserve"> </w:t>
      </w:r>
      <w:r w:rsidRPr="00C6052E">
        <w:rPr>
          <w:lang w:val="en-AU"/>
        </w:rPr>
        <w:t>marketing</w:t>
      </w:r>
      <w:r w:rsidR="00177848" w:rsidRPr="00C6052E">
        <w:rPr>
          <w:lang w:val="en-AU"/>
        </w:rPr>
        <w:t xml:space="preserve"> </w:t>
      </w:r>
      <w:r w:rsidRPr="00C6052E">
        <w:rPr>
          <w:lang w:val="en-AU"/>
        </w:rPr>
        <w:t>program</w:t>
      </w:r>
      <w:r w:rsidR="00177848" w:rsidRPr="00C6052E">
        <w:rPr>
          <w:lang w:val="en-AU"/>
        </w:rPr>
        <w:t xml:space="preserve"> </w:t>
      </w:r>
      <w:r w:rsidRPr="00C6052E">
        <w:rPr>
          <w:lang w:val="en-AU"/>
        </w:rPr>
        <w:t>jointly</w:t>
      </w:r>
      <w:r w:rsidR="00177848" w:rsidRPr="00C6052E">
        <w:rPr>
          <w:lang w:val="en-AU"/>
        </w:rPr>
        <w:t xml:space="preserve"> </w:t>
      </w:r>
      <w:r w:rsidRPr="00C6052E">
        <w:rPr>
          <w:lang w:val="en-AU"/>
        </w:rPr>
        <w:t>funded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industry.</w:t>
      </w:r>
      <w:r w:rsidR="00177848" w:rsidRPr="00C6052E">
        <w:rPr>
          <w:lang w:val="en-AU"/>
        </w:rPr>
        <w:t xml:space="preserve"> </w:t>
      </w:r>
      <w:r w:rsidRPr="00C6052E">
        <w:rPr>
          <w:lang w:val="en-AU"/>
        </w:rPr>
        <w:t>Outcomes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program</w:t>
      </w:r>
      <w:r w:rsidR="00177848" w:rsidRPr="00C6052E">
        <w:rPr>
          <w:lang w:val="en-AU"/>
        </w:rPr>
        <w:t xml:space="preserve"> </w:t>
      </w:r>
      <w:r w:rsidRPr="00C6052E">
        <w:rPr>
          <w:lang w:val="en-AU"/>
        </w:rPr>
        <w:t>include</w:t>
      </w:r>
      <w:r w:rsidR="00177848" w:rsidRPr="00C6052E">
        <w:rPr>
          <w:lang w:val="en-AU"/>
        </w:rPr>
        <w:t xml:space="preserve"> </w:t>
      </w:r>
      <w:r w:rsidRPr="00C6052E">
        <w:rPr>
          <w:lang w:val="en-AU"/>
        </w:rPr>
        <w:t>partnerships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Delta</w:t>
      </w:r>
      <w:r w:rsidR="00177848" w:rsidRPr="00C6052E">
        <w:rPr>
          <w:lang w:val="en-AU"/>
        </w:rPr>
        <w:t xml:space="preserve"> </w:t>
      </w:r>
      <w:r w:rsidRPr="00C6052E">
        <w:rPr>
          <w:lang w:val="en-AU"/>
        </w:rPr>
        <w:t>Airlines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enable</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extra</w:t>
      </w:r>
      <w:r w:rsidR="00177848" w:rsidRPr="00C6052E">
        <w:rPr>
          <w:lang w:val="en-AU"/>
        </w:rPr>
        <w:t xml:space="preserve"> </w:t>
      </w:r>
      <w:r w:rsidRPr="00C6052E">
        <w:rPr>
          <w:lang w:val="en-AU"/>
        </w:rPr>
        <w:t>86,000</w:t>
      </w:r>
      <w:r w:rsidR="00177848" w:rsidRPr="00C6052E">
        <w:rPr>
          <w:lang w:val="en-AU"/>
        </w:rPr>
        <w:t xml:space="preserve"> </w:t>
      </w:r>
      <w:r w:rsidRPr="00C6052E">
        <w:rPr>
          <w:lang w:val="en-AU"/>
        </w:rPr>
        <w:t>seats</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direct</w:t>
      </w:r>
      <w:r w:rsidR="00177848" w:rsidRPr="00C6052E">
        <w:rPr>
          <w:lang w:val="en-AU"/>
        </w:rPr>
        <w:t xml:space="preserve"> </w:t>
      </w:r>
      <w:r w:rsidRPr="00C6052E">
        <w:rPr>
          <w:lang w:val="en-AU"/>
        </w:rPr>
        <w:t>flights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working</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Singapore</w:t>
      </w:r>
      <w:r w:rsidR="00177848" w:rsidRPr="00C6052E">
        <w:rPr>
          <w:lang w:val="en-AU"/>
        </w:rPr>
        <w:t xml:space="preserve"> </w:t>
      </w:r>
      <w:r w:rsidRPr="00C6052E">
        <w:rPr>
          <w:lang w:val="en-AU"/>
        </w:rPr>
        <w:t>Airlines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bring</w:t>
      </w:r>
      <w:r w:rsidR="00177848" w:rsidRPr="00C6052E">
        <w:rPr>
          <w:lang w:val="en-AU"/>
        </w:rPr>
        <w:t xml:space="preserve"> </w:t>
      </w:r>
      <w:r w:rsidRPr="00C6052E">
        <w:rPr>
          <w:lang w:val="en-AU"/>
        </w:rPr>
        <w:t>India’s</w:t>
      </w:r>
      <w:r w:rsidR="00177848" w:rsidRPr="00C6052E">
        <w:rPr>
          <w:lang w:val="en-AU"/>
        </w:rPr>
        <w:t xml:space="preserve"> </w:t>
      </w:r>
      <w:r w:rsidRPr="00C6052E">
        <w:rPr>
          <w:lang w:val="en-AU"/>
        </w:rPr>
        <w:t>leading</w:t>
      </w:r>
      <w:r w:rsidR="00177848" w:rsidRPr="00C6052E">
        <w:rPr>
          <w:lang w:val="en-AU"/>
        </w:rPr>
        <w:t xml:space="preserve"> </w:t>
      </w:r>
      <w:r w:rsidRPr="00C6052E">
        <w:rPr>
          <w:lang w:val="en-AU"/>
        </w:rPr>
        <w:t>TV</w:t>
      </w:r>
      <w:r w:rsidR="00177848" w:rsidRPr="00C6052E">
        <w:rPr>
          <w:lang w:val="en-AU"/>
        </w:rPr>
        <w:t xml:space="preserve"> </w:t>
      </w:r>
      <w:r w:rsidRPr="00C6052E">
        <w:rPr>
          <w:lang w:val="en-AU"/>
        </w:rPr>
        <w:t>broadcasters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shoot</w:t>
      </w:r>
      <w:r w:rsidR="00177848" w:rsidRPr="00C6052E">
        <w:rPr>
          <w:lang w:val="en-AU"/>
        </w:rPr>
        <w:t xml:space="preserve"> </w:t>
      </w:r>
      <w:r w:rsidRPr="00C6052E">
        <w:rPr>
          <w:lang w:val="en-AU"/>
        </w:rPr>
        <w:t>content</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was</w:t>
      </w:r>
      <w:r w:rsidR="00177848" w:rsidRPr="00C6052E">
        <w:rPr>
          <w:lang w:val="en-AU"/>
        </w:rPr>
        <w:t xml:space="preserve"> </w:t>
      </w:r>
      <w:r w:rsidRPr="00C6052E">
        <w:rPr>
          <w:lang w:val="en-AU"/>
        </w:rPr>
        <w:t>broadcast</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2</w:t>
      </w:r>
      <w:r w:rsidR="00177848" w:rsidRPr="00C6052E">
        <w:rPr>
          <w:lang w:val="en-AU"/>
        </w:rPr>
        <w:t xml:space="preserve"> </w:t>
      </w:r>
      <w:r w:rsidRPr="00C6052E">
        <w:rPr>
          <w:lang w:val="en-AU"/>
        </w:rPr>
        <w:t>million</w:t>
      </w:r>
      <w:r w:rsidR="00177848" w:rsidRPr="00C6052E">
        <w:rPr>
          <w:lang w:val="en-AU"/>
        </w:rPr>
        <w:t xml:space="preserve"> </w:t>
      </w:r>
      <w:r w:rsidRPr="00C6052E">
        <w:rPr>
          <w:lang w:val="en-AU"/>
        </w:rPr>
        <w:t>viewers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India</w:t>
      </w:r>
    </w:p>
    <w:p w14:paraId="6DD84508" w14:textId="6564F8FD" w:rsidR="00EE5BB8" w:rsidRPr="00C6052E" w:rsidRDefault="00EE5BB8" w:rsidP="00EE5BB8">
      <w:pPr>
        <w:pStyle w:val="Bullet1"/>
        <w:numPr>
          <w:ilvl w:val="0"/>
          <w:numId w:val="1"/>
        </w:numPr>
        <w:spacing w:line="278" w:lineRule="auto"/>
        <w:ind w:left="284" w:hanging="284"/>
        <w:rPr>
          <w:lang w:val="en-AU"/>
        </w:rPr>
      </w:pPr>
      <w:r w:rsidRPr="00C6052E">
        <w:rPr>
          <w:spacing w:val="-2"/>
          <w:lang w:val="en-AU"/>
        </w:rPr>
        <w:lastRenderedPageBreak/>
        <w:t>Supported</w:t>
      </w:r>
      <w:r w:rsidR="00177848" w:rsidRPr="00C6052E">
        <w:rPr>
          <w:spacing w:val="-2"/>
          <w:lang w:val="en-AU"/>
        </w:rPr>
        <w:t xml:space="preserve"> </w:t>
      </w:r>
      <w:r w:rsidRPr="00C6052E">
        <w:rPr>
          <w:spacing w:val="-2"/>
          <w:lang w:val="en-AU"/>
        </w:rPr>
        <w:t>29</w:t>
      </w:r>
      <w:r w:rsidR="00177848" w:rsidRPr="00C6052E">
        <w:rPr>
          <w:spacing w:val="-2"/>
          <w:lang w:val="en-AU"/>
        </w:rPr>
        <w:t xml:space="preserve"> </w:t>
      </w:r>
      <w:r w:rsidRPr="00C6052E">
        <w:rPr>
          <w:spacing w:val="-2"/>
          <w:lang w:val="en-AU"/>
        </w:rPr>
        <w:t>international</w:t>
      </w:r>
      <w:r w:rsidR="00177848" w:rsidRPr="00C6052E">
        <w:rPr>
          <w:spacing w:val="-2"/>
          <w:lang w:val="en-AU"/>
        </w:rPr>
        <w:t xml:space="preserve"> </w:t>
      </w:r>
      <w:r w:rsidRPr="00C6052E">
        <w:rPr>
          <w:spacing w:val="-2"/>
          <w:lang w:val="en-AU"/>
        </w:rPr>
        <w:t>events</w:t>
      </w:r>
      <w:r w:rsidR="00177848" w:rsidRPr="00C6052E">
        <w:rPr>
          <w:spacing w:val="-2"/>
          <w:lang w:val="en-AU"/>
        </w:rPr>
        <w:t xml:space="preserve"> </w:t>
      </w:r>
      <w:r w:rsidRPr="00C6052E">
        <w:rPr>
          <w:spacing w:val="-2"/>
          <w:lang w:val="en-AU"/>
        </w:rPr>
        <w:t>with</w:t>
      </w:r>
      <w:r w:rsidR="00177848" w:rsidRPr="00C6052E">
        <w:rPr>
          <w:spacing w:val="-2"/>
          <w:lang w:val="en-AU"/>
        </w:rPr>
        <w:t xml:space="preserve"> </w:t>
      </w:r>
      <w:r w:rsidRPr="00C6052E">
        <w:rPr>
          <w:spacing w:val="-2"/>
          <w:lang w:val="en-AU"/>
        </w:rPr>
        <w:t>the</w:t>
      </w:r>
      <w:r w:rsidR="00177848" w:rsidRPr="00C6052E">
        <w:rPr>
          <w:spacing w:val="-2"/>
          <w:lang w:val="en-AU"/>
        </w:rPr>
        <w:t xml:space="preserve"> </w:t>
      </w:r>
      <w:r w:rsidRPr="00C6052E">
        <w:rPr>
          <w:spacing w:val="-2"/>
          <w:lang w:val="en-AU"/>
        </w:rPr>
        <w:t>Melbourne</w:t>
      </w:r>
      <w:r w:rsidR="00177848" w:rsidRPr="00C6052E">
        <w:rPr>
          <w:lang w:val="en-AU"/>
        </w:rPr>
        <w:t xml:space="preserve"> </w:t>
      </w:r>
      <w:r w:rsidRPr="00C6052E">
        <w:rPr>
          <w:lang w:val="en-AU"/>
        </w:rPr>
        <w:t>Convention</w:t>
      </w:r>
      <w:r w:rsidR="00177848" w:rsidRPr="00C6052E">
        <w:rPr>
          <w:lang w:val="en-AU"/>
        </w:rPr>
        <w:t xml:space="preserve"> </w:t>
      </w:r>
      <w:r w:rsidRPr="00C6052E">
        <w:rPr>
          <w:lang w:val="en-AU"/>
        </w:rPr>
        <w:t>Bureau</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Business</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Fund,</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World</w:t>
      </w:r>
      <w:r w:rsidR="00177848" w:rsidRPr="00C6052E">
        <w:rPr>
          <w:lang w:val="en-AU"/>
        </w:rPr>
        <w:t xml:space="preserve"> </w:t>
      </w:r>
      <w:r w:rsidRPr="00C6052E">
        <w:rPr>
          <w:lang w:val="en-AU"/>
        </w:rPr>
        <w:t>Congress</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Menopause</w:t>
      </w:r>
      <w:r w:rsidR="00177848" w:rsidRPr="00C6052E">
        <w:rPr>
          <w:lang w:val="en-AU"/>
        </w:rPr>
        <w:t xml:space="preserve"> </w:t>
      </w:r>
      <w:r w:rsidRPr="00C6052E">
        <w:rPr>
          <w:lang w:val="en-AU"/>
        </w:rPr>
        <w:t>2024</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Amway</w:t>
      </w:r>
      <w:r w:rsidR="00177848" w:rsidRPr="00C6052E">
        <w:rPr>
          <w:lang w:val="en-AU"/>
        </w:rPr>
        <w:t xml:space="preserve"> </w:t>
      </w:r>
      <w:r w:rsidRPr="00C6052E">
        <w:rPr>
          <w:lang w:val="en-AU"/>
        </w:rPr>
        <w:t>China</w:t>
      </w:r>
      <w:r w:rsidR="00177848" w:rsidRPr="00C6052E">
        <w:rPr>
          <w:lang w:val="en-AU"/>
        </w:rPr>
        <w:t xml:space="preserve"> </w:t>
      </w:r>
      <w:r w:rsidRPr="00C6052E">
        <w:rPr>
          <w:lang w:val="en-AU"/>
        </w:rPr>
        <w:t>Leadership</w:t>
      </w:r>
      <w:r w:rsidR="00177848" w:rsidRPr="00C6052E">
        <w:rPr>
          <w:lang w:val="en-AU"/>
        </w:rPr>
        <w:t xml:space="preserve"> </w:t>
      </w:r>
      <w:r w:rsidRPr="00C6052E">
        <w:rPr>
          <w:lang w:val="en-AU"/>
        </w:rPr>
        <w:t>Seminar</w:t>
      </w:r>
      <w:r w:rsidR="00177848" w:rsidRPr="00C6052E">
        <w:rPr>
          <w:lang w:val="en-AU"/>
        </w:rPr>
        <w:t xml:space="preserve"> </w:t>
      </w:r>
      <w:r w:rsidRPr="00C6052E">
        <w:rPr>
          <w:lang w:val="en-AU"/>
        </w:rPr>
        <w:t>2025</w:t>
      </w:r>
    </w:p>
    <w:p w14:paraId="1CDD240B" w14:textId="58C2FF21" w:rsidR="00EE5BB8" w:rsidRPr="00C6052E" w:rsidRDefault="00EE5BB8" w:rsidP="00EE5BB8">
      <w:pPr>
        <w:pStyle w:val="Bullet1last"/>
        <w:numPr>
          <w:ilvl w:val="0"/>
          <w:numId w:val="1"/>
        </w:numPr>
        <w:spacing w:line="278" w:lineRule="auto"/>
        <w:ind w:left="284" w:hanging="284"/>
        <w:rPr>
          <w:lang w:val="en-AU"/>
        </w:rPr>
      </w:pPr>
      <w:r w:rsidRPr="00C6052E">
        <w:rPr>
          <w:lang w:val="en-AU"/>
        </w:rPr>
        <w:t>Supported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delivery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23</w:t>
      </w:r>
      <w:r w:rsidR="00177848" w:rsidRPr="00C6052E">
        <w:rPr>
          <w:lang w:val="en-AU"/>
        </w:rPr>
        <w:t xml:space="preserve"> </w:t>
      </w:r>
      <w:r w:rsidRPr="00C6052E">
        <w:rPr>
          <w:lang w:val="en-AU"/>
        </w:rPr>
        <w:t>major</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funded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Major</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Fund,</w:t>
      </w:r>
      <w:r w:rsidR="00177848" w:rsidRPr="00C6052E">
        <w:rPr>
          <w:lang w:val="en-AU"/>
        </w:rPr>
        <w:t xml:space="preserve"> </w:t>
      </w:r>
      <w:r w:rsidRPr="00C6052E">
        <w:rPr>
          <w:lang w:val="en-AU"/>
        </w:rPr>
        <w:t>including</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Melbourne</w:t>
      </w:r>
      <w:r w:rsidR="00177848" w:rsidRPr="00C6052E">
        <w:rPr>
          <w:lang w:val="en-AU"/>
        </w:rPr>
        <w:t xml:space="preserve"> </w:t>
      </w:r>
      <w:r w:rsidRPr="00C6052E">
        <w:rPr>
          <w:lang w:val="en-AU"/>
        </w:rPr>
        <w:t>Winter</w:t>
      </w:r>
      <w:r w:rsidR="00177848" w:rsidRPr="00C6052E">
        <w:rPr>
          <w:lang w:val="en-AU"/>
        </w:rPr>
        <w:t xml:space="preserve"> </w:t>
      </w:r>
      <w:r w:rsidRPr="00C6052E">
        <w:rPr>
          <w:lang w:val="en-AU"/>
        </w:rPr>
        <w:t>Masterpieces</w:t>
      </w:r>
      <w:r w:rsidR="00177848" w:rsidRPr="00C6052E">
        <w:rPr>
          <w:lang w:val="en-AU"/>
        </w:rPr>
        <w:t xml:space="preserve"> </w:t>
      </w:r>
      <w:r w:rsidRPr="00C6052E">
        <w:rPr>
          <w:lang w:val="en-AU"/>
        </w:rPr>
        <w:t>French</w:t>
      </w:r>
      <w:r w:rsidR="00177848" w:rsidRPr="00C6052E">
        <w:rPr>
          <w:lang w:val="en-AU"/>
        </w:rPr>
        <w:t xml:space="preserve"> </w:t>
      </w:r>
      <w:r w:rsidRPr="00C6052E">
        <w:rPr>
          <w:lang w:val="en-AU"/>
        </w:rPr>
        <w:t>Impressionism</w:t>
      </w:r>
      <w:r w:rsidR="00177848" w:rsidRPr="00C6052E">
        <w:rPr>
          <w:lang w:val="en-AU"/>
        </w:rPr>
        <w:t xml:space="preserve"> </w:t>
      </w:r>
      <w:r w:rsidRPr="00C6052E">
        <w:rPr>
          <w:lang w:val="en-AU"/>
        </w:rPr>
        <w:t>exhibition</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NGV</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RISING</w:t>
      </w:r>
      <w:r w:rsidR="00177848" w:rsidRPr="00C6052E">
        <w:rPr>
          <w:lang w:val="en-AU"/>
        </w:rPr>
        <w:t xml:space="preserve"> </w:t>
      </w:r>
      <w:r w:rsidRPr="00C6052E">
        <w:rPr>
          <w:lang w:val="en-AU"/>
        </w:rPr>
        <w:t>Festival.</w:t>
      </w:r>
      <w:r w:rsidR="00177848" w:rsidRPr="00C6052E">
        <w:rPr>
          <w:lang w:val="en-AU"/>
        </w:rPr>
        <w:t xml:space="preserve"> </w:t>
      </w:r>
    </w:p>
    <w:p w14:paraId="6ABC6F45" w14:textId="14E39223" w:rsidR="00EE5BB8" w:rsidRPr="00C6052E" w:rsidRDefault="00EE5BB8" w:rsidP="00EE5BB8">
      <w:pPr>
        <w:pStyle w:val="Heading3"/>
      </w:pPr>
      <w:bookmarkStart w:id="41" w:name="_Toc152067232"/>
      <w:r w:rsidRPr="00C6052E">
        <w:t>Indicator:</w:t>
      </w:r>
      <w:r w:rsidR="00177848" w:rsidRPr="00C6052E">
        <w:t xml:space="preserve"> </w:t>
      </w:r>
      <w:r w:rsidRPr="00C6052E">
        <w:t>Increase</w:t>
      </w:r>
      <w:r w:rsidR="00177848" w:rsidRPr="00C6052E">
        <w:t xml:space="preserve"> </w:t>
      </w:r>
      <w:r w:rsidRPr="00C6052E">
        <w:t>rates</w:t>
      </w:r>
      <w:r w:rsidR="00177848" w:rsidRPr="00C6052E">
        <w:t xml:space="preserve"> </w:t>
      </w:r>
      <w:r w:rsidRPr="00C6052E">
        <w:t>of</w:t>
      </w:r>
      <w:r w:rsidR="00177848" w:rsidRPr="00C6052E">
        <w:t xml:space="preserve"> </w:t>
      </w:r>
      <w:r w:rsidRPr="00C6052E">
        <w:t>community</w:t>
      </w:r>
      <w:r w:rsidR="00177848" w:rsidRPr="00C6052E">
        <w:t xml:space="preserve"> </w:t>
      </w:r>
      <w:r w:rsidRPr="00C6052E">
        <w:t>engagement,</w:t>
      </w:r>
      <w:r w:rsidR="00177848" w:rsidRPr="00C6052E">
        <w:t xml:space="preserve"> </w:t>
      </w:r>
      <w:r w:rsidRPr="00C6052E">
        <w:t>including</w:t>
      </w:r>
      <w:r w:rsidR="00177848" w:rsidRPr="00C6052E">
        <w:t xml:space="preserve"> </w:t>
      </w:r>
      <w:r w:rsidRPr="00C6052E">
        <w:t>through</w:t>
      </w:r>
      <w:r w:rsidR="00177848" w:rsidRPr="00C6052E">
        <w:t xml:space="preserve"> </w:t>
      </w:r>
      <w:r w:rsidRPr="00C6052E">
        <w:t>participation</w:t>
      </w:r>
      <w:r w:rsidR="00177848" w:rsidRPr="00C6052E">
        <w:t xml:space="preserve"> </w:t>
      </w:r>
      <w:r w:rsidRPr="00C6052E">
        <w:t>in</w:t>
      </w:r>
      <w:r w:rsidR="00177848" w:rsidRPr="00C6052E">
        <w:t xml:space="preserve"> </w:t>
      </w:r>
      <w:r w:rsidRPr="00C6052E">
        <w:t>sport,</w:t>
      </w:r>
      <w:r w:rsidR="00177848" w:rsidRPr="00C6052E">
        <w:t xml:space="preserve"> </w:t>
      </w:r>
      <w:r w:rsidRPr="00C6052E">
        <w:t>recreation</w:t>
      </w:r>
      <w:bookmarkEnd w:id="41"/>
      <w:r w:rsidR="00177848" w:rsidRPr="00C6052E">
        <w:t xml:space="preserve"> </w:t>
      </w:r>
      <w:r w:rsidRPr="00C6052E">
        <w:t>and</w:t>
      </w:r>
      <w:r w:rsidR="00177848" w:rsidRPr="00C6052E">
        <w:t xml:space="preserve"> </w:t>
      </w:r>
      <w:r w:rsidRPr="00C6052E">
        <w:t>cultural</w:t>
      </w:r>
      <w:r w:rsidR="00177848" w:rsidRPr="00C6052E">
        <w:t xml:space="preserve"> </w:t>
      </w:r>
      <w:r w:rsidRPr="00C6052E">
        <w:t>activities</w:t>
      </w:r>
    </w:p>
    <w:p w14:paraId="5A058986" w14:textId="4EE0708D" w:rsidR="00EE5BB8" w:rsidRPr="00C6052E" w:rsidRDefault="00EE5BB8" w:rsidP="00EE5BB8">
      <w:pPr>
        <w:pStyle w:val="TableHeading"/>
      </w:pPr>
      <w:r w:rsidRPr="00C6052E">
        <w:t>Table</w:t>
      </w:r>
      <w:r w:rsidR="00177848" w:rsidRPr="00C6052E">
        <w:t xml:space="preserve"> </w:t>
      </w:r>
      <w:r w:rsidRPr="00C6052E">
        <w:t>21:</w:t>
      </w:r>
      <w:r w:rsidR="00177848" w:rsidRPr="00C6052E">
        <w:t xml:space="preserve"> </w:t>
      </w:r>
      <w:r w:rsidRPr="00C6052E">
        <w:t>Increase</w:t>
      </w:r>
      <w:r w:rsidR="00177848" w:rsidRPr="00C6052E">
        <w:t xml:space="preserve"> </w:t>
      </w:r>
      <w:r w:rsidRPr="00C6052E">
        <w:t>rates</w:t>
      </w:r>
      <w:r w:rsidR="00177848" w:rsidRPr="00C6052E">
        <w:t xml:space="preserve"> </w:t>
      </w:r>
      <w:r w:rsidRPr="00C6052E">
        <w:t>of</w:t>
      </w:r>
      <w:r w:rsidR="00177848" w:rsidRPr="00C6052E">
        <w:t xml:space="preserve"> </w:t>
      </w:r>
      <w:r w:rsidRPr="00C6052E">
        <w:t>community</w:t>
      </w:r>
      <w:r w:rsidR="00177848" w:rsidRPr="00C6052E">
        <w:t xml:space="preserve"> </w:t>
      </w:r>
      <w:r w:rsidRPr="00C6052E">
        <w:t>engagement,</w:t>
      </w:r>
      <w:r w:rsidR="00177848" w:rsidRPr="00C6052E">
        <w:t xml:space="preserve"> </w:t>
      </w:r>
      <w:r w:rsidRPr="00C6052E">
        <w:t>including</w:t>
      </w:r>
      <w:r w:rsidR="00177848" w:rsidRPr="00C6052E">
        <w:t xml:space="preserve"> </w:t>
      </w:r>
      <w:r w:rsidRPr="00C6052E">
        <w:t>through</w:t>
      </w:r>
      <w:r w:rsidR="00177848" w:rsidRPr="00C6052E">
        <w:t xml:space="preserve"> </w:t>
      </w:r>
      <w:r w:rsidRPr="00C6052E">
        <w:t>participation</w:t>
      </w:r>
      <w:r w:rsidR="00177848" w:rsidRPr="00C6052E">
        <w:t xml:space="preserve"> </w:t>
      </w:r>
      <w:r w:rsidRPr="00C6052E">
        <w:t>in</w:t>
      </w:r>
      <w:r w:rsidR="00177848" w:rsidRPr="00C6052E">
        <w:t xml:space="preserve"> </w:t>
      </w:r>
      <w:r w:rsidRPr="00C6052E">
        <w:t>sport,</w:t>
      </w:r>
      <w:r w:rsidR="00177848" w:rsidRPr="00C6052E">
        <w:t xml:space="preserve"> </w:t>
      </w:r>
      <w:r w:rsidRPr="00C6052E">
        <w:t>recreation</w:t>
      </w:r>
      <w:r w:rsidR="00177848" w:rsidRPr="00C6052E">
        <w:t xml:space="preserve"> </w:t>
      </w:r>
      <w:r w:rsidRPr="00C6052E">
        <w:t>and</w:t>
      </w:r>
      <w:r w:rsidR="00177848" w:rsidRPr="00C6052E">
        <w:t xml:space="preserve"> </w:t>
      </w:r>
      <w:r w:rsidRPr="00C6052E">
        <w:t>cultural</w:t>
      </w:r>
      <w:r w:rsidR="00177848" w:rsidRPr="00C6052E">
        <w:t xml:space="preserve"> </w:t>
      </w:r>
      <w:r w:rsidRPr="00C6052E">
        <w:t>activities</w:t>
      </w:r>
    </w:p>
    <w:tbl>
      <w:tblPr>
        <w:tblStyle w:val="TableGrid"/>
        <w:tblW w:w="9634" w:type="dxa"/>
        <w:tblLayout w:type="fixed"/>
        <w:tblLook w:val="0020" w:firstRow="1" w:lastRow="0" w:firstColumn="0" w:lastColumn="0" w:noHBand="0" w:noVBand="0"/>
      </w:tblPr>
      <w:tblGrid>
        <w:gridCol w:w="4815"/>
        <w:gridCol w:w="1204"/>
        <w:gridCol w:w="1205"/>
        <w:gridCol w:w="1205"/>
        <w:gridCol w:w="1205"/>
      </w:tblGrid>
      <w:tr w:rsidR="00EE5BB8" w:rsidRPr="00C6052E" w14:paraId="682B754D" w14:textId="77777777" w:rsidTr="0063097D">
        <w:tc>
          <w:tcPr>
            <w:tcW w:w="4815" w:type="dxa"/>
          </w:tcPr>
          <w:p w14:paraId="2179C341" w14:textId="77E480FC" w:rsidR="00EE5BB8" w:rsidRPr="00C6052E" w:rsidRDefault="00EE5BB8" w:rsidP="0063097D">
            <w:pPr>
              <w:pStyle w:val="TableColumnHeading"/>
              <w:rPr>
                <w:lang w:val="en-AU"/>
              </w:rPr>
            </w:pPr>
            <w:bookmarkStart w:id="42" w:name="TableColumnHeadings_29"/>
            <w:bookmarkEnd w:id="42"/>
            <w:r w:rsidRPr="00C6052E">
              <w:rPr>
                <w:lang w:val="en-AU"/>
              </w:rPr>
              <w:t>Measure</w:t>
            </w:r>
            <w:r w:rsidR="00177848"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04" w:type="dxa"/>
          </w:tcPr>
          <w:p w14:paraId="57446BD4" w14:textId="77777777" w:rsidR="00EE5BB8" w:rsidRPr="00C6052E" w:rsidRDefault="00EE5BB8" w:rsidP="0063097D">
            <w:pPr>
              <w:pStyle w:val="TableColumnHeading"/>
              <w:jc w:val="right"/>
              <w:rPr>
                <w:lang w:val="en-AU"/>
              </w:rPr>
            </w:pPr>
            <w:r w:rsidRPr="00C6052E">
              <w:rPr>
                <w:lang w:val="en-AU"/>
              </w:rPr>
              <w:t>2021–22</w:t>
            </w:r>
          </w:p>
        </w:tc>
        <w:tc>
          <w:tcPr>
            <w:tcW w:w="1205" w:type="dxa"/>
          </w:tcPr>
          <w:p w14:paraId="76E98E56" w14:textId="77777777" w:rsidR="00EE5BB8" w:rsidRPr="00C6052E" w:rsidRDefault="00EE5BB8" w:rsidP="0063097D">
            <w:pPr>
              <w:pStyle w:val="TableColumnHeading"/>
              <w:jc w:val="right"/>
              <w:rPr>
                <w:lang w:val="en-AU"/>
              </w:rPr>
            </w:pPr>
            <w:r w:rsidRPr="00C6052E">
              <w:rPr>
                <w:lang w:val="en-AU"/>
              </w:rPr>
              <w:t>2022–23</w:t>
            </w:r>
          </w:p>
        </w:tc>
        <w:tc>
          <w:tcPr>
            <w:tcW w:w="1205" w:type="dxa"/>
          </w:tcPr>
          <w:p w14:paraId="79066FC7" w14:textId="77777777" w:rsidR="00EE5BB8" w:rsidRPr="00C6052E" w:rsidRDefault="00EE5BB8" w:rsidP="0063097D">
            <w:pPr>
              <w:pStyle w:val="TableColumnHeading"/>
              <w:jc w:val="right"/>
              <w:rPr>
                <w:lang w:val="en-AU"/>
              </w:rPr>
            </w:pPr>
            <w:r w:rsidRPr="00C6052E">
              <w:rPr>
                <w:lang w:val="en-AU"/>
              </w:rPr>
              <w:t>2023–24</w:t>
            </w:r>
          </w:p>
        </w:tc>
        <w:tc>
          <w:tcPr>
            <w:tcW w:w="1205" w:type="dxa"/>
          </w:tcPr>
          <w:p w14:paraId="06FB0CEC" w14:textId="77777777" w:rsidR="00EE5BB8" w:rsidRPr="00C6052E" w:rsidRDefault="00EE5BB8" w:rsidP="0063097D">
            <w:pPr>
              <w:pStyle w:val="TableColumnHeading"/>
              <w:jc w:val="right"/>
              <w:rPr>
                <w:lang w:val="en-AU"/>
              </w:rPr>
            </w:pPr>
            <w:r w:rsidRPr="00C6052E">
              <w:rPr>
                <w:lang w:val="en-AU"/>
              </w:rPr>
              <w:t>2024–25</w:t>
            </w:r>
          </w:p>
        </w:tc>
      </w:tr>
      <w:tr w:rsidR="00EE5BB8" w:rsidRPr="00C6052E" w14:paraId="529BA333" w14:textId="77777777" w:rsidTr="0063097D">
        <w:tc>
          <w:tcPr>
            <w:tcW w:w="4815" w:type="dxa"/>
          </w:tcPr>
          <w:p w14:paraId="663FF452" w14:textId="2B063051" w:rsidR="00EE5BB8" w:rsidRPr="00C6052E" w:rsidRDefault="00EE5BB8" w:rsidP="0063097D">
            <w:pPr>
              <w:pStyle w:val="TableCopy"/>
              <w:rPr>
                <w:lang w:val="en-AU"/>
              </w:rPr>
            </w:pPr>
            <w:r w:rsidRPr="00C6052E">
              <w:rPr>
                <w:lang w:val="en-AU"/>
              </w:rPr>
              <w:t>Percentage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adult</w:t>
            </w:r>
            <w:r w:rsidR="00177848" w:rsidRPr="00C6052E">
              <w:rPr>
                <w:lang w:val="en-AU"/>
              </w:rPr>
              <w:t xml:space="preserve"> </w:t>
            </w:r>
            <w:r w:rsidRPr="00C6052E">
              <w:rPr>
                <w:lang w:val="en-AU"/>
              </w:rPr>
              <w:t>Victorians</w:t>
            </w:r>
            <w:r w:rsidR="00177848" w:rsidRPr="00C6052E">
              <w:rPr>
                <w:lang w:val="en-AU"/>
              </w:rPr>
              <w:t xml:space="preserve"> </w:t>
            </w:r>
            <w:r w:rsidRPr="00C6052E">
              <w:rPr>
                <w:lang w:val="en-AU"/>
              </w:rPr>
              <w:t>participating</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sport</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least</w:t>
            </w:r>
            <w:r w:rsidR="00177848" w:rsidRPr="00C6052E">
              <w:rPr>
                <w:lang w:val="en-AU"/>
              </w:rPr>
              <w:t xml:space="preserve"> </w:t>
            </w:r>
            <w:r w:rsidRPr="00C6052E">
              <w:rPr>
                <w:lang w:val="en-AU"/>
              </w:rPr>
              <w:t>once</w:t>
            </w:r>
            <w:r w:rsidR="00177848" w:rsidRPr="00C6052E">
              <w:rPr>
                <w:lang w:val="en-AU"/>
              </w:rPr>
              <w:t xml:space="preserve"> </w:t>
            </w:r>
            <w:r w:rsidRPr="00C6052E">
              <w:rPr>
                <w:lang w:val="en-AU"/>
              </w:rPr>
              <w:t>per</w:t>
            </w:r>
            <w:r w:rsidR="00177848" w:rsidRPr="00C6052E">
              <w:rPr>
                <w:lang w:val="en-AU"/>
              </w:rPr>
              <w:t xml:space="preserve"> </w:t>
            </w:r>
            <w:r w:rsidRPr="00C6052E">
              <w:rPr>
                <w:lang w:val="en-AU"/>
              </w:rPr>
              <w:t>year</w:t>
            </w:r>
            <w:r w:rsidR="00177848" w:rsidRPr="00C6052E">
              <w:rPr>
                <w:lang w:val="en-AU"/>
              </w:rPr>
              <w:t xml:space="preserve"> </w:t>
            </w:r>
            <w:r w:rsidRPr="00C6052E">
              <w:rPr>
                <w:lang w:val="en-AU"/>
              </w:rPr>
              <w:t>(per</w:t>
            </w:r>
            <w:r w:rsidR="00177848" w:rsidRPr="00C6052E">
              <w:rPr>
                <w:lang w:val="en-AU"/>
              </w:rPr>
              <w:t xml:space="preserve"> </w:t>
            </w:r>
            <w:proofErr w:type="gramStart"/>
            <w:r w:rsidRPr="00C6052E">
              <w:rPr>
                <w:lang w:val="en-AU"/>
              </w:rPr>
              <w:t>cent)*</w:t>
            </w:r>
            <w:proofErr w:type="gramEnd"/>
          </w:p>
        </w:tc>
        <w:tc>
          <w:tcPr>
            <w:tcW w:w="1204" w:type="dxa"/>
          </w:tcPr>
          <w:p w14:paraId="3E8CD677" w14:textId="77777777" w:rsidR="00EE5BB8" w:rsidRPr="00C6052E" w:rsidRDefault="00EE5BB8" w:rsidP="0063097D">
            <w:pPr>
              <w:pStyle w:val="TableCopy"/>
              <w:jc w:val="right"/>
              <w:rPr>
                <w:lang w:val="en-AU"/>
              </w:rPr>
            </w:pPr>
            <w:r w:rsidRPr="00C6052E">
              <w:rPr>
                <w:lang w:val="en-AU"/>
              </w:rPr>
              <w:t>90.9</w:t>
            </w:r>
          </w:p>
        </w:tc>
        <w:tc>
          <w:tcPr>
            <w:tcW w:w="1205" w:type="dxa"/>
          </w:tcPr>
          <w:p w14:paraId="3C0C638E" w14:textId="77777777" w:rsidR="00EE5BB8" w:rsidRPr="00C6052E" w:rsidRDefault="00EE5BB8" w:rsidP="0063097D">
            <w:pPr>
              <w:pStyle w:val="TableCopy"/>
              <w:jc w:val="right"/>
              <w:rPr>
                <w:lang w:val="en-AU"/>
              </w:rPr>
            </w:pPr>
            <w:r w:rsidRPr="00C6052E">
              <w:rPr>
                <w:lang w:val="en-AU"/>
              </w:rPr>
              <w:t>89.1**</w:t>
            </w:r>
          </w:p>
        </w:tc>
        <w:tc>
          <w:tcPr>
            <w:tcW w:w="1205" w:type="dxa"/>
          </w:tcPr>
          <w:p w14:paraId="42540DA3" w14:textId="77777777" w:rsidR="00EE5BB8" w:rsidRPr="00C6052E" w:rsidRDefault="00EE5BB8" w:rsidP="0063097D">
            <w:pPr>
              <w:pStyle w:val="TableCopy"/>
              <w:jc w:val="right"/>
              <w:rPr>
                <w:lang w:val="en-AU"/>
              </w:rPr>
            </w:pPr>
            <w:r w:rsidRPr="00C6052E">
              <w:rPr>
                <w:lang w:val="en-AU"/>
              </w:rPr>
              <w:t>85.4</w:t>
            </w:r>
          </w:p>
        </w:tc>
        <w:tc>
          <w:tcPr>
            <w:tcW w:w="1205" w:type="dxa"/>
          </w:tcPr>
          <w:p w14:paraId="2D9BF1E5" w14:textId="77777777" w:rsidR="00EE5BB8" w:rsidRPr="00C6052E" w:rsidRDefault="00EE5BB8" w:rsidP="0063097D">
            <w:pPr>
              <w:pStyle w:val="TableCopy"/>
              <w:jc w:val="right"/>
              <w:rPr>
                <w:lang w:val="en-AU"/>
              </w:rPr>
            </w:pPr>
            <w:r w:rsidRPr="00C6052E">
              <w:rPr>
                <w:lang w:val="en-AU"/>
              </w:rPr>
              <w:t>N/A***</w:t>
            </w:r>
          </w:p>
        </w:tc>
      </w:tr>
    </w:tbl>
    <w:p w14:paraId="37D0C088" w14:textId="28BDA40C" w:rsidR="00EE5BB8" w:rsidRPr="00C6052E" w:rsidRDefault="00EE5BB8" w:rsidP="00EE5BB8">
      <w:pPr>
        <w:pStyle w:val="Tablenotes"/>
      </w:pPr>
      <w:r w:rsidRPr="00C6052E">
        <w:t>*</w:t>
      </w:r>
      <w:r w:rsidRPr="00C6052E">
        <w:tab/>
      </w:r>
      <w:proofErr w:type="spellStart"/>
      <w:r w:rsidRPr="00C6052E">
        <w:t>Ausplay</w:t>
      </w:r>
      <w:proofErr w:type="spellEnd"/>
      <w:r w:rsidR="00177848" w:rsidRPr="00C6052E">
        <w:t xml:space="preserve"> </w:t>
      </w:r>
      <w:r w:rsidRPr="00C6052E">
        <w:t>has</w:t>
      </w:r>
      <w:r w:rsidR="00177848" w:rsidRPr="00C6052E">
        <w:t xml:space="preserve"> </w:t>
      </w:r>
      <w:r w:rsidRPr="00C6052E">
        <w:t>changed</w:t>
      </w:r>
      <w:r w:rsidR="00177848" w:rsidRPr="00C6052E">
        <w:t xml:space="preserve"> </w:t>
      </w:r>
      <w:r w:rsidRPr="00C6052E">
        <w:t>its</w:t>
      </w:r>
      <w:r w:rsidR="00177848" w:rsidRPr="00C6052E">
        <w:t xml:space="preserve"> </w:t>
      </w:r>
      <w:r w:rsidRPr="00C6052E">
        <w:t>survey</w:t>
      </w:r>
      <w:r w:rsidR="00177848" w:rsidRPr="00C6052E">
        <w:t xml:space="preserve"> </w:t>
      </w:r>
      <w:r w:rsidRPr="00C6052E">
        <w:t>methodology</w:t>
      </w:r>
      <w:r w:rsidR="00177848" w:rsidRPr="00C6052E">
        <w:t xml:space="preserve"> </w:t>
      </w:r>
      <w:r w:rsidRPr="00C6052E">
        <w:t>to</w:t>
      </w:r>
      <w:r w:rsidR="00177848" w:rsidRPr="00C6052E">
        <w:t xml:space="preserve"> </w:t>
      </w:r>
      <w:r w:rsidRPr="00C6052E">
        <w:t>an</w:t>
      </w:r>
      <w:r w:rsidR="00177848" w:rsidRPr="00C6052E">
        <w:t xml:space="preserve"> </w:t>
      </w:r>
      <w:r w:rsidRPr="00C6052E">
        <w:t>online</w:t>
      </w:r>
      <w:r w:rsidR="00177848" w:rsidRPr="00C6052E">
        <w:t xml:space="preserve"> </w:t>
      </w:r>
      <w:r w:rsidRPr="00C6052E">
        <w:t>model</w:t>
      </w:r>
      <w:r w:rsidR="00177848" w:rsidRPr="00C6052E">
        <w:t xml:space="preserve"> </w:t>
      </w:r>
      <w:r w:rsidRPr="00C6052E">
        <w:t>(previously</w:t>
      </w:r>
      <w:r w:rsidR="00177848" w:rsidRPr="00C6052E">
        <w:t xml:space="preserve"> </w:t>
      </w:r>
      <w:r w:rsidRPr="00C6052E">
        <w:t>telephone)</w:t>
      </w:r>
      <w:r w:rsidR="00177848" w:rsidRPr="00C6052E">
        <w:t xml:space="preserve"> </w:t>
      </w:r>
      <w:r w:rsidRPr="00C6052E">
        <w:t>which</w:t>
      </w:r>
      <w:r w:rsidR="00177848" w:rsidRPr="00C6052E">
        <w:t xml:space="preserve"> </w:t>
      </w:r>
      <w:r w:rsidRPr="00C6052E">
        <w:t>has</w:t>
      </w:r>
      <w:r w:rsidR="00177848" w:rsidRPr="00C6052E">
        <w:t xml:space="preserve"> </w:t>
      </w:r>
      <w:r w:rsidRPr="00C6052E">
        <w:t>yielded</w:t>
      </w:r>
      <w:r w:rsidR="00177848" w:rsidRPr="00C6052E">
        <w:t xml:space="preserve"> </w:t>
      </w:r>
      <w:r w:rsidRPr="00C6052E">
        <w:t>lower</w:t>
      </w:r>
      <w:r w:rsidR="00177848" w:rsidRPr="00C6052E">
        <w:t xml:space="preserve"> </w:t>
      </w:r>
      <w:r w:rsidRPr="00C6052E">
        <w:t>results</w:t>
      </w:r>
      <w:r w:rsidR="00177848" w:rsidRPr="00C6052E">
        <w:t xml:space="preserve"> </w:t>
      </w:r>
      <w:r w:rsidRPr="00C6052E">
        <w:t>nationwide</w:t>
      </w:r>
      <w:r w:rsidR="00177848" w:rsidRPr="00C6052E">
        <w:t xml:space="preserve"> </w:t>
      </w:r>
      <w:r w:rsidRPr="00C6052E">
        <w:t>(including</w:t>
      </w:r>
      <w:r w:rsidR="00177848" w:rsidRPr="00C6052E">
        <w:t xml:space="preserve"> </w:t>
      </w:r>
      <w:r w:rsidRPr="00C6052E">
        <w:t>Victoria).</w:t>
      </w:r>
      <w:r w:rsidR="00177848" w:rsidRPr="00C6052E">
        <w:t xml:space="preserve"> </w:t>
      </w:r>
      <w:r w:rsidRPr="00C6052E">
        <w:t>The</w:t>
      </w:r>
      <w:r w:rsidR="00177848" w:rsidRPr="00C6052E">
        <w:t xml:space="preserve"> </w:t>
      </w:r>
      <w:r w:rsidRPr="00C6052E">
        <w:t>lower</w:t>
      </w:r>
      <w:r w:rsidR="00177848" w:rsidRPr="00C6052E">
        <w:t xml:space="preserve"> </w:t>
      </w:r>
      <w:r w:rsidRPr="00C6052E">
        <w:t>participation</w:t>
      </w:r>
      <w:r w:rsidR="00177848" w:rsidRPr="00C6052E">
        <w:t xml:space="preserve"> </w:t>
      </w:r>
      <w:r w:rsidRPr="00C6052E">
        <w:t>rate</w:t>
      </w:r>
      <w:r w:rsidR="00177848" w:rsidRPr="00C6052E">
        <w:t xml:space="preserve"> </w:t>
      </w:r>
      <w:r w:rsidRPr="00C6052E">
        <w:t>in</w:t>
      </w:r>
      <w:r w:rsidR="00177848" w:rsidRPr="00C6052E">
        <w:t xml:space="preserve"> </w:t>
      </w:r>
      <w:r w:rsidRPr="00C6052E">
        <w:t>2023–24</w:t>
      </w:r>
      <w:r w:rsidR="00177848" w:rsidRPr="00C6052E">
        <w:t xml:space="preserve"> </w:t>
      </w:r>
      <w:r w:rsidRPr="00C6052E">
        <w:t>should</w:t>
      </w:r>
      <w:r w:rsidR="00177848" w:rsidRPr="00C6052E">
        <w:t xml:space="preserve"> </w:t>
      </w:r>
      <w:r w:rsidRPr="00C6052E">
        <w:t>not</w:t>
      </w:r>
      <w:r w:rsidR="00177848" w:rsidRPr="00C6052E">
        <w:t xml:space="preserve"> </w:t>
      </w:r>
      <w:r w:rsidRPr="00C6052E">
        <w:t>be</w:t>
      </w:r>
      <w:r w:rsidR="00177848" w:rsidRPr="00C6052E">
        <w:t xml:space="preserve"> </w:t>
      </w:r>
      <w:r w:rsidRPr="00C6052E">
        <w:t>seen</w:t>
      </w:r>
      <w:r w:rsidR="00177848" w:rsidRPr="00C6052E">
        <w:t xml:space="preserve"> </w:t>
      </w:r>
      <w:r w:rsidRPr="00C6052E">
        <w:t>as</w:t>
      </w:r>
      <w:r w:rsidR="00177848" w:rsidRPr="00C6052E">
        <w:t xml:space="preserve"> </w:t>
      </w:r>
      <w:r w:rsidRPr="00C6052E">
        <w:t>a</w:t>
      </w:r>
      <w:r w:rsidR="00177848" w:rsidRPr="00C6052E">
        <w:t xml:space="preserve"> </w:t>
      </w:r>
      <w:r w:rsidRPr="00C6052E">
        <w:t>decrease</w:t>
      </w:r>
      <w:r w:rsidR="00177848" w:rsidRPr="00C6052E">
        <w:t xml:space="preserve"> </w:t>
      </w:r>
      <w:r w:rsidRPr="00C6052E">
        <w:t>as</w:t>
      </w:r>
      <w:r w:rsidR="00177848" w:rsidRPr="00C6052E">
        <w:t xml:space="preserve"> </w:t>
      </w:r>
      <w:r w:rsidRPr="00C6052E">
        <w:t>the</w:t>
      </w:r>
      <w:r w:rsidR="00177848" w:rsidRPr="00C6052E">
        <w:t xml:space="preserve"> </w:t>
      </w:r>
      <w:r w:rsidRPr="00C6052E">
        <w:t>results</w:t>
      </w:r>
      <w:r w:rsidR="00177848" w:rsidRPr="00C6052E">
        <w:t xml:space="preserve"> </w:t>
      </w:r>
      <w:r w:rsidRPr="00C6052E">
        <w:t>are</w:t>
      </w:r>
      <w:r w:rsidR="00177848" w:rsidRPr="00C6052E">
        <w:t xml:space="preserve"> </w:t>
      </w:r>
      <w:r w:rsidRPr="00C6052E">
        <w:t>incomparable</w:t>
      </w:r>
      <w:r w:rsidR="00177848" w:rsidRPr="00C6052E">
        <w:t xml:space="preserve"> </w:t>
      </w:r>
      <w:r w:rsidRPr="00C6052E">
        <w:t>to</w:t>
      </w:r>
      <w:r w:rsidR="00177848" w:rsidRPr="00C6052E">
        <w:t xml:space="preserve"> </w:t>
      </w:r>
      <w:r w:rsidRPr="00C6052E">
        <w:t>previous</w:t>
      </w:r>
      <w:r w:rsidR="00177848" w:rsidRPr="00C6052E">
        <w:t xml:space="preserve"> </w:t>
      </w:r>
      <w:r w:rsidRPr="00C6052E">
        <w:t>years.</w:t>
      </w:r>
      <w:r w:rsidR="00177848" w:rsidRPr="00C6052E">
        <w:t xml:space="preserve"> </w:t>
      </w:r>
      <w:r w:rsidRPr="00C6052E">
        <w:t>Victoria</w:t>
      </w:r>
      <w:r w:rsidR="00177848" w:rsidRPr="00C6052E">
        <w:t xml:space="preserve"> </w:t>
      </w:r>
      <w:r w:rsidRPr="00C6052E">
        <w:t>sits</w:t>
      </w:r>
      <w:r w:rsidR="00177848" w:rsidRPr="00C6052E">
        <w:t xml:space="preserve"> </w:t>
      </w:r>
      <w:r w:rsidRPr="00C6052E">
        <w:t>amongst</w:t>
      </w:r>
      <w:r w:rsidR="00177848" w:rsidRPr="00C6052E">
        <w:t xml:space="preserve"> </w:t>
      </w:r>
      <w:r w:rsidRPr="00C6052E">
        <w:t>the</w:t>
      </w:r>
      <w:r w:rsidR="00177848" w:rsidRPr="00C6052E">
        <w:t xml:space="preserve"> </w:t>
      </w:r>
      <w:r w:rsidRPr="00C6052E">
        <w:t>top</w:t>
      </w:r>
      <w:r w:rsidR="00177848" w:rsidRPr="00C6052E">
        <w:t xml:space="preserve"> </w:t>
      </w:r>
      <w:r w:rsidRPr="00C6052E">
        <w:t>jurisdictions</w:t>
      </w:r>
      <w:r w:rsidR="00177848" w:rsidRPr="00C6052E">
        <w:t xml:space="preserve"> </w:t>
      </w:r>
      <w:r w:rsidRPr="00C6052E">
        <w:t>for</w:t>
      </w:r>
      <w:r w:rsidR="00177848" w:rsidRPr="00C6052E">
        <w:t xml:space="preserve"> </w:t>
      </w:r>
      <w:r w:rsidRPr="00C6052E">
        <w:t>physical</w:t>
      </w:r>
      <w:r w:rsidR="00177848" w:rsidRPr="00C6052E">
        <w:t xml:space="preserve"> </w:t>
      </w:r>
      <w:r w:rsidRPr="00C6052E">
        <w:t>activity</w:t>
      </w:r>
      <w:r w:rsidR="00177848" w:rsidRPr="00C6052E">
        <w:t xml:space="preserve"> </w:t>
      </w:r>
      <w:r w:rsidRPr="00C6052E">
        <w:t>rates.</w:t>
      </w:r>
    </w:p>
    <w:p w14:paraId="5E76F58D" w14:textId="6C38A246" w:rsidR="00EE5BB8" w:rsidRPr="00C6052E" w:rsidRDefault="00EE5BB8" w:rsidP="00EE5BB8">
      <w:pPr>
        <w:pStyle w:val="Tablenotes"/>
      </w:pPr>
      <w:r w:rsidRPr="00C6052E">
        <w:t>**</w:t>
      </w:r>
      <w:r w:rsidRPr="00C6052E">
        <w:tab/>
        <w:t>Figure</w:t>
      </w:r>
      <w:r w:rsidR="00177848" w:rsidRPr="00C6052E">
        <w:t xml:space="preserve"> </w:t>
      </w:r>
      <w:r w:rsidRPr="00C6052E">
        <w:t>has</w:t>
      </w:r>
      <w:r w:rsidR="00177848" w:rsidRPr="00C6052E">
        <w:t xml:space="preserve"> </w:t>
      </w:r>
      <w:r w:rsidRPr="00C6052E">
        <w:t>been</w:t>
      </w:r>
      <w:r w:rsidR="00177848" w:rsidRPr="00C6052E">
        <w:t xml:space="preserve"> </w:t>
      </w:r>
      <w:r w:rsidRPr="00C6052E">
        <w:t>updated</w:t>
      </w:r>
      <w:r w:rsidR="00177848" w:rsidRPr="00C6052E">
        <w:t xml:space="preserve"> </w:t>
      </w:r>
      <w:r w:rsidRPr="00C6052E">
        <w:t>from</w:t>
      </w:r>
      <w:r w:rsidR="00177848" w:rsidRPr="00C6052E">
        <w:t xml:space="preserve"> </w:t>
      </w:r>
      <w:r w:rsidRPr="00C6052E">
        <w:t>calendar</w:t>
      </w:r>
      <w:r w:rsidR="00177848" w:rsidRPr="00C6052E">
        <w:t xml:space="preserve"> </w:t>
      </w:r>
      <w:r w:rsidRPr="00C6052E">
        <w:t>year</w:t>
      </w:r>
      <w:r w:rsidR="00177848" w:rsidRPr="00C6052E">
        <w:t xml:space="preserve"> </w:t>
      </w:r>
      <w:r w:rsidRPr="00C6052E">
        <w:t>to</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data</w:t>
      </w:r>
      <w:r w:rsidR="00177848" w:rsidRPr="00C6052E">
        <w:t xml:space="preserve"> </w:t>
      </w:r>
      <w:r w:rsidRPr="00C6052E">
        <w:t>following</w:t>
      </w:r>
      <w:r w:rsidR="00177848" w:rsidRPr="00C6052E">
        <w:t xml:space="preserve"> </w:t>
      </w:r>
      <w:r w:rsidRPr="00C6052E">
        <w:t>subsequent</w:t>
      </w:r>
      <w:r w:rsidR="00177848" w:rsidRPr="00C6052E">
        <w:t xml:space="preserve"> </w:t>
      </w:r>
      <w:r w:rsidRPr="00C6052E">
        <w:t>release</w:t>
      </w:r>
      <w:r w:rsidR="00177848" w:rsidRPr="00C6052E">
        <w:t xml:space="preserve"> </w:t>
      </w:r>
      <w:r w:rsidRPr="00C6052E">
        <w:t>of</w:t>
      </w:r>
      <w:r w:rsidR="00177848" w:rsidRPr="00C6052E">
        <w:t xml:space="preserve"> </w:t>
      </w:r>
      <w:r w:rsidRPr="00C6052E">
        <w:t>reporting.</w:t>
      </w:r>
      <w:r w:rsidR="00177848" w:rsidRPr="00C6052E">
        <w:t xml:space="preserve"> </w:t>
      </w:r>
    </w:p>
    <w:p w14:paraId="14B6FB64" w14:textId="5B4F966A" w:rsidR="00EE5BB8" w:rsidRPr="00C6052E" w:rsidRDefault="00EE5BB8" w:rsidP="00EE5BB8">
      <w:pPr>
        <w:pStyle w:val="Tablenotes"/>
        <w:spacing w:after="240"/>
      </w:pPr>
      <w:r w:rsidRPr="00C6052E">
        <w:t>***</w:t>
      </w:r>
      <w:r w:rsidRPr="00C6052E">
        <w:tab/>
        <w:t>2024–25</w:t>
      </w:r>
      <w:r w:rsidR="00177848" w:rsidRPr="00C6052E">
        <w:t xml:space="preserve"> </w:t>
      </w:r>
      <w:r w:rsidRPr="00C6052E">
        <w:t>results</w:t>
      </w:r>
      <w:r w:rsidR="00177848" w:rsidRPr="00C6052E">
        <w:t xml:space="preserve"> </w:t>
      </w:r>
      <w:r w:rsidRPr="00C6052E">
        <w:t>will</w:t>
      </w:r>
      <w:r w:rsidR="00177848" w:rsidRPr="00C6052E">
        <w:t xml:space="preserve"> </w:t>
      </w:r>
      <w:r w:rsidRPr="00C6052E">
        <w:t>not</w:t>
      </w:r>
      <w:r w:rsidR="00177848" w:rsidRPr="00C6052E">
        <w:t xml:space="preserve"> </w:t>
      </w:r>
      <w:r w:rsidRPr="00C6052E">
        <w:t>be</w:t>
      </w:r>
      <w:r w:rsidR="00177848" w:rsidRPr="00C6052E">
        <w:t xml:space="preserve"> </w:t>
      </w:r>
      <w:r w:rsidRPr="00C6052E">
        <w:t>available</w:t>
      </w:r>
      <w:r w:rsidR="00177848" w:rsidRPr="00C6052E">
        <w:t xml:space="preserve"> </w:t>
      </w:r>
      <w:r w:rsidRPr="00C6052E">
        <w:t>until</w:t>
      </w:r>
      <w:r w:rsidR="00177848" w:rsidRPr="00C6052E">
        <w:t xml:space="preserve"> </w:t>
      </w:r>
      <w:r w:rsidRPr="00C6052E">
        <w:t>October</w:t>
      </w:r>
      <w:r w:rsidR="00177848" w:rsidRPr="00C6052E">
        <w:t xml:space="preserve"> </w:t>
      </w:r>
      <w:r w:rsidRPr="00C6052E">
        <w:t>2025.</w:t>
      </w:r>
    </w:p>
    <w:p w14:paraId="4AD6E4A6" w14:textId="52F1423D" w:rsidR="00EE5BB8" w:rsidRPr="00C6052E" w:rsidRDefault="00EE5BB8" w:rsidP="00EE5BB8">
      <w:pPr>
        <w:pStyle w:val="TableHeading"/>
      </w:pPr>
      <w:r w:rsidRPr="00C6052E">
        <w:t>Figure</w:t>
      </w:r>
      <w:r w:rsidR="00177848" w:rsidRPr="00C6052E">
        <w:t xml:space="preserve"> </w:t>
      </w:r>
      <w:r w:rsidRPr="00C6052E">
        <w:t>25:</w:t>
      </w:r>
      <w:r w:rsidR="00177848" w:rsidRPr="00C6052E">
        <w:t xml:space="preserve"> </w:t>
      </w:r>
      <w:r w:rsidRPr="00C6052E">
        <w:t>Percentage</w:t>
      </w:r>
      <w:r w:rsidR="00177848" w:rsidRPr="00C6052E">
        <w:t xml:space="preserve"> </w:t>
      </w:r>
      <w:r w:rsidRPr="00C6052E">
        <w:t>of</w:t>
      </w:r>
      <w:r w:rsidR="00177848" w:rsidRPr="00C6052E">
        <w:t xml:space="preserve"> </w:t>
      </w:r>
      <w:r w:rsidRPr="00C6052E">
        <w:t>adult</w:t>
      </w:r>
      <w:r w:rsidR="00177848" w:rsidRPr="00C6052E">
        <w:t xml:space="preserve"> </w:t>
      </w:r>
      <w:r w:rsidRPr="00C6052E">
        <w:t>Victorians</w:t>
      </w:r>
      <w:r w:rsidR="00177848" w:rsidRPr="00C6052E">
        <w:t xml:space="preserve"> </w:t>
      </w:r>
      <w:r w:rsidRPr="00C6052E">
        <w:t>participating</w:t>
      </w:r>
      <w:r w:rsidR="00177848" w:rsidRPr="00C6052E">
        <w:t xml:space="preserve"> </w:t>
      </w:r>
      <w:r w:rsidRPr="00C6052E">
        <w:t>in</w:t>
      </w:r>
      <w:r w:rsidR="00177848" w:rsidRPr="00C6052E">
        <w:t xml:space="preserve"> </w:t>
      </w:r>
      <w:r w:rsidRPr="00C6052E">
        <w:t>sport</w:t>
      </w:r>
      <w:r w:rsidR="00177848" w:rsidRPr="00C6052E">
        <w:t xml:space="preserve"> </w:t>
      </w:r>
      <w:r w:rsidRPr="00C6052E">
        <w:t>at</w:t>
      </w:r>
      <w:r w:rsidR="00177848" w:rsidRPr="00C6052E">
        <w:t xml:space="preserve"> </w:t>
      </w:r>
      <w:r w:rsidRPr="00C6052E">
        <w:t>least</w:t>
      </w:r>
      <w:r w:rsidR="00177848" w:rsidRPr="00C6052E">
        <w:t xml:space="preserve"> </w:t>
      </w:r>
      <w:r w:rsidRPr="00C6052E">
        <w:t>once</w:t>
      </w:r>
      <w:r w:rsidR="00177848" w:rsidRPr="00C6052E">
        <w:t xml:space="preserve"> </w:t>
      </w:r>
      <w:r w:rsidRPr="00C6052E">
        <w:t>per</w:t>
      </w:r>
      <w:r w:rsidR="00177848" w:rsidRPr="00C6052E">
        <w:t xml:space="preserve"> </w:t>
      </w:r>
      <w:r w:rsidRPr="00C6052E">
        <w:t>year</w:t>
      </w:r>
      <w:r w:rsidR="00177848" w:rsidRPr="00C6052E">
        <w:t xml:space="preserve"> </w:t>
      </w:r>
    </w:p>
    <w:p w14:paraId="310E8C6C" w14:textId="77777777" w:rsidR="00EE5BB8" w:rsidRPr="00C6052E" w:rsidRDefault="00EE5BB8" w:rsidP="00EE5BB8">
      <w:pPr>
        <w:pStyle w:val="Graph"/>
        <w:rPr>
          <w:noProof w:val="0"/>
        </w:rPr>
      </w:pPr>
      <w:r w:rsidRPr="00C6052E">
        <w:drawing>
          <wp:inline distT="0" distB="0" distL="0" distR="0" wp14:anchorId="4ED16D34" wp14:editId="36E106FB">
            <wp:extent cx="4050000" cy="2700000"/>
            <wp:effectExtent l="0" t="0" r="0" b="0"/>
            <wp:docPr id="1165987412" name="Chart 1" descr="Line graph showing data from Table 21: Increase rates of community engagement, including through participation in sport, recreation and cultural activities (above).">
              <a:extLst xmlns:a="http://schemas.openxmlformats.org/drawingml/2006/main">
                <a:ext uri="{FF2B5EF4-FFF2-40B4-BE49-F238E27FC236}">
                  <a16:creationId xmlns:a16="http://schemas.microsoft.com/office/drawing/2014/main" id="{00000000-0008-0000-0600-000025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62DD617" w14:textId="6771FAC0" w:rsidR="00EE5BB8" w:rsidRPr="00C6052E" w:rsidRDefault="00EE5BB8" w:rsidP="0028635E">
      <w:pPr>
        <w:pStyle w:val="Normalbeforebullets"/>
      </w:pPr>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has</w:t>
      </w:r>
      <w:r w:rsidR="00177848" w:rsidRPr="00C6052E">
        <w:t xml:space="preserve"> </w:t>
      </w:r>
      <w:r w:rsidRPr="00C6052E">
        <w:t>invested</w:t>
      </w:r>
      <w:r w:rsidR="00177848" w:rsidRPr="00C6052E">
        <w:t xml:space="preserve"> </w:t>
      </w:r>
      <w:r w:rsidRPr="00C6052E">
        <w:t>in</w:t>
      </w:r>
      <w:r w:rsidR="00177848" w:rsidRPr="00C6052E">
        <w:t xml:space="preserve"> </w:t>
      </w:r>
      <w:r w:rsidRPr="00C6052E">
        <w:t>targeted</w:t>
      </w:r>
      <w:r w:rsidR="00177848" w:rsidRPr="00C6052E">
        <w:t xml:space="preserve"> </w:t>
      </w:r>
      <w:r w:rsidRPr="00C6052E">
        <w:t>programs</w:t>
      </w:r>
      <w:r w:rsidR="00177848" w:rsidRPr="00C6052E">
        <w:t xml:space="preserve"> </w:t>
      </w:r>
      <w:r w:rsidRPr="00C6052E">
        <w:t>supporting</w:t>
      </w:r>
      <w:r w:rsidR="00177848" w:rsidRPr="00C6052E">
        <w:t xml:space="preserve"> </w:t>
      </w:r>
      <w:r w:rsidRPr="00C6052E">
        <w:t>the</w:t>
      </w:r>
      <w:r w:rsidR="00177848" w:rsidRPr="00C6052E">
        <w:t xml:space="preserve"> </w:t>
      </w:r>
      <w:r w:rsidRPr="00C6052E">
        <w:t>sector</w:t>
      </w:r>
      <w:r w:rsidR="00177848" w:rsidRPr="00C6052E">
        <w:t xml:space="preserve"> </w:t>
      </w:r>
      <w:r w:rsidRPr="00C6052E">
        <w:t>to</w:t>
      </w:r>
      <w:r w:rsidR="00177848" w:rsidRPr="00C6052E">
        <w:t xml:space="preserve"> </w:t>
      </w:r>
      <w:r w:rsidRPr="00C6052E">
        <w:t>deliver</w:t>
      </w:r>
      <w:r w:rsidR="00177848" w:rsidRPr="00C6052E">
        <w:t xml:space="preserve"> </w:t>
      </w:r>
      <w:r w:rsidRPr="00C6052E">
        <w:t>community</w:t>
      </w:r>
      <w:r w:rsidR="00177848" w:rsidRPr="00C6052E">
        <w:t xml:space="preserve"> </w:t>
      </w:r>
      <w:r w:rsidRPr="00C6052E">
        <w:t>sport</w:t>
      </w:r>
      <w:r w:rsidR="00177848" w:rsidRPr="00C6052E">
        <w:t xml:space="preserve"> </w:t>
      </w:r>
      <w:r w:rsidRPr="00C6052E">
        <w:t>and</w:t>
      </w:r>
      <w:r w:rsidR="00177848" w:rsidRPr="00C6052E">
        <w:t xml:space="preserve"> </w:t>
      </w:r>
      <w:r w:rsidRPr="00C6052E">
        <w:t>active</w:t>
      </w:r>
      <w:r w:rsidR="00177848" w:rsidRPr="00C6052E">
        <w:t xml:space="preserve"> </w:t>
      </w:r>
      <w:r w:rsidRPr="00C6052E">
        <w:t>recreation</w:t>
      </w:r>
      <w:r w:rsidR="00177848" w:rsidRPr="00C6052E">
        <w:t xml:space="preserve"> </w:t>
      </w:r>
      <w:r w:rsidRPr="00C6052E">
        <w:t>participation</w:t>
      </w:r>
      <w:r w:rsidR="00177848" w:rsidRPr="00C6052E">
        <w:t xml:space="preserve"> </w:t>
      </w:r>
      <w:r w:rsidRPr="00C6052E">
        <w:t>opportunities</w:t>
      </w:r>
      <w:r w:rsidR="00177848" w:rsidRPr="00C6052E">
        <w:t xml:space="preserve"> </w:t>
      </w:r>
      <w:r w:rsidRPr="00C6052E">
        <w:t>and</w:t>
      </w:r>
      <w:r w:rsidR="00177848" w:rsidRPr="00C6052E">
        <w:t xml:space="preserve"> </w:t>
      </w:r>
      <w:r w:rsidRPr="00C6052E">
        <w:t>reduce</w:t>
      </w:r>
      <w:r w:rsidR="00177848" w:rsidRPr="00C6052E">
        <w:t xml:space="preserve"> </w:t>
      </w:r>
      <w:r w:rsidRPr="00C6052E">
        <w:t>barriers</w:t>
      </w:r>
      <w:r w:rsidR="00177848" w:rsidRPr="00C6052E">
        <w:t xml:space="preserve"> </w:t>
      </w:r>
      <w:r w:rsidRPr="00C6052E">
        <w:t>to</w:t>
      </w:r>
      <w:r w:rsidR="00177848" w:rsidRPr="00C6052E">
        <w:t xml:space="preserve"> </w:t>
      </w:r>
      <w:r w:rsidRPr="00C6052E">
        <w:t>participation</w:t>
      </w:r>
      <w:r w:rsidR="00177848" w:rsidRPr="00C6052E">
        <w:t xml:space="preserve"> </w:t>
      </w:r>
      <w:r w:rsidRPr="00C6052E">
        <w:t>for</w:t>
      </w:r>
      <w:r w:rsidR="00177848" w:rsidRPr="00C6052E">
        <w:t xml:space="preserve"> </w:t>
      </w:r>
      <w:r w:rsidRPr="00C6052E">
        <w:t>underrepresented</w:t>
      </w:r>
      <w:r w:rsidR="00177848" w:rsidRPr="00C6052E">
        <w:t xml:space="preserve"> </w:t>
      </w:r>
      <w:r w:rsidRPr="00C6052E">
        <w:t>groups,</w:t>
      </w:r>
      <w:r w:rsidR="00177848" w:rsidRPr="00C6052E">
        <w:t xml:space="preserve"> </w:t>
      </w:r>
      <w:r w:rsidRPr="00C6052E">
        <w:t>including</w:t>
      </w:r>
      <w:r w:rsidR="00177848" w:rsidRPr="00C6052E">
        <w:t xml:space="preserve"> </w:t>
      </w:r>
      <w:r w:rsidRPr="00C6052E">
        <w:t>the</w:t>
      </w:r>
      <w:r w:rsidR="00177848" w:rsidRPr="00C6052E">
        <w:t xml:space="preserve"> </w:t>
      </w:r>
      <w:r w:rsidRPr="00C6052E">
        <w:t>following:</w:t>
      </w:r>
    </w:p>
    <w:p w14:paraId="777AF570" w14:textId="03F8894D" w:rsidR="00EE5BB8" w:rsidRPr="00C6052E" w:rsidRDefault="00EE5BB8" w:rsidP="00EE5BB8">
      <w:pPr>
        <w:pStyle w:val="Bullet1"/>
        <w:numPr>
          <w:ilvl w:val="0"/>
          <w:numId w:val="1"/>
        </w:numPr>
        <w:spacing w:line="278" w:lineRule="auto"/>
        <w:ind w:left="284" w:hanging="284"/>
        <w:rPr>
          <w:lang w:val="en-AU"/>
        </w:rPr>
      </w:pPr>
      <w:r w:rsidRPr="00C6052E">
        <w:rPr>
          <w:lang w:val="en-AU"/>
        </w:rPr>
        <w:t>Over</w:t>
      </w:r>
      <w:r w:rsidR="00177848" w:rsidRPr="00C6052E">
        <w:rPr>
          <w:lang w:val="en-AU"/>
        </w:rPr>
        <w:t xml:space="preserve"> </w:t>
      </w:r>
      <w:r w:rsidRPr="00C6052E">
        <w:rPr>
          <w:lang w:val="en-AU"/>
        </w:rPr>
        <w:t>1,700</w:t>
      </w:r>
      <w:r w:rsidR="00177848" w:rsidRPr="00C6052E">
        <w:rPr>
          <w:lang w:val="en-AU"/>
        </w:rPr>
        <w:t xml:space="preserve"> </w:t>
      </w:r>
      <w:r w:rsidRPr="00C6052E">
        <w:rPr>
          <w:lang w:val="en-AU"/>
        </w:rPr>
        <w:t>grants</w:t>
      </w:r>
      <w:r w:rsidR="00177848" w:rsidRPr="00C6052E">
        <w:rPr>
          <w:lang w:val="en-AU"/>
        </w:rPr>
        <w:t xml:space="preserve"> </w:t>
      </w:r>
      <w:r w:rsidRPr="00C6052E">
        <w:rPr>
          <w:lang w:val="en-AU"/>
        </w:rPr>
        <w:t>totalling</w:t>
      </w:r>
      <w:r w:rsidR="00177848" w:rsidRPr="00C6052E">
        <w:rPr>
          <w:lang w:val="en-AU"/>
        </w:rPr>
        <w:t xml:space="preserve"> </w:t>
      </w:r>
      <w:r w:rsidRPr="00C6052E">
        <w:rPr>
          <w:lang w:val="en-AU"/>
        </w:rPr>
        <w:t>more</w:t>
      </w:r>
      <w:r w:rsidR="00177848" w:rsidRPr="00C6052E">
        <w:rPr>
          <w:lang w:val="en-AU"/>
        </w:rPr>
        <w:t xml:space="preserve"> </w:t>
      </w:r>
      <w:r w:rsidRPr="00C6052E">
        <w:rPr>
          <w:lang w:val="en-AU"/>
        </w:rPr>
        <w:t>than</w:t>
      </w:r>
      <w:r w:rsidR="00177848" w:rsidRPr="00C6052E">
        <w:rPr>
          <w:lang w:val="en-AU"/>
        </w:rPr>
        <w:t xml:space="preserve"> </w:t>
      </w:r>
      <w:r w:rsidRPr="00C6052E">
        <w:rPr>
          <w:lang w:val="en-AU"/>
        </w:rPr>
        <w:t>$12.4</w:t>
      </w:r>
      <w:r w:rsidR="00177848" w:rsidRPr="00C6052E">
        <w:rPr>
          <w:lang w:val="en-AU"/>
        </w:rPr>
        <w:t xml:space="preserve"> </w:t>
      </w:r>
      <w:r w:rsidRPr="00C6052E">
        <w:rPr>
          <w:lang w:val="en-AU"/>
        </w:rPr>
        <w:t>million</w:t>
      </w:r>
      <w:r w:rsidR="00177848" w:rsidRPr="00C6052E">
        <w:rPr>
          <w:lang w:val="en-AU"/>
        </w:rPr>
        <w:t xml:space="preserve"> </w:t>
      </w:r>
      <w:r w:rsidRPr="00C6052E">
        <w:rPr>
          <w:lang w:val="en-AU"/>
        </w:rPr>
        <w:t>were</w:t>
      </w:r>
      <w:r w:rsidR="00177848" w:rsidRPr="00C6052E">
        <w:rPr>
          <w:lang w:val="en-AU"/>
        </w:rPr>
        <w:t xml:space="preserve"> </w:t>
      </w:r>
      <w:r w:rsidRPr="00C6052E">
        <w:rPr>
          <w:lang w:val="en-AU"/>
        </w:rPr>
        <w:t>delivered</w:t>
      </w:r>
      <w:r w:rsidR="00177848" w:rsidRPr="00C6052E">
        <w:rPr>
          <w:lang w:val="en-AU"/>
        </w:rPr>
        <w:t xml:space="preserve"> </w:t>
      </w:r>
      <w:r w:rsidRPr="00C6052E">
        <w:rPr>
          <w:lang w:val="en-AU"/>
        </w:rPr>
        <w:t>across</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Sporting</w:t>
      </w:r>
      <w:r w:rsidR="00177848" w:rsidRPr="00C6052E">
        <w:rPr>
          <w:lang w:val="en-AU"/>
        </w:rPr>
        <w:t xml:space="preserve"> </w:t>
      </w:r>
      <w:r w:rsidRPr="00C6052E">
        <w:rPr>
          <w:lang w:val="en-AU"/>
        </w:rPr>
        <w:t>Club</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Aboriginal</w:t>
      </w:r>
      <w:r w:rsidR="00177848" w:rsidRPr="00C6052E">
        <w:rPr>
          <w:lang w:val="en-AU"/>
        </w:rPr>
        <w:t xml:space="preserve"> </w:t>
      </w:r>
      <w:r w:rsidRPr="00C6052E">
        <w:rPr>
          <w:lang w:val="en-AU"/>
        </w:rPr>
        <w:t>Sport</w:t>
      </w:r>
      <w:r w:rsidR="00177848" w:rsidRPr="00C6052E">
        <w:rPr>
          <w:lang w:val="en-AU"/>
        </w:rPr>
        <w:t xml:space="preserve"> </w:t>
      </w:r>
      <w:r w:rsidRPr="00C6052E">
        <w:rPr>
          <w:lang w:val="en-AU"/>
        </w:rPr>
        <w:t>Participation</w:t>
      </w:r>
      <w:r w:rsidR="00177848" w:rsidRPr="00C6052E">
        <w:rPr>
          <w:lang w:val="en-AU"/>
        </w:rPr>
        <w:t xml:space="preserve"> </w:t>
      </w:r>
      <w:r w:rsidRPr="00C6052E">
        <w:rPr>
          <w:lang w:val="en-AU"/>
        </w:rPr>
        <w:t>grants</w:t>
      </w:r>
      <w:r w:rsidR="00177848" w:rsidRPr="00C6052E">
        <w:rPr>
          <w:lang w:val="en-AU"/>
        </w:rPr>
        <w:t xml:space="preserve"> </w:t>
      </w:r>
      <w:r w:rsidRPr="00C6052E">
        <w:rPr>
          <w:lang w:val="en-AU"/>
        </w:rPr>
        <w:t>programs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capacity</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capability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sector</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increase</w:t>
      </w:r>
      <w:r w:rsidR="00177848" w:rsidRPr="00C6052E">
        <w:rPr>
          <w:lang w:val="en-AU"/>
        </w:rPr>
        <w:t xml:space="preserve"> </w:t>
      </w:r>
      <w:r w:rsidRPr="00C6052E">
        <w:rPr>
          <w:lang w:val="en-AU"/>
        </w:rPr>
        <w:t>participation</w:t>
      </w:r>
      <w:r w:rsidR="00177848" w:rsidRPr="00C6052E">
        <w:rPr>
          <w:lang w:val="en-AU"/>
        </w:rPr>
        <w:t xml:space="preserve"> </w:t>
      </w:r>
    </w:p>
    <w:p w14:paraId="4326B5A9" w14:textId="3193BFBB" w:rsidR="00EE5BB8" w:rsidRPr="00C6052E" w:rsidRDefault="00EE5BB8" w:rsidP="00EE5BB8">
      <w:pPr>
        <w:pStyle w:val="Bullet1"/>
        <w:numPr>
          <w:ilvl w:val="0"/>
          <w:numId w:val="1"/>
        </w:numPr>
        <w:spacing w:line="278" w:lineRule="auto"/>
        <w:ind w:left="284" w:hanging="284"/>
        <w:rPr>
          <w:lang w:val="en-AU"/>
        </w:rPr>
      </w:pPr>
      <w:r w:rsidRPr="00C6052E">
        <w:rPr>
          <w:lang w:val="en-AU"/>
        </w:rPr>
        <w:t>$14.5</w:t>
      </w:r>
      <w:r w:rsidR="00177848" w:rsidRPr="00C6052E">
        <w:rPr>
          <w:lang w:val="en-AU"/>
        </w:rPr>
        <w:t xml:space="preserve"> </w:t>
      </w:r>
      <w:r w:rsidRPr="00C6052E">
        <w:rPr>
          <w:lang w:val="en-AU"/>
        </w:rPr>
        <w:t>million</w:t>
      </w:r>
      <w:r w:rsidR="00177848" w:rsidRPr="00C6052E">
        <w:rPr>
          <w:lang w:val="en-AU"/>
        </w:rPr>
        <w:t xml:space="preserve"> </w:t>
      </w:r>
      <w:r w:rsidRPr="00C6052E">
        <w:rPr>
          <w:lang w:val="en-AU"/>
        </w:rPr>
        <w:t>awarded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over</w:t>
      </w:r>
      <w:r w:rsidR="00177848" w:rsidRPr="00C6052E">
        <w:rPr>
          <w:lang w:val="en-AU"/>
        </w:rPr>
        <w:t xml:space="preserve"> </w:t>
      </w:r>
      <w:r w:rsidRPr="00C6052E">
        <w:rPr>
          <w:lang w:val="en-AU"/>
        </w:rPr>
        <w:t>100</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Together</w:t>
      </w:r>
      <w:r w:rsidR="00177848" w:rsidRPr="00C6052E">
        <w:rPr>
          <w:lang w:val="en-AU"/>
        </w:rPr>
        <w:t xml:space="preserve"> </w:t>
      </w:r>
      <w:r w:rsidRPr="00C6052E">
        <w:rPr>
          <w:lang w:val="en-AU"/>
        </w:rPr>
        <w:t>More</w:t>
      </w:r>
      <w:r w:rsidR="00177848" w:rsidRPr="00C6052E">
        <w:rPr>
          <w:lang w:val="en-AU"/>
        </w:rPr>
        <w:t xml:space="preserve"> </w:t>
      </w:r>
      <w:r w:rsidRPr="00C6052E">
        <w:rPr>
          <w:lang w:val="en-AU"/>
        </w:rPr>
        <w:t>Active</w:t>
      </w:r>
    </w:p>
    <w:p w14:paraId="3F13E47E" w14:textId="0F085F0A" w:rsidR="00EE5BB8" w:rsidRPr="00C6052E" w:rsidRDefault="00EE5BB8" w:rsidP="00EE5BB8">
      <w:pPr>
        <w:pStyle w:val="Bullet1"/>
        <w:numPr>
          <w:ilvl w:val="0"/>
          <w:numId w:val="1"/>
        </w:numPr>
        <w:spacing w:line="278" w:lineRule="auto"/>
        <w:ind w:left="284" w:hanging="284"/>
        <w:rPr>
          <w:lang w:val="en-AU"/>
        </w:rPr>
      </w:pPr>
      <w:r w:rsidRPr="00C6052E">
        <w:rPr>
          <w:lang w:val="en-AU"/>
        </w:rPr>
        <w:lastRenderedPageBreak/>
        <w:t>Opening</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new</w:t>
      </w:r>
      <w:r w:rsidR="00177848" w:rsidRPr="00C6052E">
        <w:rPr>
          <w:lang w:val="en-AU"/>
        </w:rPr>
        <w:t xml:space="preserve"> </w:t>
      </w:r>
      <w:r w:rsidRPr="00C6052E">
        <w:rPr>
          <w:lang w:val="en-AU"/>
        </w:rPr>
        <w:t>$13.5</w:t>
      </w:r>
      <w:r w:rsidR="00177848" w:rsidRPr="00C6052E">
        <w:rPr>
          <w:lang w:val="en-AU"/>
        </w:rPr>
        <w:t xml:space="preserve"> </w:t>
      </w:r>
      <w:r w:rsidRPr="00C6052E">
        <w:rPr>
          <w:lang w:val="en-AU"/>
        </w:rPr>
        <w:t>million</w:t>
      </w:r>
      <w:r w:rsidR="00177848" w:rsidRPr="00C6052E">
        <w:rPr>
          <w:lang w:val="en-AU"/>
        </w:rPr>
        <w:t xml:space="preserve"> </w:t>
      </w:r>
      <w:r w:rsidRPr="00C6052E">
        <w:rPr>
          <w:lang w:val="en-AU"/>
        </w:rPr>
        <w:t>All</w:t>
      </w:r>
      <w:r w:rsidR="00177848" w:rsidRPr="00C6052E">
        <w:rPr>
          <w:lang w:val="en-AU"/>
        </w:rPr>
        <w:t xml:space="preserve"> </w:t>
      </w:r>
      <w:r w:rsidRPr="00C6052E">
        <w:rPr>
          <w:lang w:val="en-AU"/>
        </w:rPr>
        <w:t>Abilities</w:t>
      </w:r>
      <w:r w:rsidR="00177848" w:rsidRPr="00C6052E">
        <w:rPr>
          <w:lang w:val="en-AU"/>
        </w:rPr>
        <w:t xml:space="preserve"> </w:t>
      </w:r>
      <w:r w:rsidRPr="00C6052E">
        <w:rPr>
          <w:lang w:val="en-AU"/>
        </w:rPr>
        <w:t>Workforce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Sector</w:t>
      </w:r>
      <w:r w:rsidR="00177848" w:rsidRPr="00C6052E">
        <w:rPr>
          <w:lang w:val="en-AU"/>
        </w:rPr>
        <w:t xml:space="preserve"> </w:t>
      </w:r>
      <w:r w:rsidRPr="00C6052E">
        <w:rPr>
          <w:lang w:val="en-AU"/>
        </w:rPr>
        <w:t>Support</w:t>
      </w:r>
      <w:r w:rsidR="00177848" w:rsidRPr="00C6052E">
        <w:rPr>
          <w:lang w:val="en-AU"/>
        </w:rPr>
        <w:t xml:space="preserve"> </w:t>
      </w:r>
      <w:r w:rsidRPr="00C6052E">
        <w:rPr>
          <w:lang w:val="en-AU"/>
        </w:rPr>
        <w:t>Program</w:t>
      </w:r>
    </w:p>
    <w:p w14:paraId="79319647" w14:textId="5ED8AFB9" w:rsidR="00EE5BB8" w:rsidRPr="00C6052E" w:rsidRDefault="00EE5BB8" w:rsidP="00EE5BB8">
      <w:pPr>
        <w:pStyle w:val="Bullet1last"/>
        <w:numPr>
          <w:ilvl w:val="0"/>
          <w:numId w:val="1"/>
        </w:numPr>
        <w:spacing w:line="278" w:lineRule="auto"/>
        <w:ind w:left="284" w:hanging="284"/>
        <w:rPr>
          <w:lang w:val="en-AU"/>
        </w:rPr>
      </w:pPr>
      <w:r w:rsidRPr="00C6052E">
        <w:rPr>
          <w:lang w:val="en-AU"/>
        </w:rPr>
        <w:t>Delivery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almost</w:t>
      </w:r>
      <w:r w:rsidR="00177848" w:rsidRPr="00C6052E">
        <w:rPr>
          <w:lang w:val="en-AU"/>
        </w:rPr>
        <w:t xml:space="preserve"> </w:t>
      </w:r>
      <w:r w:rsidRPr="00C6052E">
        <w:rPr>
          <w:lang w:val="en-AU"/>
        </w:rPr>
        <w:t>190,000</w:t>
      </w:r>
      <w:r w:rsidR="00177848" w:rsidRPr="00C6052E">
        <w:rPr>
          <w:lang w:val="en-AU"/>
        </w:rPr>
        <w:t xml:space="preserve"> </w:t>
      </w:r>
      <w:r w:rsidRPr="00C6052E">
        <w:rPr>
          <w:lang w:val="en-AU"/>
        </w:rPr>
        <w:t>vouchers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eligible</w:t>
      </w:r>
      <w:r w:rsidR="00177848" w:rsidRPr="00C6052E">
        <w:rPr>
          <w:lang w:val="en-AU"/>
        </w:rPr>
        <w:t xml:space="preserve"> </w:t>
      </w:r>
      <w:r w:rsidRPr="00C6052E">
        <w:rPr>
          <w:lang w:val="en-AU"/>
        </w:rPr>
        <w:t>families</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Get</w:t>
      </w:r>
      <w:r w:rsidR="00177848" w:rsidRPr="00C6052E">
        <w:rPr>
          <w:lang w:val="en-AU"/>
        </w:rPr>
        <w:t xml:space="preserve"> </w:t>
      </w:r>
      <w:r w:rsidRPr="00C6052E">
        <w:rPr>
          <w:lang w:val="en-AU"/>
        </w:rPr>
        <w:t>Active</w:t>
      </w:r>
      <w:r w:rsidR="00177848" w:rsidRPr="00C6052E">
        <w:rPr>
          <w:lang w:val="en-AU"/>
        </w:rPr>
        <w:t xml:space="preserve"> </w:t>
      </w:r>
      <w:r w:rsidRPr="00C6052E">
        <w:rPr>
          <w:lang w:val="en-AU"/>
        </w:rPr>
        <w:t>Kids</w:t>
      </w:r>
      <w:r w:rsidR="00177848" w:rsidRPr="00C6052E">
        <w:rPr>
          <w:lang w:val="en-AU"/>
        </w:rPr>
        <w:t xml:space="preserve"> </w:t>
      </w:r>
      <w:r w:rsidRPr="00C6052E">
        <w:rPr>
          <w:lang w:val="en-AU"/>
        </w:rPr>
        <w:t>Voucher</w:t>
      </w:r>
      <w:r w:rsidR="00177848" w:rsidRPr="00C6052E">
        <w:rPr>
          <w:lang w:val="en-AU"/>
        </w:rPr>
        <w:t xml:space="preserve"> </w:t>
      </w:r>
      <w:r w:rsidRPr="00C6052E">
        <w:rPr>
          <w:lang w:val="en-AU"/>
        </w:rPr>
        <w:t>Program</w:t>
      </w:r>
      <w:r w:rsidR="00177848" w:rsidRPr="00C6052E">
        <w:rPr>
          <w:lang w:val="en-AU"/>
        </w:rPr>
        <w:t xml:space="preserve"> </w:t>
      </w:r>
      <w:r w:rsidRPr="00C6052E">
        <w:rPr>
          <w:lang w:val="en-AU"/>
        </w:rPr>
        <w:t>since</w:t>
      </w:r>
      <w:r w:rsidR="00177848" w:rsidRPr="00C6052E">
        <w:rPr>
          <w:lang w:val="en-AU"/>
        </w:rPr>
        <w:t xml:space="preserve"> </w:t>
      </w:r>
      <w:r w:rsidRPr="00C6052E">
        <w:rPr>
          <w:lang w:val="en-AU"/>
        </w:rPr>
        <w:t>it</w:t>
      </w:r>
      <w:r w:rsidR="00177848" w:rsidRPr="00C6052E">
        <w:rPr>
          <w:lang w:val="en-AU"/>
        </w:rPr>
        <w:t xml:space="preserve"> </w:t>
      </w:r>
      <w:r w:rsidRPr="00C6052E">
        <w:rPr>
          <w:lang w:val="en-AU"/>
        </w:rPr>
        <w:t>began</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2021.</w:t>
      </w:r>
      <w:r w:rsidR="00177848" w:rsidRPr="00C6052E">
        <w:rPr>
          <w:lang w:val="en-AU"/>
        </w:rPr>
        <w:t xml:space="preserve"> </w:t>
      </w:r>
      <w:r w:rsidRPr="00C6052E">
        <w:rPr>
          <w:lang w:val="en-AU"/>
        </w:rPr>
        <w:t>More</w:t>
      </w:r>
      <w:r w:rsidR="00177848" w:rsidRPr="00C6052E">
        <w:rPr>
          <w:lang w:val="en-AU"/>
        </w:rPr>
        <w:t xml:space="preserve"> </w:t>
      </w:r>
      <w:r w:rsidRPr="00C6052E">
        <w:rPr>
          <w:lang w:val="en-AU"/>
        </w:rPr>
        <w:t>than</w:t>
      </w:r>
      <w:r w:rsidR="00177848" w:rsidRPr="00C6052E">
        <w:rPr>
          <w:lang w:val="en-AU"/>
        </w:rPr>
        <w:t xml:space="preserve"> </w:t>
      </w:r>
      <w:r w:rsidRPr="00C6052E">
        <w:rPr>
          <w:lang w:val="en-AU"/>
        </w:rPr>
        <w:t>half</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recipients</w:t>
      </w:r>
      <w:r w:rsidR="00177848" w:rsidRPr="00C6052E">
        <w:rPr>
          <w:lang w:val="en-AU"/>
        </w:rPr>
        <w:t xml:space="preserve"> </w:t>
      </w:r>
      <w:r w:rsidRPr="00C6052E">
        <w:rPr>
          <w:lang w:val="en-AU"/>
        </w:rPr>
        <w:t>would</w:t>
      </w:r>
      <w:r w:rsidR="00177848" w:rsidRPr="00C6052E">
        <w:rPr>
          <w:lang w:val="en-AU"/>
        </w:rPr>
        <w:t xml:space="preserve"> </w:t>
      </w:r>
      <w:r w:rsidRPr="00C6052E">
        <w:rPr>
          <w:lang w:val="en-AU"/>
        </w:rPr>
        <w:t>not</w:t>
      </w:r>
      <w:r w:rsidR="00177848" w:rsidRPr="00C6052E">
        <w:rPr>
          <w:lang w:val="en-AU"/>
        </w:rPr>
        <w:t xml:space="preserve"> </w:t>
      </w:r>
      <w:r w:rsidRPr="00C6052E">
        <w:rPr>
          <w:lang w:val="en-AU"/>
        </w:rPr>
        <w:t>have</w:t>
      </w:r>
      <w:r w:rsidR="00177848" w:rsidRPr="00C6052E">
        <w:rPr>
          <w:lang w:val="en-AU"/>
        </w:rPr>
        <w:t xml:space="preserve"> </w:t>
      </w:r>
      <w:r w:rsidRPr="00C6052E">
        <w:rPr>
          <w:lang w:val="en-AU"/>
        </w:rPr>
        <w:t>been</w:t>
      </w:r>
      <w:r w:rsidR="00177848" w:rsidRPr="00C6052E">
        <w:rPr>
          <w:lang w:val="en-AU"/>
        </w:rPr>
        <w:t xml:space="preserve"> </w:t>
      </w:r>
      <w:r w:rsidRPr="00C6052E">
        <w:rPr>
          <w:lang w:val="en-AU"/>
        </w:rPr>
        <w:t>able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participate</w:t>
      </w:r>
      <w:r w:rsidR="00177848" w:rsidRPr="00C6052E">
        <w:rPr>
          <w:lang w:val="en-AU"/>
        </w:rPr>
        <w:t xml:space="preserve"> </w:t>
      </w:r>
      <w:r w:rsidRPr="00C6052E">
        <w:rPr>
          <w:lang w:val="en-AU"/>
        </w:rPr>
        <w:t>without</w:t>
      </w:r>
      <w:r w:rsidR="00177848" w:rsidRPr="00C6052E">
        <w:rPr>
          <w:lang w:val="en-AU"/>
        </w:rPr>
        <w:t xml:space="preserve"> </w:t>
      </w:r>
      <w:r w:rsidRPr="00C6052E">
        <w:rPr>
          <w:lang w:val="en-AU"/>
        </w:rPr>
        <w:t>a</w:t>
      </w:r>
      <w:r w:rsidR="00177848" w:rsidRPr="00C6052E">
        <w:rPr>
          <w:lang w:val="en-AU"/>
        </w:rPr>
        <w:t xml:space="preserve"> </w:t>
      </w:r>
      <w:r w:rsidRPr="00C6052E">
        <w:rPr>
          <w:lang w:val="en-AU"/>
        </w:rPr>
        <w:t>voucher,</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w:t>
      </w:r>
      <w:r w:rsidR="00177848" w:rsidRPr="00C6052E">
        <w:rPr>
          <w:lang w:val="en-AU"/>
        </w:rPr>
        <w:t xml:space="preserve"> </w:t>
      </w:r>
      <w:r w:rsidRPr="00C6052E">
        <w:rPr>
          <w:lang w:val="en-AU"/>
        </w:rPr>
        <w:t>quarter</w:t>
      </w:r>
      <w:r w:rsidR="00177848" w:rsidRPr="00C6052E">
        <w:rPr>
          <w:lang w:val="en-AU"/>
        </w:rPr>
        <w:t xml:space="preserve"> </w:t>
      </w:r>
      <w:r w:rsidRPr="00C6052E">
        <w:rPr>
          <w:lang w:val="en-AU"/>
        </w:rPr>
        <w:t>had</w:t>
      </w:r>
      <w:r w:rsidR="00177848" w:rsidRPr="00C6052E">
        <w:rPr>
          <w:lang w:val="en-AU"/>
        </w:rPr>
        <w:t xml:space="preserve"> </w:t>
      </w:r>
      <w:r w:rsidRPr="00C6052E">
        <w:rPr>
          <w:lang w:val="en-AU"/>
        </w:rPr>
        <w:t>not</w:t>
      </w:r>
      <w:r w:rsidR="00177848" w:rsidRPr="00C6052E">
        <w:rPr>
          <w:lang w:val="en-AU"/>
        </w:rPr>
        <w:t xml:space="preserve"> </w:t>
      </w:r>
      <w:r w:rsidRPr="00C6052E">
        <w:rPr>
          <w:lang w:val="en-AU"/>
        </w:rPr>
        <w:t>previously</w:t>
      </w:r>
      <w:r w:rsidR="00177848" w:rsidRPr="00C6052E">
        <w:rPr>
          <w:lang w:val="en-AU"/>
        </w:rPr>
        <w:t xml:space="preserve"> </w:t>
      </w:r>
      <w:r w:rsidRPr="00C6052E">
        <w:rPr>
          <w:lang w:val="en-AU"/>
        </w:rPr>
        <w:t>participated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children’s</w:t>
      </w:r>
      <w:r w:rsidR="00177848" w:rsidRPr="00C6052E">
        <w:rPr>
          <w:lang w:val="en-AU"/>
        </w:rPr>
        <w:t xml:space="preserve"> </w:t>
      </w:r>
      <w:r w:rsidRPr="00C6052E">
        <w:rPr>
          <w:lang w:val="en-AU"/>
        </w:rPr>
        <w:t>sport.</w:t>
      </w:r>
    </w:p>
    <w:p w14:paraId="7E5F2032" w14:textId="10C46BB5" w:rsidR="00EE5BB8" w:rsidRPr="00C6052E" w:rsidRDefault="00EE5BB8" w:rsidP="00EE5BB8">
      <w:pPr>
        <w:keepLines/>
        <w:rPr>
          <w:spacing w:val="-2"/>
        </w:rPr>
      </w:pPr>
      <w:r w:rsidRPr="00C6052E">
        <w:rPr>
          <w:spacing w:val="-2"/>
        </w:rPr>
        <w:t>In</w:t>
      </w:r>
      <w:r w:rsidR="00177848" w:rsidRPr="00C6052E">
        <w:rPr>
          <w:spacing w:val="-2"/>
        </w:rPr>
        <w:t xml:space="preserve"> </w:t>
      </w:r>
      <w:r w:rsidRPr="00C6052E">
        <w:rPr>
          <w:spacing w:val="-2"/>
        </w:rPr>
        <w:t>addition,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Victorian</w:t>
      </w:r>
      <w:r w:rsidR="00177848" w:rsidRPr="00C6052E">
        <w:rPr>
          <w:spacing w:val="-2"/>
        </w:rPr>
        <w:t xml:space="preserve"> </w:t>
      </w:r>
      <w:r w:rsidRPr="00C6052E">
        <w:rPr>
          <w:spacing w:val="-2"/>
        </w:rPr>
        <w:t>Aboriginal</w:t>
      </w:r>
      <w:r w:rsidR="00177848" w:rsidRPr="00C6052E">
        <w:rPr>
          <w:spacing w:val="-2"/>
        </w:rPr>
        <w:t xml:space="preserve"> </w:t>
      </w:r>
      <w:r w:rsidRPr="00C6052E">
        <w:rPr>
          <w:spacing w:val="-2"/>
        </w:rPr>
        <w:t>Sporting</w:t>
      </w:r>
      <w:r w:rsidR="00177848" w:rsidRPr="00C6052E">
        <w:rPr>
          <w:spacing w:val="-2"/>
        </w:rPr>
        <w:t xml:space="preserve"> </w:t>
      </w:r>
      <w:r w:rsidRPr="00C6052E">
        <w:rPr>
          <w:spacing w:val="-2"/>
        </w:rPr>
        <w:t>Partnership</w:t>
      </w:r>
      <w:r w:rsidR="00177848" w:rsidRPr="00C6052E">
        <w:rPr>
          <w:spacing w:val="-2"/>
        </w:rPr>
        <w:t xml:space="preserve"> </w:t>
      </w:r>
      <w:r w:rsidRPr="00C6052E">
        <w:rPr>
          <w:spacing w:val="-2"/>
        </w:rPr>
        <w:t>Working</w:t>
      </w:r>
      <w:r w:rsidR="00177848" w:rsidRPr="00C6052E">
        <w:rPr>
          <w:spacing w:val="-2"/>
        </w:rPr>
        <w:t xml:space="preserve"> </w:t>
      </w:r>
      <w:r w:rsidRPr="00C6052E">
        <w:rPr>
          <w:spacing w:val="-2"/>
        </w:rPr>
        <w:t>Group</w:t>
      </w:r>
      <w:r w:rsidR="00177848" w:rsidRPr="00C6052E">
        <w:rPr>
          <w:spacing w:val="-2"/>
        </w:rPr>
        <w:t xml:space="preserve"> </w:t>
      </w:r>
      <w:r w:rsidRPr="00C6052E">
        <w:rPr>
          <w:spacing w:val="-2"/>
        </w:rPr>
        <w:t>continued</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support</w:t>
      </w:r>
      <w:r w:rsidR="00177848" w:rsidRPr="00C6052E">
        <w:rPr>
          <w:spacing w:val="-2"/>
        </w:rPr>
        <w:t xml:space="preserve"> </w:t>
      </w:r>
      <w:r w:rsidRPr="00C6052E">
        <w:rPr>
          <w:spacing w:val="-2"/>
        </w:rPr>
        <w:t>development</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a</w:t>
      </w:r>
      <w:r w:rsidR="00177848" w:rsidRPr="00C6052E">
        <w:rPr>
          <w:spacing w:val="-2"/>
        </w:rPr>
        <w:t xml:space="preserve"> </w:t>
      </w:r>
      <w:r w:rsidRPr="00C6052E">
        <w:rPr>
          <w:spacing w:val="-2"/>
        </w:rPr>
        <w:t>self-determined</w:t>
      </w:r>
      <w:r w:rsidR="00177848" w:rsidRPr="00C6052E">
        <w:rPr>
          <w:spacing w:val="-2"/>
        </w:rPr>
        <w:t xml:space="preserve"> </w:t>
      </w:r>
      <w:r w:rsidRPr="00C6052E">
        <w:rPr>
          <w:spacing w:val="-2"/>
        </w:rPr>
        <w:t>partnership</w:t>
      </w:r>
      <w:r w:rsidR="00177848" w:rsidRPr="00C6052E">
        <w:rPr>
          <w:spacing w:val="-2"/>
        </w:rPr>
        <w:t xml:space="preserve"> </w:t>
      </w:r>
      <w:r w:rsidRPr="00C6052E">
        <w:rPr>
          <w:spacing w:val="-2"/>
        </w:rPr>
        <w:t>between</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Victorian</w:t>
      </w:r>
      <w:r w:rsidR="00177848" w:rsidRPr="00C6052E">
        <w:rPr>
          <w:spacing w:val="-2"/>
        </w:rPr>
        <w:t xml:space="preserve"> </w:t>
      </w:r>
      <w:r w:rsidRPr="00C6052E">
        <w:rPr>
          <w:spacing w:val="-2"/>
        </w:rPr>
        <w:t>Aboriginal</w:t>
      </w:r>
      <w:r w:rsidR="00177848" w:rsidRPr="00C6052E">
        <w:rPr>
          <w:spacing w:val="-2"/>
        </w:rPr>
        <w:t xml:space="preserve"> </w:t>
      </w:r>
      <w:r w:rsidRPr="00C6052E">
        <w:rPr>
          <w:spacing w:val="-2"/>
        </w:rPr>
        <w:t>community</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Sport</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Recreation</w:t>
      </w:r>
      <w:r w:rsidR="00177848" w:rsidRPr="00C6052E">
        <w:rPr>
          <w:spacing w:val="-2"/>
        </w:rPr>
        <w:t xml:space="preserve"> </w:t>
      </w:r>
      <w:r w:rsidRPr="00C6052E">
        <w:rPr>
          <w:spacing w:val="-2"/>
        </w:rPr>
        <w:t>Victoria.</w:t>
      </w:r>
      <w:r w:rsidR="00177848" w:rsidRPr="00C6052E">
        <w:rPr>
          <w:spacing w:val="-2"/>
        </w:rPr>
        <w:t xml:space="preserve"> </w:t>
      </w:r>
    </w:p>
    <w:p w14:paraId="2263087D" w14:textId="669B0B68" w:rsidR="00EE5BB8" w:rsidRPr="00C6052E" w:rsidRDefault="00EE5BB8" w:rsidP="00EE5BB8">
      <w:pPr>
        <w:rPr>
          <w:spacing w:val="-2"/>
        </w:rPr>
      </w:pPr>
      <w:r w:rsidRPr="00C6052E">
        <w:rPr>
          <w:spacing w:val="-2"/>
        </w:rPr>
        <w:t>The</w:t>
      </w:r>
      <w:r w:rsidR="00177848" w:rsidRPr="00C6052E">
        <w:rPr>
          <w:spacing w:val="-2"/>
        </w:rPr>
        <w:t xml:space="preserve"> </w:t>
      </w:r>
      <w:r w:rsidRPr="00C6052E">
        <w:rPr>
          <w:spacing w:val="-2"/>
        </w:rPr>
        <w:t>Victorian</w:t>
      </w:r>
      <w:r w:rsidR="00177848" w:rsidRPr="00C6052E">
        <w:rPr>
          <w:spacing w:val="-2"/>
        </w:rPr>
        <w:t xml:space="preserve"> </w:t>
      </w:r>
      <w:r w:rsidRPr="00C6052E">
        <w:rPr>
          <w:spacing w:val="-2"/>
        </w:rPr>
        <w:t>Government</w:t>
      </w:r>
      <w:r w:rsidR="00177848" w:rsidRPr="00C6052E">
        <w:rPr>
          <w:spacing w:val="-2"/>
        </w:rPr>
        <w:t xml:space="preserve"> </w:t>
      </w:r>
      <w:r w:rsidRPr="00C6052E">
        <w:rPr>
          <w:spacing w:val="-2"/>
        </w:rPr>
        <w:t>continued</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advocate</w:t>
      </w:r>
      <w:r w:rsidR="00177848" w:rsidRPr="00C6052E">
        <w:rPr>
          <w:spacing w:val="-2"/>
        </w:rPr>
        <w:t xml:space="preserve"> </w:t>
      </w:r>
      <w:r w:rsidRPr="00C6052E">
        <w:rPr>
          <w:spacing w:val="-2"/>
        </w:rPr>
        <w:t>for</w:t>
      </w:r>
      <w:r w:rsidR="00177848" w:rsidRPr="00C6052E">
        <w:rPr>
          <w:spacing w:val="-2"/>
        </w:rPr>
        <w:t xml:space="preserve"> </w:t>
      </w:r>
      <w:r w:rsidRPr="00C6052E">
        <w:rPr>
          <w:spacing w:val="-2"/>
        </w:rPr>
        <w:t>women</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girls'</w:t>
      </w:r>
      <w:r w:rsidR="00177848" w:rsidRPr="00C6052E">
        <w:rPr>
          <w:spacing w:val="-2"/>
        </w:rPr>
        <w:t xml:space="preserve"> </w:t>
      </w:r>
      <w:r w:rsidRPr="00C6052E">
        <w:rPr>
          <w:spacing w:val="-2"/>
        </w:rPr>
        <w:t>participation</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sport</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recreation,</w:t>
      </w:r>
      <w:r w:rsidR="00177848" w:rsidRPr="00C6052E">
        <w:rPr>
          <w:spacing w:val="-2"/>
        </w:rPr>
        <w:t xml:space="preserve"> </w:t>
      </w:r>
      <w:r w:rsidRPr="00C6052E">
        <w:rPr>
          <w:spacing w:val="-2"/>
        </w:rPr>
        <w:t>on</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off</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field.</w:t>
      </w:r>
      <w:r w:rsidR="00177848" w:rsidRPr="00C6052E">
        <w:rPr>
          <w:spacing w:val="-2"/>
        </w:rPr>
        <w:t xml:space="preserve"> </w:t>
      </w:r>
      <w:r w:rsidRPr="00C6052E">
        <w:rPr>
          <w:spacing w:val="-2"/>
        </w:rPr>
        <w:t>This</w:t>
      </w:r>
      <w:r w:rsidR="00177848" w:rsidRPr="00C6052E">
        <w:rPr>
          <w:spacing w:val="-2"/>
        </w:rPr>
        <w:t xml:space="preserve"> </w:t>
      </w:r>
      <w:r w:rsidRPr="00C6052E">
        <w:rPr>
          <w:spacing w:val="-2"/>
        </w:rPr>
        <w:t>included</w:t>
      </w:r>
      <w:r w:rsidR="00177848" w:rsidRPr="00C6052E">
        <w:rPr>
          <w:spacing w:val="-2"/>
        </w:rPr>
        <w:t xml:space="preserve"> </w:t>
      </w:r>
      <w:r w:rsidRPr="00C6052E">
        <w:rPr>
          <w:spacing w:val="-2"/>
        </w:rPr>
        <w:t>supporting</w:t>
      </w:r>
      <w:r w:rsidR="00177848" w:rsidRPr="00C6052E">
        <w:rPr>
          <w:spacing w:val="-2"/>
        </w:rPr>
        <w:t xml:space="preserve"> </w:t>
      </w:r>
      <w:r w:rsidRPr="00C6052E">
        <w:rPr>
          <w:spacing w:val="-2"/>
        </w:rPr>
        <w:t>all</w:t>
      </w:r>
      <w:r w:rsidR="00177848" w:rsidRPr="00C6052E">
        <w:rPr>
          <w:spacing w:val="-2"/>
        </w:rPr>
        <w:t xml:space="preserve"> </w:t>
      </w:r>
      <w:r w:rsidRPr="00C6052E">
        <w:rPr>
          <w:spacing w:val="-2"/>
        </w:rPr>
        <w:t>Victorian</w:t>
      </w:r>
      <w:r w:rsidR="00177848" w:rsidRPr="00C6052E">
        <w:rPr>
          <w:spacing w:val="-2"/>
        </w:rPr>
        <w:t xml:space="preserve"> </w:t>
      </w:r>
      <w:r w:rsidRPr="00C6052E">
        <w:rPr>
          <w:spacing w:val="-2"/>
        </w:rPr>
        <w:t>councils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Alpine</w:t>
      </w:r>
      <w:r w:rsidR="00177848" w:rsidRPr="00C6052E">
        <w:rPr>
          <w:spacing w:val="-2"/>
        </w:rPr>
        <w:t xml:space="preserve"> </w:t>
      </w:r>
      <w:r w:rsidRPr="00C6052E">
        <w:rPr>
          <w:spacing w:val="-2"/>
        </w:rPr>
        <w:t>Resorts</w:t>
      </w:r>
      <w:r w:rsidR="00177848" w:rsidRPr="00C6052E">
        <w:rPr>
          <w:spacing w:val="-2"/>
        </w:rPr>
        <w:t xml:space="preserve"> </w:t>
      </w:r>
      <w:r w:rsidRPr="00C6052E">
        <w:rPr>
          <w:spacing w:val="-2"/>
        </w:rPr>
        <w:t>Victoria</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adopt</w:t>
      </w:r>
      <w:r w:rsidR="00177848" w:rsidRPr="00C6052E">
        <w:rPr>
          <w:spacing w:val="-2"/>
        </w:rPr>
        <w:t xml:space="preserve"> </w:t>
      </w:r>
      <w:r w:rsidRPr="00C6052E">
        <w:rPr>
          <w:spacing w:val="-2"/>
        </w:rPr>
        <w:t>gender</w:t>
      </w:r>
      <w:r w:rsidR="00177848" w:rsidRPr="00C6052E">
        <w:rPr>
          <w:spacing w:val="-2"/>
        </w:rPr>
        <w:t xml:space="preserve"> </w:t>
      </w:r>
      <w:r w:rsidRPr="00C6052E">
        <w:rPr>
          <w:spacing w:val="-2"/>
        </w:rPr>
        <w:t>equitable</w:t>
      </w:r>
      <w:r w:rsidR="00177848" w:rsidRPr="00C6052E">
        <w:rPr>
          <w:spacing w:val="-2"/>
        </w:rPr>
        <w:t xml:space="preserve"> </w:t>
      </w:r>
      <w:r w:rsidRPr="00C6052E">
        <w:rPr>
          <w:spacing w:val="-2"/>
        </w:rPr>
        <w:t>access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use</w:t>
      </w:r>
      <w:r w:rsidR="00177848" w:rsidRPr="00C6052E">
        <w:rPr>
          <w:spacing w:val="-2"/>
        </w:rPr>
        <w:t xml:space="preserve"> </w:t>
      </w:r>
      <w:r w:rsidRPr="00C6052E">
        <w:rPr>
          <w:spacing w:val="-2"/>
        </w:rPr>
        <w:t>policies</w:t>
      </w:r>
      <w:r w:rsidR="00177848" w:rsidRPr="00C6052E">
        <w:rPr>
          <w:spacing w:val="-2"/>
        </w:rPr>
        <w:t xml:space="preserve"> </w:t>
      </w:r>
      <w:r w:rsidRPr="00C6052E">
        <w:rPr>
          <w:spacing w:val="-2"/>
        </w:rPr>
        <w:t>in</w:t>
      </w:r>
      <w:r w:rsidR="00177848" w:rsidRPr="00C6052E">
        <w:rPr>
          <w:spacing w:val="-2"/>
        </w:rPr>
        <w:t xml:space="preserve"> </w:t>
      </w:r>
      <w:r w:rsidRPr="00C6052E">
        <w:rPr>
          <w:spacing w:val="-2"/>
        </w:rPr>
        <w:t>line</w:t>
      </w:r>
      <w:r w:rsidR="00177848" w:rsidRPr="00C6052E">
        <w:rPr>
          <w:spacing w:val="-2"/>
        </w:rPr>
        <w:t xml:space="preserve"> </w:t>
      </w:r>
      <w:r w:rsidRPr="00C6052E">
        <w:rPr>
          <w:spacing w:val="-2"/>
        </w:rPr>
        <w:t>with</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Fair</w:t>
      </w:r>
      <w:r w:rsidR="00177848" w:rsidRPr="00C6052E">
        <w:rPr>
          <w:spacing w:val="-2"/>
        </w:rPr>
        <w:t xml:space="preserve"> </w:t>
      </w:r>
      <w:r w:rsidRPr="00C6052E">
        <w:rPr>
          <w:spacing w:val="-2"/>
        </w:rPr>
        <w:t>Access</w:t>
      </w:r>
      <w:r w:rsidR="00177848" w:rsidRPr="00C6052E">
        <w:rPr>
          <w:spacing w:val="-2"/>
        </w:rPr>
        <w:t xml:space="preserve"> </w:t>
      </w:r>
      <w:r w:rsidRPr="00C6052E">
        <w:rPr>
          <w:spacing w:val="-2"/>
        </w:rPr>
        <w:t>Policy</w:t>
      </w:r>
      <w:r w:rsidR="00177848" w:rsidRPr="00C6052E">
        <w:rPr>
          <w:spacing w:val="-2"/>
        </w:rPr>
        <w:t xml:space="preserve"> </w:t>
      </w:r>
      <w:r w:rsidRPr="00C6052E">
        <w:rPr>
          <w:spacing w:val="-2"/>
        </w:rPr>
        <w:t>Roadmap.</w:t>
      </w:r>
      <w:r w:rsidR="00177848" w:rsidRPr="00C6052E">
        <w:rPr>
          <w:spacing w:val="-2"/>
        </w:rPr>
        <w:t xml:space="preserve"> </w:t>
      </w:r>
      <w:r w:rsidRPr="00C6052E">
        <w:rPr>
          <w:spacing w:val="-2"/>
        </w:rPr>
        <w:t>Through</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Balance</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Board</w:t>
      </w:r>
      <w:r w:rsidR="00177848" w:rsidRPr="00C6052E">
        <w:rPr>
          <w:spacing w:val="-2"/>
        </w:rPr>
        <w:t xml:space="preserve"> </w:t>
      </w:r>
      <w:r w:rsidRPr="00C6052E">
        <w:rPr>
          <w:spacing w:val="-2"/>
        </w:rPr>
        <w:t>policy,</w:t>
      </w:r>
      <w:r w:rsidR="00177848" w:rsidRPr="00C6052E">
        <w:rPr>
          <w:spacing w:val="-2"/>
        </w:rPr>
        <w:t xml:space="preserve"> </w:t>
      </w:r>
      <w:r w:rsidRPr="00C6052E">
        <w:rPr>
          <w:spacing w:val="-2"/>
        </w:rPr>
        <w:t>96%</w:t>
      </w:r>
      <w:r w:rsidR="00177848" w:rsidRPr="00C6052E">
        <w:rPr>
          <w:spacing w:val="-2"/>
        </w:rPr>
        <w:t xml:space="preserve"> </w:t>
      </w:r>
      <w:r w:rsidRPr="00C6052E">
        <w:rPr>
          <w:spacing w:val="-2"/>
        </w:rPr>
        <w:t>of</w:t>
      </w:r>
      <w:r w:rsidR="00177848" w:rsidRPr="00C6052E">
        <w:rPr>
          <w:spacing w:val="-2"/>
        </w:rPr>
        <w:t xml:space="preserve"> </w:t>
      </w:r>
      <w:r w:rsidRPr="00C6052E">
        <w:rPr>
          <w:spacing w:val="-2"/>
        </w:rPr>
        <w:t>funded</w:t>
      </w:r>
      <w:r w:rsidR="00177848" w:rsidRPr="00C6052E">
        <w:rPr>
          <w:spacing w:val="-2"/>
        </w:rPr>
        <w:t xml:space="preserve"> </w:t>
      </w:r>
      <w:r w:rsidRPr="00C6052E">
        <w:rPr>
          <w:spacing w:val="-2"/>
        </w:rPr>
        <w:t>state</w:t>
      </w:r>
      <w:r w:rsidR="00177848" w:rsidRPr="00C6052E">
        <w:rPr>
          <w:spacing w:val="-2"/>
        </w:rPr>
        <w:t xml:space="preserve"> </w:t>
      </w:r>
      <w:r w:rsidRPr="00C6052E">
        <w:rPr>
          <w:spacing w:val="-2"/>
        </w:rPr>
        <w:t>sporting</w:t>
      </w:r>
      <w:r w:rsidR="00177848" w:rsidRPr="00C6052E">
        <w:rPr>
          <w:spacing w:val="-2"/>
        </w:rPr>
        <w:t xml:space="preserve"> </w:t>
      </w:r>
      <w:r w:rsidRPr="00C6052E">
        <w:rPr>
          <w:spacing w:val="-2"/>
        </w:rPr>
        <w:t>associations</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state</w:t>
      </w:r>
      <w:r w:rsidR="00177848" w:rsidRPr="00C6052E">
        <w:rPr>
          <w:spacing w:val="-2"/>
        </w:rPr>
        <w:t xml:space="preserve"> </w:t>
      </w:r>
      <w:r w:rsidRPr="00C6052E">
        <w:rPr>
          <w:spacing w:val="-2"/>
        </w:rPr>
        <w:t>sport</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active</w:t>
      </w:r>
      <w:r w:rsidR="00177848" w:rsidRPr="00C6052E">
        <w:rPr>
          <w:spacing w:val="-2"/>
        </w:rPr>
        <w:t xml:space="preserve"> </w:t>
      </w:r>
      <w:r w:rsidRPr="00C6052E">
        <w:rPr>
          <w:spacing w:val="-2"/>
        </w:rPr>
        <w:t>recreation</w:t>
      </w:r>
      <w:r w:rsidR="00177848" w:rsidRPr="00C6052E">
        <w:rPr>
          <w:spacing w:val="-2"/>
        </w:rPr>
        <w:t xml:space="preserve"> </w:t>
      </w:r>
      <w:r w:rsidRPr="00C6052E">
        <w:rPr>
          <w:spacing w:val="-2"/>
        </w:rPr>
        <w:t>bodies</w:t>
      </w:r>
      <w:r w:rsidR="00177848" w:rsidRPr="00C6052E">
        <w:rPr>
          <w:spacing w:val="-2"/>
        </w:rPr>
        <w:t xml:space="preserve"> </w:t>
      </w:r>
      <w:r w:rsidRPr="00C6052E">
        <w:rPr>
          <w:spacing w:val="-2"/>
        </w:rPr>
        <w:t>met</w:t>
      </w:r>
      <w:r w:rsidR="00177848" w:rsidRPr="00C6052E">
        <w:rPr>
          <w:spacing w:val="-2"/>
        </w:rPr>
        <w:t xml:space="preserve"> </w:t>
      </w:r>
      <w:r w:rsidRPr="00C6052E">
        <w:rPr>
          <w:spacing w:val="-2"/>
        </w:rPr>
        <w:t>the</w:t>
      </w:r>
      <w:r w:rsidR="00177848" w:rsidRPr="00C6052E">
        <w:rPr>
          <w:spacing w:val="-2"/>
        </w:rPr>
        <w:t xml:space="preserve"> </w:t>
      </w:r>
      <w:r w:rsidRPr="00C6052E">
        <w:rPr>
          <w:spacing w:val="-2"/>
        </w:rPr>
        <w:t>Victorian</w:t>
      </w:r>
      <w:r w:rsidR="00177848" w:rsidRPr="00C6052E">
        <w:rPr>
          <w:spacing w:val="-2"/>
        </w:rPr>
        <w:t xml:space="preserve"> </w:t>
      </w:r>
      <w:r w:rsidRPr="00C6052E">
        <w:rPr>
          <w:spacing w:val="-2"/>
        </w:rPr>
        <w:t>Government’s</w:t>
      </w:r>
      <w:r w:rsidR="00177848" w:rsidRPr="00C6052E">
        <w:rPr>
          <w:spacing w:val="-2"/>
        </w:rPr>
        <w:t xml:space="preserve"> </w:t>
      </w:r>
      <w:r w:rsidRPr="00C6052E">
        <w:rPr>
          <w:spacing w:val="-2"/>
        </w:rPr>
        <w:t>requirement</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have</w:t>
      </w:r>
      <w:r w:rsidR="00177848" w:rsidRPr="00C6052E">
        <w:rPr>
          <w:spacing w:val="-2"/>
        </w:rPr>
        <w:t xml:space="preserve"> </w:t>
      </w:r>
      <w:r w:rsidRPr="00C6052E">
        <w:rPr>
          <w:spacing w:val="-2"/>
        </w:rPr>
        <w:t>at</w:t>
      </w:r>
      <w:r w:rsidR="00177848" w:rsidRPr="00C6052E">
        <w:rPr>
          <w:spacing w:val="-2"/>
        </w:rPr>
        <w:t xml:space="preserve"> </w:t>
      </w:r>
      <w:r w:rsidRPr="00C6052E">
        <w:rPr>
          <w:spacing w:val="-2"/>
        </w:rPr>
        <w:t>least</w:t>
      </w:r>
      <w:r w:rsidR="00177848" w:rsidRPr="00C6052E">
        <w:rPr>
          <w:spacing w:val="-2"/>
        </w:rPr>
        <w:t xml:space="preserve"> </w:t>
      </w:r>
      <w:r w:rsidRPr="00C6052E">
        <w:rPr>
          <w:spacing w:val="-2"/>
        </w:rPr>
        <w:t>40%</w:t>
      </w:r>
      <w:r w:rsidR="00177848" w:rsidRPr="00C6052E">
        <w:rPr>
          <w:spacing w:val="-2"/>
        </w:rPr>
        <w:t xml:space="preserve"> </w:t>
      </w:r>
      <w:r w:rsidRPr="00C6052E">
        <w:rPr>
          <w:spacing w:val="-2"/>
        </w:rPr>
        <w:t>women</w:t>
      </w:r>
      <w:r w:rsidR="00177848" w:rsidRPr="00C6052E">
        <w:rPr>
          <w:spacing w:val="-2"/>
        </w:rPr>
        <w:t xml:space="preserve"> </w:t>
      </w:r>
      <w:r w:rsidRPr="00C6052E">
        <w:rPr>
          <w:spacing w:val="-2"/>
        </w:rPr>
        <w:t>board</w:t>
      </w:r>
      <w:r w:rsidR="00177848" w:rsidRPr="00C6052E">
        <w:rPr>
          <w:spacing w:val="-2"/>
        </w:rPr>
        <w:t xml:space="preserve"> </w:t>
      </w:r>
      <w:r w:rsidRPr="00C6052E">
        <w:rPr>
          <w:spacing w:val="-2"/>
        </w:rPr>
        <w:t>directors</w:t>
      </w:r>
      <w:r w:rsidR="00177848" w:rsidRPr="00C6052E">
        <w:rPr>
          <w:spacing w:val="-2"/>
        </w:rPr>
        <w:t xml:space="preserve"> </w:t>
      </w:r>
      <w:r w:rsidRPr="00C6052E">
        <w:rPr>
          <w:spacing w:val="-2"/>
        </w:rPr>
        <w:t>as</w:t>
      </w:r>
      <w:r w:rsidR="00177848" w:rsidRPr="00C6052E">
        <w:rPr>
          <w:spacing w:val="-2"/>
        </w:rPr>
        <w:t xml:space="preserve"> </w:t>
      </w:r>
      <w:proofErr w:type="gramStart"/>
      <w:r w:rsidRPr="00C6052E">
        <w:rPr>
          <w:spacing w:val="-2"/>
        </w:rPr>
        <w:t>at</w:t>
      </w:r>
      <w:proofErr w:type="gramEnd"/>
      <w:r w:rsidR="00177848" w:rsidRPr="00C6052E">
        <w:rPr>
          <w:spacing w:val="-2"/>
        </w:rPr>
        <w:t xml:space="preserve"> </w:t>
      </w:r>
      <w:r w:rsidRPr="00C6052E">
        <w:rPr>
          <w:spacing w:val="-2"/>
        </w:rPr>
        <w:t>June</w:t>
      </w:r>
      <w:r w:rsidR="00177848" w:rsidRPr="00C6052E">
        <w:rPr>
          <w:spacing w:val="-2"/>
        </w:rPr>
        <w:t xml:space="preserve"> </w:t>
      </w:r>
      <w:r w:rsidRPr="00C6052E">
        <w:rPr>
          <w:spacing w:val="-2"/>
        </w:rPr>
        <w:t>2025.</w:t>
      </w:r>
    </w:p>
    <w:p w14:paraId="4C4973A8" w14:textId="505D2F18" w:rsidR="00EE5BB8" w:rsidRPr="00C6052E" w:rsidRDefault="00EE5BB8" w:rsidP="00EE5BB8">
      <w:r w:rsidRPr="00C6052E">
        <w:t>Almost</w:t>
      </w:r>
      <w:r w:rsidR="00177848" w:rsidRPr="00C6052E">
        <w:t xml:space="preserve"> </w:t>
      </w:r>
      <w:r w:rsidRPr="00C6052E">
        <w:t>$130</w:t>
      </w:r>
      <w:r w:rsidR="00177848" w:rsidRPr="00C6052E">
        <w:t xml:space="preserve"> </w:t>
      </w:r>
      <w:r w:rsidRPr="00C6052E">
        <w:t>million</w:t>
      </w:r>
      <w:r w:rsidR="00177848" w:rsidRPr="00C6052E">
        <w:t xml:space="preserve"> </w:t>
      </w:r>
      <w:r w:rsidRPr="00C6052E">
        <w:t>was</w:t>
      </w:r>
      <w:r w:rsidR="00177848" w:rsidRPr="00C6052E">
        <w:t xml:space="preserve"> </w:t>
      </w:r>
      <w:r w:rsidRPr="00C6052E">
        <w:t>allocated</w:t>
      </w:r>
      <w:r w:rsidR="00177848" w:rsidRPr="00C6052E">
        <w:t xml:space="preserve"> </w:t>
      </w:r>
      <w:r w:rsidRPr="00C6052E">
        <w:t>to</w:t>
      </w:r>
      <w:r w:rsidR="00177848" w:rsidRPr="00C6052E">
        <w:t xml:space="preserve"> </w:t>
      </w:r>
      <w:r w:rsidRPr="00C6052E">
        <w:t>support</w:t>
      </w:r>
      <w:r w:rsidR="00177848" w:rsidRPr="00C6052E">
        <w:t xml:space="preserve"> </w:t>
      </w:r>
      <w:r w:rsidRPr="00C6052E">
        <w:t>over</w:t>
      </w:r>
      <w:r w:rsidR="00177848" w:rsidRPr="00C6052E">
        <w:t xml:space="preserve"> </w:t>
      </w:r>
      <w:r w:rsidRPr="00C6052E">
        <w:t>150</w:t>
      </w:r>
      <w:r w:rsidR="00177848" w:rsidRPr="00C6052E">
        <w:t xml:space="preserve"> </w:t>
      </w:r>
      <w:r w:rsidRPr="00C6052E">
        <w:t>community</w:t>
      </w:r>
      <w:r w:rsidR="00177848" w:rsidRPr="00C6052E">
        <w:t xml:space="preserve"> </w:t>
      </w:r>
      <w:r w:rsidRPr="00C6052E">
        <w:t>sport</w:t>
      </w:r>
      <w:r w:rsidR="00177848" w:rsidRPr="00C6052E">
        <w:t xml:space="preserve"> </w:t>
      </w:r>
      <w:r w:rsidRPr="00C6052E">
        <w:t>and</w:t>
      </w:r>
      <w:r w:rsidR="00177848" w:rsidRPr="00C6052E">
        <w:t xml:space="preserve"> </w:t>
      </w:r>
      <w:r w:rsidRPr="00C6052E">
        <w:t>active</w:t>
      </w:r>
      <w:r w:rsidR="00177848" w:rsidRPr="00C6052E">
        <w:t xml:space="preserve"> </w:t>
      </w:r>
      <w:r w:rsidRPr="00C6052E">
        <w:t>recreation</w:t>
      </w:r>
      <w:r w:rsidR="00177848" w:rsidRPr="00C6052E">
        <w:t xml:space="preserve"> </w:t>
      </w:r>
      <w:r w:rsidRPr="00C6052E">
        <w:t>projects.</w:t>
      </w:r>
      <w:r w:rsidR="00177848" w:rsidRPr="00C6052E">
        <w:t xml:space="preserve"> </w:t>
      </w:r>
      <w:r w:rsidRPr="00C6052E">
        <w:t>This</w:t>
      </w:r>
      <w:r w:rsidR="00177848" w:rsidRPr="00C6052E">
        <w:t xml:space="preserve"> </w:t>
      </w:r>
      <w:r w:rsidRPr="00C6052E">
        <w:t>included</w:t>
      </w:r>
      <w:r w:rsidR="00177848" w:rsidRPr="00C6052E">
        <w:t xml:space="preserve"> </w:t>
      </w:r>
      <w:r w:rsidRPr="00C6052E">
        <w:t>funding</w:t>
      </w:r>
      <w:r w:rsidR="00177848" w:rsidRPr="00C6052E">
        <w:t xml:space="preserve"> </w:t>
      </w:r>
      <w:r w:rsidRPr="00C6052E">
        <w:t>28</w:t>
      </w:r>
      <w:r w:rsidR="00177848" w:rsidRPr="00C6052E">
        <w:t xml:space="preserve"> </w:t>
      </w:r>
      <w:r w:rsidRPr="00C6052E">
        <w:t>projects</w:t>
      </w:r>
      <w:r w:rsidR="00177848" w:rsidRPr="00C6052E">
        <w:t xml:space="preserve"> </w:t>
      </w:r>
      <w:r w:rsidRPr="00C6052E">
        <w:t>through</w:t>
      </w:r>
      <w:r w:rsidR="00177848" w:rsidRPr="00C6052E">
        <w:t xml:space="preserve"> </w:t>
      </w:r>
      <w:r w:rsidRPr="00C6052E">
        <w:t>the</w:t>
      </w:r>
      <w:r w:rsidR="00177848" w:rsidRPr="00C6052E">
        <w:t xml:space="preserve"> </w:t>
      </w:r>
      <w:r w:rsidRPr="00C6052E">
        <w:t>2024–25</w:t>
      </w:r>
      <w:r w:rsidR="00177848" w:rsidRPr="00C6052E">
        <w:t xml:space="preserve"> </w:t>
      </w:r>
      <w:r w:rsidRPr="00C6052E">
        <w:t>Local</w:t>
      </w:r>
      <w:r w:rsidR="00177848" w:rsidRPr="00C6052E">
        <w:t xml:space="preserve"> </w:t>
      </w:r>
      <w:r w:rsidRPr="00C6052E">
        <w:t>Sports</w:t>
      </w:r>
      <w:r w:rsidR="00177848" w:rsidRPr="00C6052E">
        <w:t xml:space="preserve"> </w:t>
      </w:r>
      <w:r w:rsidRPr="00C6052E">
        <w:t>Infrastructure</w:t>
      </w:r>
      <w:r w:rsidR="00177848" w:rsidRPr="00C6052E">
        <w:t xml:space="preserve"> </w:t>
      </w:r>
      <w:r w:rsidRPr="00C6052E">
        <w:t>Fund</w:t>
      </w:r>
      <w:r w:rsidR="00177848" w:rsidRPr="00C6052E">
        <w:t xml:space="preserve"> </w:t>
      </w:r>
      <w:r w:rsidRPr="00C6052E">
        <w:t>and</w:t>
      </w:r>
      <w:r w:rsidR="00177848" w:rsidRPr="00C6052E">
        <w:t xml:space="preserve"> </w:t>
      </w:r>
      <w:r w:rsidRPr="00C6052E">
        <w:t>7</w:t>
      </w:r>
      <w:r w:rsidR="00177848" w:rsidRPr="00C6052E">
        <w:t xml:space="preserve"> </w:t>
      </w:r>
      <w:r w:rsidRPr="00C6052E">
        <w:t>projects</w:t>
      </w:r>
      <w:r w:rsidR="00177848" w:rsidRPr="00C6052E">
        <w:t xml:space="preserve"> </w:t>
      </w:r>
      <w:r w:rsidRPr="00C6052E">
        <w:t>through</w:t>
      </w:r>
      <w:r w:rsidR="00177848" w:rsidRPr="00C6052E">
        <w:t xml:space="preserve"> </w:t>
      </w:r>
      <w:r w:rsidRPr="00C6052E">
        <w:t>the</w:t>
      </w:r>
      <w:r w:rsidR="00177848" w:rsidRPr="00C6052E">
        <w:t xml:space="preserve"> </w:t>
      </w:r>
      <w:r w:rsidRPr="00C6052E">
        <w:t>2024–25</w:t>
      </w:r>
      <w:r w:rsidR="00177848" w:rsidRPr="00C6052E">
        <w:t xml:space="preserve"> </w:t>
      </w:r>
      <w:r w:rsidRPr="00C6052E">
        <w:t>Country</w:t>
      </w:r>
      <w:r w:rsidR="00177848" w:rsidRPr="00C6052E">
        <w:t xml:space="preserve"> </w:t>
      </w:r>
      <w:r w:rsidRPr="00C6052E">
        <w:t>Football</w:t>
      </w:r>
      <w:r w:rsidR="00177848" w:rsidRPr="00C6052E">
        <w:t xml:space="preserve"> </w:t>
      </w:r>
      <w:r w:rsidRPr="00C6052E">
        <w:t>and</w:t>
      </w:r>
      <w:r w:rsidR="00177848" w:rsidRPr="00C6052E">
        <w:t xml:space="preserve"> </w:t>
      </w:r>
      <w:r w:rsidRPr="00C6052E">
        <w:t>Netball</w:t>
      </w:r>
      <w:r w:rsidR="00177848" w:rsidRPr="00C6052E">
        <w:t xml:space="preserve"> </w:t>
      </w:r>
      <w:r w:rsidRPr="00C6052E">
        <w:t>Program.</w:t>
      </w:r>
    </w:p>
    <w:p w14:paraId="38E6E27A" w14:textId="630A88E6" w:rsidR="00EE5BB8" w:rsidRPr="00C6052E" w:rsidRDefault="00EE5BB8" w:rsidP="00EE5BB8">
      <w:r w:rsidRPr="00C6052E">
        <w:t>The</w:t>
      </w:r>
      <w:r w:rsidR="00177848" w:rsidRPr="00C6052E">
        <w:t xml:space="preserve"> </w:t>
      </w:r>
      <w:r w:rsidRPr="00C6052E">
        <w:t>Victorian</w:t>
      </w:r>
      <w:r w:rsidR="00177848" w:rsidRPr="00C6052E">
        <w:t xml:space="preserve"> </w:t>
      </w:r>
      <w:r w:rsidRPr="00C6052E">
        <w:t>Institute</w:t>
      </w:r>
      <w:r w:rsidR="00177848" w:rsidRPr="00C6052E">
        <w:t xml:space="preserve"> </w:t>
      </w:r>
      <w:r w:rsidRPr="00C6052E">
        <w:t>of</w:t>
      </w:r>
      <w:r w:rsidR="00177848" w:rsidRPr="00C6052E">
        <w:t xml:space="preserve"> </w:t>
      </w:r>
      <w:r w:rsidRPr="00C6052E">
        <w:t>Sport</w:t>
      </w:r>
      <w:r w:rsidR="00177848" w:rsidRPr="00C6052E">
        <w:t xml:space="preserve"> </w:t>
      </w:r>
      <w:r w:rsidRPr="00C6052E">
        <w:t>(VIS)</w:t>
      </w:r>
      <w:r w:rsidR="00177848" w:rsidRPr="00C6052E">
        <w:t xml:space="preserve"> </w:t>
      </w:r>
      <w:r w:rsidRPr="00C6052E">
        <w:t>supported</w:t>
      </w:r>
      <w:r w:rsidR="00177848" w:rsidRPr="00C6052E">
        <w:t xml:space="preserve"> </w:t>
      </w:r>
      <w:r w:rsidRPr="00C6052E">
        <w:t>492</w:t>
      </w:r>
      <w:r w:rsidR="00177848" w:rsidRPr="00C6052E">
        <w:t xml:space="preserve"> </w:t>
      </w:r>
      <w:r w:rsidRPr="00C6052E">
        <w:t>athletes</w:t>
      </w:r>
      <w:r w:rsidR="00177848" w:rsidRPr="00C6052E">
        <w:t xml:space="preserve"> </w:t>
      </w:r>
      <w:r w:rsidRPr="00C6052E">
        <w:t>under</w:t>
      </w:r>
      <w:r w:rsidR="00177848" w:rsidRPr="00C6052E">
        <w:t xml:space="preserve"> </w:t>
      </w:r>
      <w:r w:rsidRPr="00C6052E">
        <w:t>VIS</w:t>
      </w:r>
      <w:r w:rsidR="00177848" w:rsidRPr="00C6052E">
        <w:t xml:space="preserve"> </w:t>
      </w:r>
      <w:r w:rsidRPr="00C6052E">
        <w:t>scholarships</w:t>
      </w:r>
      <w:r w:rsidR="00177848" w:rsidRPr="00C6052E">
        <w:t xml:space="preserve"> </w:t>
      </w:r>
      <w:r w:rsidRPr="00C6052E">
        <w:t>across</w:t>
      </w:r>
      <w:r w:rsidR="00177848" w:rsidRPr="00C6052E">
        <w:t xml:space="preserve"> </w:t>
      </w:r>
      <w:r w:rsidRPr="00C6052E">
        <w:t>47</w:t>
      </w:r>
      <w:r w:rsidR="00177848" w:rsidRPr="00C6052E">
        <w:t xml:space="preserve"> </w:t>
      </w:r>
      <w:r w:rsidRPr="00C6052E">
        <w:t>sports</w:t>
      </w:r>
      <w:r w:rsidR="00177848" w:rsidRPr="00C6052E">
        <w:t xml:space="preserve"> </w:t>
      </w:r>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VIS</w:t>
      </w:r>
      <w:r w:rsidR="00177848" w:rsidRPr="00C6052E">
        <w:t xml:space="preserve"> </w:t>
      </w:r>
      <w:r w:rsidRPr="00C6052E">
        <w:t>had</w:t>
      </w:r>
      <w:r w:rsidR="00177848" w:rsidRPr="00C6052E">
        <w:t xml:space="preserve"> </w:t>
      </w:r>
      <w:r w:rsidRPr="00C6052E">
        <w:t>122</w:t>
      </w:r>
      <w:r w:rsidR="00177848" w:rsidRPr="00C6052E">
        <w:t xml:space="preserve"> </w:t>
      </w:r>
      <w:r w:rsidRPr="00C6052E">
        <w:t>athletes</w:t>
      </w:r>
      <w:r w:rsidR="00177848" w:rsidRPr="00C6052E">
        <w:t xml:space="preserve"> </w:t>
      </w:r>
      <w:r w:rsidRPr="00C6052E">
        <w:t>compete</w:t>
      </w:r>
      <w:r w:rsidR="00177848" w:rsidRPr="00C6052E">
        <w:t xml:space="preserve"> </w:t>
      </w:r>
      <w:r w:rsidRPr="00C6052E">
        <w:t>in</w:t>
      </w:r>
      <w:r w:rsidR="00177848" w:rsidRPr="00C6052E">
        <w:t xml:space="preserve"> </w:t>
      </w:r>
      <w:r w:rsidRPr="00C6052E">
        <w:t>the</w:t>
      </w:r>
      <w:r w:rsidR="00177848" w:rsidRPr="00C6052E">
        <w:t xml:space="preserve"> </w:t>
      </w:r>
      <w:r w:rsidRPr="00C6052E">
        <w:t>Paris</w:t>
      </w:r>
      <w:r w:rsidR="00177848" w:rsidRPr="00C6052E">
        <w:t xml:space="preserve"> </w:t>
      </w:r>
      <w:r w:rsidRPr="00C6052E">
        <w:t>2024</w:t>
      </w:r>
      <w:r w:rsidR="00177848" w:rsidRPr="00C6052E">
        <w:t xml:space="preserve"> </w:t>
      </w:r>
      <w:r w:rsidRPr="00C6052E">
        <w:t>Olympic</w:t>
      </w:r>
      <w:r w:rsidR="00177848" w:rsidRPr="00C6052E">
        <w:t xml:space="preserve"> </w:t>
      </w:r>
      <w:r w:rsidRPr="00C6052E">
        <w:t>and</w:t>
      </w:r>
      <w:r w:rsidR="00177848" w:rsidRPr="00C6052E">
        <w:t xml:space="preserve"> </w:t>
      </w:r>
      <w:r w:rsidRPr="00C6052E">
        <w:t>Paralympic</w:t>
      </w:r>
      <w:r w:rsidR="00177848" w:rsidRPr="00C6052E">
        <w:t xml:space="preserve"> </w:t>
      </w:r>
      <w:r w:rsidRPr="00C6052E">
        <w:t>Games,</w:t>
      </w:r>
      <w:r w:rsidR="00177848" w:rsidRPr="00C6052E">
        <w:t xml:space="preserve"> </w:t>
      </w:r>
      <w:r w:rsidRPr="00C6052E">
        <w:t>bringing</w:t>
      </w:r>
      <w:r w:rsidR="00177848" w:rsidRPr="00C6052E">
        <w:t xml:space="preserve"> </w:t>
      </w:r>
      <w:r w:rsidRPr="00C6052E">
        <w:t>home</w:t>
      </w:r>
      <w:r w:rsidR="00177848" w:rsidRPr="00C6052E">
        <w:t xml:space="preserve"> </w:t>
      </w:r>
      <w:r w:rsidRPr="00C6052E">
        <w:t>23</w:t>
      </w:r>
      <w:r w:rsidR="00177848" w:rsidRPr="00C6052E">
        <w:t xml:space="preserve"> </w:t>
      </w:r>
      <w:r w:rsidRPr="00C6052E">
        <w:t>medals</w:t>
      </w:r>
      <w:r w:rsidR="00177848" w:rsidRPr="00C6052E">
        <w:t xml:space="preserve"> </w:t>
      </w:r>
      <w:r w:rsidRPr="00C6052E">
        <w:t>including</w:t>
      </w:r>
      <w:r w:rsidR="00177848" w:rsidRPr="00C6052E">
        <w:t xml:space="preserve"> </w:t>
      </w:r>
      <w:r w:rsidRPr="00C6052E">
        <w:t>5</w:t>
      </w:r>
      <w:r w:rsidR="00177848" w:rsidRPr="00C6052E">
        <w:t xml:space="preserve"> </w:t>
      </w:r>
      <w:r w:rsidRPr="00C6052E">
        <w:t>gold,</w:t>
      </w:r>
      <w:r w:rsidR="00177848" w:rsidRPr="00C6052E">
        <w:t xml:space="preserve"> </w:t>
      </w:r>
      <w:r w:rsidRPr="00C6052E">
        <w:t>4</w:t>
      </w:r>
      <w:r w:rsidR="00177848" w:rsidRPr="00C6052E">
        <w:t xml:space="preserve"> </w:t>
      </w:r>
      <w:r w:rsidRPr="00C6052E">
        <w:t>silver</w:t>
      </w:r>
      <w:r w:rsidR="00177848" w:rsidRPr="00C6052E">
        <w:t xml:space="preserve"> </w:t>
      </w:r>
      <w:r w:rsidRPr="00C6052E">
        <w:t>and</w:t>
      </w:r>
      <w:r w:rsidR="00177848" w:rsidRPr="00C6052E">
        <w:t xml:space="preserve"> </w:t>
      </w:r>
      <w:r w:rsidRPr="00C6052E">
        <w:t>14</w:t>
      </w:r>
      <w:r w:rsidR="00177848" w:rsidRPr="00C6052E">
        <w:t xml:space="preserve"> </w:t>
      </w:r>
      <w:r w:rsidRPr="00C6052E">
        <w:t>bronze.</w:t>
      </w:r>
    </w:p>
    <w:p w14:paraId="0C8B321F" w14:textId="6005D57D" w:rsidR="00EE5BB8" w:rsidRPr="00C6052E" w:rsidRDefault="00EE5BB8" w:rsidP="00EE5BB8">
      <w:r w:rsidRPr="00C6052E">
        <w:t>Upgrades</w:t>
      </w:r>
      <w:r w:rsidR="00177848" w:rsidRPr="00C6052E">
        <w:t xml:space="preserve"> </w:t>
      </w:r>
      <w:r w:rsidRPr="00C6052E">
        <w:t>to</w:t>
      </w:r>
      <w:r w:rsidR="00177848" w:rsidRPr="00C6052E">
        <w:t xml:space="preserve"> </w:t>
      </w:r>
      <w:r w:rsidRPr="00C6052E">
        <w:t>Mars</w:t>
      </w:r>
      <w:r w:rsidR="00177848" w:rsidRPr="00C6052E">
        <w:t xml:space="preserve"> </w:t>
      </w:r>
      <w:r w:rsidRPr="00C6052E">
        <w:t>Stadium</w:t>
      </w:r>
      <w:r w:rsidR="00177848" w:rsidRPr="00C6052E">
        <w:t xml:space="preserve"> </w:t>
      </w:r>
      <w:r w:rsidRPr="00C6052E">
        <w:t>as</w:t>
      </w:r>
      <w:r w:rsidR="00177848" w:rsidRPr="00C6052E">
        <w:t xml:space="preserve"> </w:t>
      </w:r>
      <w:r w:rsidRPr="00C6052E">
        <w:t>part</w:t>
      </w:r>
      <w:r w:rsidR="00177848" w:rsidRPr="00C6052E">
        <w:t xml:space="preserve"> </w:t>
      </w:r>
      <w:r w:rsidRPr="00C6052E">
        <w:t>of</w:t>
      </w:r>
      <w:r w:rsidR="00177848" w:rsidRPr="00C6052E">
        <w:t xml:space="preserve"> </w:t>
      </w:r>
      <w:r w:rsidRPr="00C6052E">
        <w:t>the</w:t>
      </w:r>
      <w:r w:rsidR="00177848" w:rsidRPr="00C6052E">
        <w:t xml:space="preserve"> </w:t>
      </w:r>
      <w:r w:rsidRPr="00C6052E">
        <w:t>Regional</w:t>
      </w:r>
      <w:r w:rsidR="00177848" w:rsidRPr="00C6052E">
        <w:t xml:space="preserve"> </w:t>
      </w:r>
      <w:r w:rsidRPr="00C6052E">
        <w:t>Sport</w:t>
      </w:r>
      <w:r w:rsidR="00177848" w:rsidRPr="00C6052E">
        <w:t xml:space="preserve"> </w:t>
      </w:r>
      <w:r w:rsidRPr="00C6052E">
        <w:t>Infrastructure</w:t>
      </w:r>
      <w:r w:rsidR="00177848" w:rsidRPr="00C6052E">
        <w:t xml:space="preserve"> </w:t>
      </w:r>
      <w:r w:rsidRPr="00C6052E">
        <w:t>Program</w:t>
      </w:r>
      <w:r w:rsidR="00177848" w:rsidRPr="00C6052E">
        <w:t xml:space="preserve"> </w:t>
      </w:r>
      <w:r w:rsidRPr="00C6052E">
        <w:t>commenced</w:t>
      </w:r>
      <w:r w:rsidR="00177848" w:rsidRPr="00C6052E">
        <w:t xml:space="preserve"> </w:t>
      </w:r>
      <w:r w:rsidRPr="00C6052E">
        <w:t>with</w:t>
      </w:r>
      <w:r w:rsidR="00177848" w:rsidRPr="00C6052E">
        <w:t xml:space="preserve"> </w:t>
      </w:r>
      <w:r w:rsidRPr="00C6052E">
        <w:t>demolition</w:t>
      </w:r>
      <w:r w:rsidR="00177848" w:rsidRPr="00C6052E">
        <w:t xml:space="preserve"> </w:t>
      </w:r>
      <w:r w:rsidRPr="00C6052E">
        <w:t>works</w:t>
      </w:r>
      <w:r w:rsidR="00177848" w:rsidRPr="00C6052E">
        <w:t xml:space="preserve"> </w:t>
      </w:r>
      <w:r w:rsidRPr="00C6052E">
        <w:t>in</w:t>
      </w:r>
      <w:r w:rsidR="00177848" w:rsidRPr="00C6052E">
        <w:t xml:space="preserve"> </w:t>
      </w:r>
      <w:r w:rsidRPr="00C6052E">
        <w:t>August</w:t>
      </w:r>
      <w:r w:rsidR="00177848" w:rsidRPr="00C6052E">
        <w:t xml:space="preserve"> </w:t>
      </w:r>
      <w:r w:rsidRPr="00C6052E">
        <w:t>2024,</w:t>
      </w:r>
      <w:r w:rsidR="00177848" w:rsidRPr="00C6052E">
        <w:t xml:space="preserve"> </w:t>
      </w:r>
      <w:r w:rsidRPr="00C6052E">
        <w:t>and</w:t>
      </w:r>
      <w:r w:rsidR="00177848" w:rsidRPr="00C6052E">
        <w:t xml:space="preserve"> </w:t>
      </w:r>
      <w:r w:rsidRPr="00C6052E">
        <w:t>main</w:t>
      </w:r>
      <w:r w:rsidR="00177848" w:rsidRPr="00C6052E">
        <w:t xml:space="preserve"> </w:t>
      </w:r>
      <w:r w:rsidRPr="00C6052E">
        <w:t>works</w:t>
      </w:r>
      <w:r w:rsidR="00177848" w:rsidRPr="00C6052E">
        <w:t xml:space="preserve"> </w:t>
      </w:r>
      <w:r w:rsidRPr="00C6052E">
        <w:t>in</w:t>
      </w:r>
      <w:r w:rsidR="00177848" w:rsidRPr="00C6052E">
        <w:t xml:space="preserve"> </w:t>
      </w:r>
      <w:r w:rsidRPr="00C6052E">
        <w:t>February</w:t>
      </w:r>
      <w:r w:rsidR="00177848" w:rsidRPr="00C6052E">
        <w:t xml:space="preserve"> </w:t>
      </w:r>
      <w:r w:rsidRPr="00C6052E">
        <w:t>2025,</w:t>
      </w:r>
      <w:r w:rsidR="00177848" w:rsidRPr="00C6052E">
        <w:t xml:space="preserve"> </w:t>
      </w:r>
      <w:r w:rsidRPr="00C6052E">
        <w:t>to</w:t>
      </w:r>
      <w:r w:rsidR="00177848" w:rsidRPr="00C6052E">
        <w:t xml:space="preserve"> </w:t>
      </w:r>
      <w:r w:rsidRPr="00C6052E">
        <w:t>deliver</w:t>
      </w:r>
      <w:r w:rsidR="00177848" w:rsidRPr="00C6052E">
        <w:t xml:space="preserve"> </w:t>
      </w:r>
      <w:r w:rsidRPr="00C6052E">
        <w:t>5,000</w:t>
      </w:r>
      <w:r w:rsidR="00177848" w:rsidRPr="00C6052E">
        <w:t xml:space="preserve"> </w:t>
      </w:r>
      <w:r w:rsidRPr="00C6052E">
        <w:t>new</w:t>
      </w:r>
      <w:r w:rsidR="00177848" w:rsidRPr="00C6052E">
        <w:t xml:space="preserve"> </w:t>
      </w:r>
      <w:r w:rsidRPr="00C6052E">
        <w:t>permanent</w:t>
      </w:r>
      <w:r w:rsidR="00177848" w:rsidRPr="00C6052E">
        <w:t xml:space="preserve"> </w:t>
      </w:r>
      <w:r w:rsidRPr="00C6052E">
        <w:t>seats</w:t>
      </w:r>
      <w:r w:rsidR="00177848" w:rsidRPr="00C6052E">
        <w:t xml:space="preserve"> </w:t>
      </w:r>
      <w:r w:rsidRPr="00C6052E">
        <w:t>and</w:t>
      </w:r>
      <w:r w:rsidR="00177848" w:rsidRPr="00C6052E">
        <w:t xml:space="preserve"> </w:t>
      </w:r>
      <w:r w:rsidRPr="00C6052E">
        <w:t>accessibility</w:t>
      </w:r>
      <w:r w:rsidR="00177848" w:rsidRPr="00C6052E">
        <w:t xml:space="preserve"> </w:t>
      </w:r>
      <w:r w:rsidRPr="00C6052E">
        <w:t>improvements.</w:t>
      </w:r>
      <w:r w:rsidR="00177848" w:rsidRPr="00C6052E">
        <w:t xml:space="preserve"> </w:t>
      </w:r>
      <w:r w:rsidRPr="00C6052E">
        <w:t>Mars</w:t>
      </w:r>
      <w:r w:rsidR="00177848" w:rsidRPr="00C6052E">
        <w:t xml:space="preserve"> </w:t>
      </w:r>
      <w:r w:rsidRPr="00C6052E">
        <w:t>Stadium</w:t>
      </w:r>
      <w:r w:rsidR="00177848" w:rsidRPr="00C6052E">
        <w:t xml:space="preserve"> </w:t>
      </w:r>
      <w:r w:rsidRPr="00C6052E">
        <w:t>has</w:t>
      </w:r>
      <w:r w:rsidR="00177848" w:rsidRPr="00C6052E">
        <w:t xml:space="preserve"> </w:t>
      </w:r>
      <w:r w:rsidRPr="00C6052E">
        <w:t>remained</w:t>
      </w:r>
      <w:r w:rsidR="00177848" w:rsidRPr="00C6052E">
        <w:t xml:space="preserve"> </w:t>
      </w:r>
      <w:r w:rsidRPr="00C6052E">
        <w:t>operational</w:t>
      </w:r>
      <w:r w:rsidR="00177848" w:rsidRPr="00C6052E">
        <w:t xml:space="preserve"> </w:t>
      </w:r>
      <w:r w:rsidRPr="00C6052E">
        <w:t>throughout</w:t>
      </w:r>
      <w:r w:rsidR="00177848" w:rsidRPr="00C6052E">
        <w:t xml:space="preserve"> </w:t>
      </w:r>
      <w:r w:rsidRPr="00C6052E">
        <w:t>construction</w:t>
      </w:r>
      <w:r w:rsidR="00177848" w:rsidRPr="00C6052E">
        <w:t xml:space="preserve"> </w:t>
      </w:r>
      <w:r w:rsidRPr="00C6052E">
        <w:t>and</w:t>
      </w:r>
      <w:r w:rsidR="00177848" w:rsidRPr="00C6052E">
        <w:t xml:space="preserve"> </w:t>
      </w:r>
      <w:r w:rsidRPr="00C6052E">
        <w:t>hosted</w:t>
      </w:r>
      <w:r w:rsidR="00177848" w:rsidRPr="00C6052E">
        <w:t xml:space="preserve"> </w:t>
      </w:r>
      <w:r w:rsidRPr="00C6052E">
        <w:t>an</w:t>
      </w:r>
      <w:r w:rsidR="00177848" w:rsidRPr="00C6052E">
        <w:t xml:space="preserve"> </w:t>
      </w:r>
      <w:r w:rsidRPr="00C6052E">
        <w:t>AFL</w:t>
      </w:r>
      <w:r w:rsidR="00177848" w:rsidRPr="00C6052E">
        <w:t xml:space="preserve"> </w:t>
      </w:r>
      <w:r w:rsidRPr="00C6052E">
        <w:t>match</w:t>
      </w:r>
      <w:r w:rsidR="00177848" w:rsidRPr="00C6052E">
        <w:t xml:space="preserve"> </w:t>
      </w:r>
      <w:r w:rsidRPr="00C6052E">
        <w:t>between</w:t>
      </w:r>
      <w:r w:rsidR="00177848" w:rsidRPr="00C6052E">
        <w:t xml:space="preserve"> </w:t>
      </w:r>
      <w:r w:rsidRPr="00C6052E">
        <w:t>the</w:t>
      </w:r>
      <w:r w:rsidR="00177848" w:rsidRPr="00C6052E">
        <w:t xml:space="preserve"> </w:t>
      </w:r>
      <w:r w:rsidRPr="00C6052E">
        <w:t>Western</w:t>
      </w:r>
      <w:r w:rsidR="00177848" w:rsidRPr="00C6052E">
        <w:t xml:space="preserve"> </w:t>
      </w:r>
      <w:r w:rsidRPr="00C6052E">
        <w:t>Bulldogs</w:t>
      </w:r>
      <w:r w:rsidR="00177848" w:rsidRPr="00C6052E">
        <w:t xml:space="preserve"> </w:t>
      </w:r>
      <w:r w:rsidRPr="00C6052E">
        <w:t>and</w:t>
      </w:r>
      <w:r w:rsidR="00177848" w:rsidRPr="00C6052E">
        <w:t xml:space="preserve"> </w:t>
      </w:r>
      <w:r w:rsidRPr="00C6052E">
        <w:t>Adelaide</w:t>
      </w:r>
      <w:r w:rsidR="00177848" w:rsidRPr="00C6052E">
        <w:t xml:space="preserve"> </w:t>
      </w:r>
      <w:r w:rsidRPr="00C6052E">
        <w:t>Crows</w:t>
      </w:r>
      <w:r w:rsidR="00177848" w:rsidRPr="00C6052E">
        <w:t xml:space="preserve"> </w:t>
      </w:r>
      <w:r w:rsidRPr="00C6052E">
        <w:t>in</w:t>
      </w:r>
      <w:r w:rsidR="00177848" w:rsidRPr="00C6052E">
        <w:t xml:space="preserve"> </w:t>
      </w:r>
      <w:r w:rsidRPr="00C6052E">
        <w:t>May</w:t>
      </w:r>
      <w:r w:rsidR="00177848" w:rsidRPr="00C6052E">
        <w:t xml:space="preserve"> </w:t>
      </w:r>
      <w:r w:rsidRPr="00C6052E">
        <w:t>2025.</w:t>
      </w:r>
      <w:r w:rsidR="00177848" w:rsidRPr="00C6052E">
        <w:t xml:space="preserve"> </w:t>
      </w:r>
      <w:r w:rsidRPr="00C6052E">
        <w:t>The</w:t>
      </w:r>
      <w:r w:rsidR="00177848" w:rsidRPr="00C6052E">
        <w:t xml:space="preserve"> </w:t>
      </w:r>
      <w:r w:rsidRPr="00C6052E">
        <w:t>upgrades</w:t>
      </w:r>
      <w:r w:rsidR="00177848" w:rsidRPr="00C6052E">
        <w:t xml:space="preserve"> </w:t>
      </w:r>
      <w:r w:rsidRPr="00C6052E">
        <w:t>will</w:t>
      </w:r>
      <w:r w:rsidR="00177848" w:rsidRPr="00C6052E">
        <w:t xml:space="preserve"> </w:t>
      </w:r>
      <w:r w:rsidRPr="00C6052E">
        <w:t>be</w:t>
      </w:r>
      <w:r w:rsidR="00177848" w:rsidRPr="00C6052E">
        <w:t xml:space="preserve"> </w:t>
      </w:r>
      <w:r w:rsidRPr="00C6052E">
        <w:t>completed</w:t>
      </w:r>
      <w:r w:rsidR="00177848" w:rsidRPr="00C6052E">
        <w:t xml:space="preserve"> </w:t>
      </w:r>
      <w:r w:rsidRPr="00C6052E">
        <w:t>in</w:t>
      </w:r>
      <w:r w:rsidR="00177848" w:rsidRPr="00C6052E">
        <w:t xml:space="preserve"> </w:t>
      </w:r>
      <w:r w:rsidRPr="00C6052E">
        <w:t>late</w:t>
      </w:r>
      <w:r w:rsidR="00177848" w:rsidRPr="00C6052E">
        <w:t xml:space="preserve"> </w:t>
      </w:r>
      <w:r w:rsidRPr="00C6052E">
        <w:t>2026.</w:t>
      </w:r>
    </w:p>
    <w:p w14:paraId="530E93E5" w14:textId="376FEB7E" w:rsidR="00EE5BB8" w:rsidRPr="00C6052E" w:rsidRDefault="00EE5BB8" w:rsidP="00EE5BB8">
      <w:pPr>
        <w:keepLines/>
        <w:rPr>
          <w:spacing w:val="-4"/>
        </w:rPr>
      </w:pPr>
      <w:r w:rsidRPr="00C6052E">
        <w:rPr>
          <w:spacing w:val="-4"/>
        </w:rPr>
        <w:t>A</w:t>
      </w:r>
      <w:r w:rsidR="00177848" w:rsidRPr="00C6052E">
        <w:rPr>
          <w:spacing w:val="-4"/>
        </w:rPr>
        <w:t xml:space="preserve"> </w:t>
      </w:r>
      <w:r w:rsidRPr="00C6052E">
        <w:rPr>
          <w:spacing w:val="-4"/>
        </w:rPr>
        <w:t>total</w:t>
      </w:r>
      <w:r w:rsidR="00177848" w:rsidRPr="00C6052E">
        <w:rPr>
          <w:spacing w:val="-4"/>
        </w:rPr>
        <w:t xml:space="preserve"> </w:t>
      </w:r>
      <w:r w:rsidRPr="00C6052E">
        <w:rPr>
          <w:spacing w:val="-4"/>
        </w:rPr>
        <w:t>of</w:t>
      </w:r>
      <w:r w:rsidR="00177848" w:rsidRPr="00C6052E">
        <w:rPr>
          <w:spacing w:val="-4"/>
        </w:rPr>
        <w:t xml:space="preserve"> </w:t>
      </w:r>
      <w:r w:rsidRPr="00C6052E">
        <w:rPr>
          <w:spacing w:val="-4"/>
        </w:rPr>
        <w:t>91</w:t>
      </w:r>
      <w:r w:rsidR="00177848" w:rsidRPr="00C6052E">
        <w:rPr>
          <w:spacing w:val="-4"/>
        </w:rPr>
        <w:t xml:space="preserve"> </w:t>
      </w:r>
      <w:r w:rsidRPr="00C6052E">
        <w:rPr>
          <w:spacing w:val="-4"/>
        </w:rPr>
        <w:t>sporting</w:t>
      </w:r>
      <w:r w:rsidR="00177848" w:rsidRPr="00C6052E">
        <w:rPr>
          <w:spacing w:val="-4"/>
        </w:rPr>
        <w:t xml:space="preserve"> </w:t>
      </w:r>
      <w:r w:rsidRPr="00C6052E">
        <w:rPr>
          <w:spacing w:val="-4"/>
        </w:rPr>
        <w:t>events</w:t>
      </w:r>
      <w:r w:rsidR="00177848" w:rsidRPr="00C6052E">
        <w:rPr>
          <w:spacing w:val="-4"/>
        </w:rPr>
        <w:t xml:space="preserve"> </w:t>
      </w:r>
      <w:r w:rsidRPr="00C6052E">
        <w:rPr>
          <w:spacing w:val="-4"/>
        </w:rPr>
        <w:t>of</w:t>
      </w:r>
      <w:r w:rsidR="00177848" w:rsidRPr="00C6052E">
        <w:rPr>
          <w:spacing w:val="-4"/>
        </w:rPr>
        <w:t xml:space="preserve"> </w:t>
      </w:r>
      <w:r w:rsidRPr="00C6052E">
        <w:rPr>
          <w:spacing w:val="-4"/>
        </w:rPr>
        <w:t>national</w:t>
      </w:r>
      <w:r w:rsidR="00177848" w:rsidRPr="00C6052E">
        <w:rPr>
          <w:spacing w:val="-4"/>
        </w:rPr>
        <w:t xml:space="preserve"> </w:t>
      </w:r>
      <w:r w:rsidRPr="00C6052E">
        <w:rPr>
          <w:spacing w:val="-4"/>
        </w:rPr>
        <w:t>or</w:t>
      </w:r>
      <w:r w:rsidR="00177848" w:rsidRPr="00C6052E">
        <w:rPr>
          <w:spacing w:val="-4"/>
        </w:rPr>
        <w:t xml:space="preserve"> </w:t>
      </w:r>
      <w:r w:rsidRPr="00C6052E">
        <w:rPr>
          <w:spacing w:val="-4"/>
        </w:rPr>
        <w:t>international</w:t>
      </w:r>
      <w:r w:rsidR="00177848" w:rsidRPr="00C6052E">
        <w:rPr>
          <w:spacing w:val="-4"/>
        </w:rPr>
        <w:t xml:space="preserve"> </w:t>
      </w:r>
      <w:r w:rsidRPr="00C6052E">
        <w:rPr>
          <w:spacing w:val="-4"/>
        </w:rPr>
        <w:t>significance</w:t>
      </w:r>
      <w:r w:rsidR="00177848" w:rsidRPr="00C6052E">
        <w:rPr>
          <w:spacing w:val="-4"/>
        </w:rPr>
        <w:t xml:space="preserve"> </w:t>
      </w:r>
      <w:r w:rsidRPr="00C6052E">
        <w:rPr>
          <w:spacing w:val="-4"/>
        </w:rPr>
        <w:t>were</w:t>
      </w:r>
      <w:r w:rsidR="00177848" w:rsidRPr="00C6052E">
        <w:rPr>
          <w:spacing w:val="-4"/>
        </w:rPr>
        <w:t xml:space="preserve"> </w:t>
      </w:r>
      <w:r w:rsidRPr="00C6052E">
        <w:rPr>
          <w:spacing w:val="-4"/>
        </w:rPr>
        <w:t>facilitated</w:t>
      </w:r>
      <w:r w:rsidR="00177848" w:rsidRPr="00C6052E">
        <w:rPr>
          <w:spacing w:val="-4"/>
        </w:rPr>
        <w:t xml:space="preserve"> </w:t>
      </w:r>
      <w:r w:rsidRPr="00C6052E">
        <w:rPr>
          <w:spacing w:val="-4"/>
        </w:rPr>
        <w:t>through</w:t>
      </w:r>
      <w:r w:rsidR="00177848" w:rsidRPr="00C6052E">
        <w:rPr>
          <w:spacing w:val="-4"/>
        </w:rPr>
        <w:t xml:space="preserve"> </w:t>
      </w:r>
      <w:r w:rsidRPr="00C6052E">
        <w:rPr>
          <w:spacing w:val="-4"/>
        </w:rPr>
        <w:t>the</w:t>
      </w:r>
      <w:r w:rsidR="00177848" w:rsidRPr="00C6052E">
        <w:rPr>
          <w:spacing w:val="-4"/>
        </w:rPr>
        <w:t xml:space="preserve"> </w:t>
      </w:r>
      <w:r w:rsidRPr="00C6052E">
        <w:rPr>
          <w:spacing w:val="-4"/>
        </w:rPr>
        <w:t>Significant</w:t>
      </w:r>
      <w:r w:rsidR="00177848" w:rsidRPr="00C6052E">
        <w:rPr>
          <w:spacing w:val="-4"/>
        </w:rPr>
        <w:t xml:space="preserve"> </w:t>
      </w:r>
      <w:r w:rsidRPr="00C6052E">
        <w:rPr>
          <w:spacing w:val="-4"/>
        </w:rPr>
        <w:t>Sporting</w:t>
      </w:r>
      <w:r w:rsidR="00177848" w:rsidRPr="00C6052E">
        <w:rPr>
          <w:spacing w:val="-4"/>
        </w:rPr>
        <w:t xml:space="preserve"> </w:t>
      </w:r>
      <w:r w:rsidRPr="00C6052E">
        <w:rPr>
          <w:spacing w:val="-4"/>
        </w:rPr>
        <w:t>Events</w:t>
      </w:r>
      <w:r w:rsidR="00177848" w:rsidRPr="00C6052E">
        <w:rPr>
          <w:spacing w:val="-4"/>
        </w:rPr>
        <w:t xml:space="preserve"> </w:t>
      </w:r>
      <w:r w:rsidRPr="00C6052E">
        <w:rPr>
          <w:spacing w:val="-4"/>
        </w:rPr>
        <w:t>Program,</w:t>
      </w:r>
      <w:r w:rsidR="00177848" w:rsidRPr="00C6052E">
        <w:rPr>
          <w:spacing w:val="-4"/>
        </w:rPr>
        <w:t xml:space="preserve"> </w:t>
      </w:r>
      <w:r w:rsidRPr="00C6052E">
        <w:rPr>
          <w:spacing w:val="-4"/>
        </w:rPr>
        <w:t>exceeding</w:t>
      </w:r>
      <w:r w:rsidR="00177848" w:rsidRPr="00C6052E">
        <w:rPr>
          <w:spacing w:val="-4"/>
        </w:rPr>
        <w:t xml:space="preserve"> </w:t>
      </w:r>
      <w:r w:rsidRPr="00C6052E">
        <w:rPr>
          <w:spacing w:val="-4"/>
        </w:rPr>
        <w:t>the</w:t>
      </w:r>
      <w:r w:rsidR="00177848" w:rsidRPr="00C6052E">
        <w:rPr>
          <w:spacing w:val="-4"/>
        </w:rPr>
        <w:t xml:space="preserve"> </w:t>
      </w:r>
      <w:r w:rsidRPr="00C6052E">
        <w:rPr>
          <w:spacing w:val="-4"/>
        </w:rPr>
        <w:t>target</w:t>
      </w:r>
      <w:r w:rsidR="00177848" w:rsidRPr="00C6052E">
        <w:rPr>
          <w:spacing w:val="-4"/>
        </w:rPr>
        <w:t xml:space="preserve"> </w:t>
      </w:r>
      <w:r w:rsidRPr="00C6052E">
        <w:rPr>
          <w:spacing w:val="-4"/>
        </w:rPr>
        <w:t>of</w:t>
      </w:r>
      <w:r w:rsidR="00177848" w:rsidRPr="00C6052E">
        <w:rPr>
          <w:spacing w:val="-4"/>
        </w:rPr>
        <w:t xml:space="preserve"> </w:t>
      </w:r>
      <w:r w:rsidRPr="00C6052E">
        <w:rPr>
          <w:spacing w:val="-4"/>
        </w:rPr>
        <w:t>85.</w:t>
      </w:r>
      <w:r w:rsidR="00177848" w:rsidRPr="00C6052E">
        <w:rPr>
          <w:spacing w:val="-4"/>
        </w:rPr>
        <w:t xml:space="preserve"> </w:t>
      </w:r>
      <w:r w:rsidRPr="00C6052E">
        <w:rPr>
          <w:spacing w:val="-4"/>
        </w:rPr>
        <w:t>Each</w:t>
      </w:r>
      <w:r w:rsidR="00177848" w:rsidRPr="00C6052E">
        <w:rPr>
          <w:spacing w:val="-4"/>
        </w:rPr>
        <w:t xml:space="preserve"> </w:t>
      </w:r>
      <w:r w:rsidRPr="00C6052E">
        <w:rPr>
          <w:spacing w:val="-4"/>
        </w:rPr>
        <w:t>of</w:t>
      </w:r>
      <w:r w:rsidR="00177848" w:rsidRPr="00C6052E">
        <w:rPr>
          <w:spacing w:val="-4"/>
        </w:rPr>
        <w:t xml:space="preserve"> </w:t>
      </w:r>
      <w:r w:rsidRPr="00C6052E">
        <w:rPr>
          <w:spacing w:val="-4"/>
        </w:rPr>
        <w:t>the</w:t>
      </w:r>
      <w:r w:rsidR="00177848" w:rsidRPr="00C6052E">
        <w:rPr>
          <w:spacing w:val="-4"/>
        </w:rPr>
        <w:t xml:space="preserve"> </w:t>
      </w:r>
      <w:r w:rsidRPr="00C6052E">
        <w:rPr>
          <w:spacing w:val="-4"/>
        </w:rPr>
        <w:t>events</w:t>
      </w:r>
      <w:r w:rsidR="00177848" w:rsidRPr="00C6052E">
        <w:rPr>
          <w:spacing w:val="-4"/>
        </w:rPr>
        <w:t xml:space="preserve"> </w:t>
      </w:r>
      <w:r w:rsidRPr="00C6052E">
        <w:rPr>
          <w:spacing w:val="-4"/>
        </w:rPr>
        <w:t>strengthened</w:t>
      </w:r>
      <w:r w:rsidR="00177848" w:rsidRPr="00C6052E">
        <w:rPr>
          <w:spacing w:val="-4"/>
        </w:rPr>
        <w:t xml:space="preserve"> </w:t>
      </w:r>
      <w:r w:rsidRPr="00C6052E">
        <w:rPr>
          <w:spacing w:val="-4"/>
        </w:rPr>
        <w:t>Victoria’s</w:t>
      </w:r>
      <w:r w:rsidR="00177848" w:rsidRPr="00C6052E">
        <w:rPr>
          <w:spacing w:val="-4"/>
        </w:rPr>
        <w:t xml:space="preserve"> </w:t>
      </w:r>
      <w:r w:rsidRPr="00C6052E">
        <w:rPr>
          <w:spacing w:val="-4"/>
        </w:rPr>
        <w:t>sporting</w:t>
      </w:r>
      <w:r w:rsidR="00177848" w:rsidRPr="00C6052E">
        <w:rPr>
          <w:spacing w:val="-4"/>
        </w:rPr>
        <w:t xml:space="preserve"> </w:t>
      </w:r>
      <w:r w:rsidRPr="00C6052E">
        <w:rPr>
          <w:spacing w:val="-4"/>
        </w:rPr>
        <w:t>events</w:t>
      </w:r>
      <w:r w:rsidR="00177848" w:rsidRPr="00C6052E">
        <w:rPr>
          <w:spacing w:val="-4"/>
        </w:rPr>
        <w:t xml:space="preserve"> </w:t>
      </w:r>
      <w:r w:rsidRPr="00C6052E">
        <w:rPr>
          <w:spacing w:val="-4"/>
        </w:rPr>
        <w:t>calendar,</w:t>
      </w:r>
      <w:r w:rsidR="00177848" w:rsidRPr="00C6052E">
        <w:rPr>
          <w:spacing w:val="-4"/>
        </w:rPr>
        <w:t xml:space="preserve"> </w:t>
      </w:r>
      <w:r w:rsidRPr="00C6052E">
        <w:rPr>
          <w:spacing w:val="-4"/>
        </w:rPr>
        <w:t>supported</w:t>
      </w:r>
      <w:r w:rsidR="00177848" w:rsidRPr="00C6052E">
        <w:rPr>
          <w:spacing w:val="-4"/>
        </w:rPr>
        <w:t xml:space="preserve"> </w:t>
      </w:r>
      <w:r w:rsidRPr="00C6052E">
        <w:rPr>
          <w:spacing w:val="-4"/>
        </w:rPr>
        <w:t>a</w:t>
      </w:r>
      <w:r w:rsidR="00177848" w:rsidRPr="00C6052E">
        <w:rPr>
          <w:spacing w:val="-4"/>
        </w:rPr>
        <w:t xml:space="preserve"> </w:t>
      </w:r>
      <w:r w:rsidRPr="00C6052E">
        <w:rPr>
          <w:spacing w:val="-4"/>
        </w:rPr>
        <w:t>high-performance</w:t>
      </w:r>
      <w:r w:rsidR="00177848" w:rsidRPr="00C6052E">
        <w:rPr>
          <w:spacing w:val="-4"/>
        </w:rPr>
        <w:t xml:space="preserve"> </w:t>
      </w:r>
      <w:r w:rsidRPr="00C6052E">
        <w:rPr>
          <w:spacing w:val="-4"/>
        </w:rPr>
        <w:t>pathway,</w:t>
      </w:r>
      <w:r w:rsidR="00177848" w:rsidRPr="00C6052E">
        <w:rPr>
          <w:spacing w:val="-4"/>
        </w:rPr>
        <w:t xml:space="preserve"> </w:t>
      </w:r>
      <w:r w:rsidRPr="00C6052E">
        <w:rPr>
          <w:spacing w:val="-4"/>
        </w:rPr>
        <w:t>delivered</w:t>
      </w:r>
      <w:r w:rsidR="00177848" w:rsidRPr="00C6052E">
        <w:rPr>
          <w:spacing w:val="-4"/>
        </w:rPr>
        <w:t xml:space="preserve"> </w:t>
      </w:r>
      <w:r w:rsidRPr="00C6052E">
        <w:rPr>
          <w:spacing w:val="-4"/>
        </w:rPr>
        <w:t>sport</w:t>
      </w:r>
      <w:r w:rsidR="00177848" w:rsidRPr="00C6052E">
        <w:rPr>
          <w:spacing w:val="-4"/>
        </w:rPr>
        <w:t xml:space="preserve"> </w:t>
      </w:r>
      <w:r w:rsidRPr="00C6052E">
        <w:rPr>
          <w:spacing w:val="-4"/>
        </w:rPr>
        <w:t>development</w:t>
      </w:r>
      <w:r w:rsidR="00177848" w:rsidRPr="00C6052E">
        <w:rPr>
          <w:spacing w:val="-4"/>
        </w:rPr>
        <w:t xml:space="preserve"> </w:t>
      </w:r>
      <w:r w:rsidRPr="00C6052E">
        <w:rPr>
          <w:spacing w:val="-4"/>
        </w:rPr>
        <w:t>and</w:t>
      </w:r>
      <w:r w:rsidR="00177848" w:rsidRPr="00C6052E">
        <w:rPr>
          <w:spacing w:val="-4"/>
        </w:rPr>
        <w:t xml:space="preserve"> </w:t>
      </w:r>
      <w:r w:rsidRPr="00C6052E">
        <w:rPr>
          <w:spacing w:val="-4"/>
        </w:rPr>
        <w:t>community</w:t>
      </w:r>
      <w:r w:rsidR="00177848" w:rsidRPr="00C6052E">
        <w:rPr>
          <w:spacing w:val="-4"/>
        </w:rPr>
        <w:t xml:space="preserve"> </w:t>
      </w:r>
      <w:r w:rsidRPr="00C6052E">
        <w:rPr>
          <w:spacing w:val="-4"/>
        </w:rPr>
        <w:t>engagement</w:t>
      </w:r>
      <w:r w:rsidR="00177848" w:rsidRPr="00C6052E">
        <w:rPr>
          <w:spacing w:val="-4"/>
        </w:rPr>
        <w:t xml:space="preserve"> </w:t>
      </w:r>
      <w:r w:rsidRPr="00C6052E">
        <w:rPr>
          <w:spacing w:val="-4"/>
        </w:rPr>
        <w:t>outcomes,</w:t>
      </w:r>
      <w:r w:rsidR="00177848" w:rsidRPr="00C6052E">
        <w:rPr>
          <w:spacing w:val="-4"/>
        </w:rPr>
        <w:t xml:space="preserve"> </w:t>
      </w:r>
      <w:r w:rsidRPr="00C6052E">
        <w:rPr>
          <w:spacing w:val="-4"/>
        </w:rPr>
        <w:t>generated</w:t>
      </w:r>
      <w:r w:rsidR="00177848" w:rsidRPr="00C6052E">
        <w:rPr>
          <w:spacing w:val="-4"/>
        </w:rPr>
        <w:t xml:space="preserve"> </w:t>
      </w:r>
      <w:r w:rsidRPr="00C6052E">
        <w:rPr>
          <w:spacing w:val="-4"/>
        </w:rPr>
        <w:t>local</w:t>
      </w:r>
      <w:r w:rsidR="00177848" w:rsidRPr="00C6052E">
        <w:rPr>
          <w:spacing w:val="-4"/>
        </w:rPr>
        <w:t xml:space="preserve"> </w:t>
      </w:r>
      <w:r w:rsidRPr="00C6052E">
        <w:rPr>
          <w:spacing w:val="-4"/>
        </w:rPr>
        <w:t>economic</w:t>
      </w:r>
      <w:r w:rsidR="00177848" w:rsidRPr="00C6052E">
        <w:rPr>
          <w:spacing w:val="-4"/>
        </w:rPr>
        <w:t xml:space="preserve"> </w:t>
      </w:r>
      <w:r w:rsidRPr="00C6052E">
        <w:rPr>
          <w:spacing w:val="-4"/>
        </w:rPr>
        <w:t>activity</w:t>
      </w:r>
      <w:r w:rsidR="00177848" w:rsidRPr="00C6052E">
        <w:rPr>
          <w:spacing w:val="-4"/>
        </w:rPr>
        <w:t xml:space="preserve"> </w:t>
      </w:r>
      <w:r w:rsidRPr="00C6052E">
        <w:rPr>
          <w:spacing w:val="-4"/>
        </w:rPr>
        <w:t>and</w:t>
      </w:r>
      <w:r w:rsidR="00177848" w:rsidRPr="00C6052E">
        <w:rPr>
          <w:spacing w:val="-4"/>
        </w:rPr>
        <w:t xml:space="preserve"> </w:t>
      </w:r>
      <w:r w:rsidRPr="00C6052E">
        <w:rPr>
          <w:spacing w:val="-4"/>
        </w:rPr>
        <w:t>support</w:t>
      </w:r>
      <w:r w:rsidR="00177848" w:rsidRPr="00C6052E">
        <w:rPr>
          <w:spacing w:val="-4"/>
        </w:rPr>
        <w:t xml:space="preserve"> </w:t>
      </w:r>
      <w:r w:rsidRPr="00C6052E">
        <w:rPr>
          <w:spacing w:val="-4"/>
        </w:rPr>
        <w:t>for</w:t>
      </w:r>
      <w:r w:rsidR="00177848" w:rsidRPr="00C6052E">
        <w:rPr>
          <w:spacing w:val="-4"/>
        </w:rPr>
        <w:t xml:space="preserve"> </w:t>
      </w:r>
      <w:r w:rsidRPr="00C6052E">
        <w:rPr>
          <w:spacing w:val="-4"/>
        </w:rPr>
        <w:t>jobs,</w:t>
      </w:r>
      <w:r w:rsidR="00177848" w:rsidRPr="00C6052E">
        <w:rPr>
          <w:spacing w:val="-4"/>
        </w:rPr>
        <w:t xml:space="preserve"> </w:t>
      </w:r>
      <w:r w:rsidRPr="00C6052E">
        <w:rPr>
          <w:spacing w:val="-4"/>
        </w:rPr>
        <w:t>and</w:t>
      </w:r>
      <w:r w:rsidR="00177848" w:rsidRPr="00C6052E">
        <w:rPr>
          <w:spacing w:val="-4"/>
        </w:rPr>
        <w:t xml:space="preserve"> </w:t>
      </w:r>
      <w:r w:rsidRPr="00C6052E">
        <w:rPr>
          <w:spacing w:val="-4"/>
        </w:rPr>
        <w:t>provided</w:t>
      </w:r>
      <w:r w:rsidR="00177848" w:rsidRPr="00C6052E">
        <w:rPr>
          <w:spacing w:val="-4"/>
        </w:rPr>
        <w:t xml:space="preserve"> </w:t>
      </w:r>
      <w:r w:rsidRPr="00C6052E">
        <w:rPr>
          <w:spacing w:val="-4"/>
        </w:rPr>
        <w:t>opportunities</w:t>
      </w:r>
      <w:r w:rsidR="00177848" w:rsidRPr="00C6052E">
        <w:rPr>
          <w:spacing w:val="-4"/>
        </w:rPr>
        <w:t xml:space="preserve"> </w:t>
      </w:r>
      <w:r w:rsidRPr="00C6052E">
        <w:rPr>
          <w:spacing w:val="-4"/>
        </w:rPr>
        <w:t>to</w:t>
      </w:r>
      <w:r w:rsidR="00177848" w:rsidRPr="00C6052E">
        <w:rPr>
          <w:spacing w:val="-4"/>
        </w:rPr>
        <w:t xml:space="preserve"> </w:t>
      </w:r>
      <w:r w:rsidRPr="00C6052E">
        <w:rPr>
          <w:spacing w:val="-4"/>
        </w:rPr>
        <w:t>promote</w:t>
      </w:r>
      <w:r w:rsidR="00177848" w:rsidRPr="00C6052E">
        <w:rPr>
          <w:spacing w:val="-4"/>
        </w:rPr>
        <w:t xml:space="preserve"> </w:t>
      </w:r>
      <w:r w:rsidRPr="00C6052E">
        <w:rPr>
          <w:spacing w:val="-4"/>
        </w:rPr>
        <w:t>Victoria</w:t>
      </w:r>
      <w:r w:rsidR="00177848" w:rsidRPr="00C6052E">
        <w:rPr>
          <w:spacing w:val="-4"/>
        </w:rPr>
        <w:t xml:space="preserve"> </w:t>
      </w:r>
      <w:r w:rsidRPr="00C6052E">
        <w:rPr>
          <w:spacing w:val="-4"/>
        </w:rPr>
        <w:t>as</w:t>
      </w:r>
      <w:r w:rsidR="00177848" w:rsidRPr="00C6052E">
        <w:rPr>
          <w:spacing w:val="-4"/>
        </w:rPr>
        <w:t xml:space="preserve"> </w:t>
      </w:r>
      <w:r w:rsidRPr="00C6052E">
        <w:rPr>
          <w:spacing w:val="-4"/>
        </w:rPr>
        <w:t>a</w:t>
      </w:r>
      <w:r w:rsidR="00177848" w:rsidRPr="00C6052E">
        <w:rPr>
          <w:spacing w:val="-4"/>
        </w:rPr>
        <w:t xml:space="preserve"> </w:t>
      </w:r>
      <w:r w:rsidRPr="00C6052E">
        <w:rPr>
          <w:spacing w:val="-4"/>
        </w:rPr>
        <w:t>destination</w:t>
      </w:r>
      <w:r w:rsidR="00177848" w:rsidRPr="00C6052E">
        <w:rPr>
          <w:spacing w:val="-4"/>
        </w:rPr>
        <w:t xml:space="preserve"> </w:t>
      </w:r>
      <w:r w:rsidRPr="00C6052E">
        <w:rPr>
          <w:spacing w:val="-4"/>
        </w:rPr>
        <w:t>for</w:t>
      </w:r>
      <w:r w:rsidR="00177848" w:rsidRPr="00C6052E">
        <w:rPr>
          <w:spacing w:val="-4"/>
        </w:rPr>
        <w:t xml:space="preserve"> </w:t>
      </w:r>
      <w:r w:rsidRPr="00C6052E">
        <w:rPr>
          <w:spacing w:val="-4"/>
        </w:rPr>
        <w:t>tourism</w:t>
      </w:r>
      <w:r w:rsidR="00177848" w:rsidRPr="00C6052E">
        <w:rPr>
          <w:spacing w:val="-4"/>
        </w:rPr>
        <w:t xml:space="preserve"> </w:t>
      </w:r>
      <w:r w:rsidRPr="00C6052E">
        <w:rPr>
          <w:spacing w:val="-4"/>
        </w:rPr>
        <w:t>and</w:t>
      </w:r>
      <w:r w:rsidR="00177848" w:rsidRPr="00C6052E">
        <w:rPr>
          <w:spacing w:val="-4"/>
        </w:rPr>
        <w:t xml:space="preserve"> </w:t>
      </w:r>
      <w:r w:rsidRPr="00C6052E">
        <w:rPr>
          <w:spacing w:val="-4"/>
        </w:rPr>
        <w:t>events.</w:t>
      </w:r>
    </w:p>
    <w:p w14:paraId="714CA0B7" w14:textId="1E7B4DD2" w:rsidR="00EE5BB8" w:rsidRPr="00C6052E" w:rsidRDefault="00EE5BB8" w:rsidP="00EE5BB8">
      <w:pPr>
        <w:pStyle w:val="Heading3"/>
      </w:pPr>
      <w:r w:rsidRPr="00C6052E">
        <w:lastRenderedPageBreak/>
        <w:t>Performance</w:t>
      </w:r>
      <w:r w:rsidR="00177848" w:rsidRPr="00C6052E">
        <w:t xml:space="preserve"> </w:t>
      </w:r>
      <w:r w:rsidRPr="00C6052E">
        <w:t>against</w:t>
      </w:r>
      <w:r w:rsidR="00177848" w:rsidRPr="00C6052E">
        <w:t xml:space="preserve"> </w:t>
      </w:r>
      <w:r w:rsidRPr="00C6052E">
        <w:t>output</w:t>
      </w:r>
      <w:r w:rsidR="00177848" w:rsidRPr="00C6052E">
        <w:t xml:space="preserve"> </w:t>
      </w:r>
      <w:r w:rsidRPr="00C6052E">
        <w:t>measures</w:t>
      </w:r>
    </w:p>
    <w:p w14:paraId="23BE753B" w14:textId="50B2D472" w:rsidR="00EE5BB8" w:rsidRPr="00C6052E" w:rsidRDefault="00EE5BB8" w:rsidP="00445EF8">
      <w:pPr>
        <w:keepLines/>
      </w:pPr>
      <w:r w:rsidRPr="00C6052E">
        <w:t>Table</w:t>
      </w:r>
      <w:r w:rsidR="00177848" w:rsidRPr="00C6052E">
        <w:t xml:space="preserve"> </w:t>
      </w:r>
      <w:r w:rsidRPr="00C6052E">
        <w:t>22</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Access,</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Innovation</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supports</w:t>
      </w:r>
      <w:r w:rsidR="00177848" w:rsidRPr="00C6052E">
        <w:t xml:space="preserve"> </w:t>
      </w:r>
      <w:r w:rsidRPr="00C6052E">
        <w:t>the</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to</w:t>
      </w:r>
      <w:r w:rsidR="00177848" w:rsidRPr="00C6052E">
        <w:t xml:space="preserve"> </w:t>
      </w:r>
      <w:r w:rsidRPr="00C6052E">
        <w:t>deliver</w:t>
      </w:r>
      <w:r w:rsidR="00177848" w:rsidRPr="00C6052E">
        <w:t xml:space="preserve"> </w:t>
      </w:r>
      <w:r w:rsidRPr="00C6052E">
        <w:t>economic,</w:t>
      </w:r>
      <w:r w:rsidR="00177848" w:rsidRPr="00C6052E">
        <w:t xml:space="preserve"> </w:t>
      </w:r>
      <w:r w:rsidRPr="00C6052E">
        <w:t>social</w:t>
      </w:r>
      <w:r w:rsidR="00177848" w:rsidRPr="00C6052E">
        <w:t xml:space="preserve"> </w:t>
      </w:r>
      <w:r w:rsidRPr="00C6052E">
        <w:t>and</w:t>
      </w:r>
      <w:r w:rsidR="00177848" w:rsidRPr="00C6052E">
        <w:t xml:space="preserve"> </w:t>
      </w:r>
      <w:r w:rsidRPr="00C6052E">
        <w:t>cultural</w:t>
      </w:r>
      <w:r w:rsidR="00177848" w:rsidRPr="00C6052E">
        <w:t xml:space="preserve"> </w:t>
      </w:r>
      <w:r w:rsidRPr="00C6052E">
        <w:t>benefit</w:t>
      </w:r>
      <w:r w:rsidR="00177848" w:rsidRPr="00C6052E">
        <w:t xml:space="preserve"> </w:t>
      </w:r>
      <w:r w:rsidRPr="00C6052E">
        <w:t>through</w:t>
      </w:r>
      <w:r w:rsidR="00177848" w:rsidRPr="00C6052E">
        <w:t xml:space="preserve"> </w:t>
      </w:r>
      <w:r w:rsidRPr="00C6052E">
        <w:t>talent</w:t>
      </w:r>
      <w:r w:rsidR="00177848" w:rsidRPr="00C6052E">
        <w:t xml:space="preserve"> </w:t>
      </w:r>
      <w:r w:rsidRPr="00C6052E">
        <w:t>and</w:t>
      </w:r>
      <w:r w:rsidR="00177848" w:rsidRPr="00C6052E">
        <w:t xml:space="preserve"> </w:t>
      </w:r>
      <w:r w:rsidRPr="00C6052E">
        <w:t>leadership;</w:t>
      </w:r>
      <w:r w:rsidR="00177848" w:rsidRPr="00C6052E">
        <w:t xml:space="preserve"> </w:t>
      </w:r>
      <w:r w:rsidRPr="00C6052E">
        <w:t>the</w:t>
      </w:r>
      <w:r w:rsidR="00177848" w:rsidRPr="00C6052E">
        <w:t xml:space="preserve"> </w:t>
      </w:r>
      <w:r w:rsidRPr="00C6052E">
        <w:t>creative</w:t>
      </w:r>
      <w:r w:rsidR="00177848" w:rsidRPr="00C6052E">
        <w:t xml:space="preserve"> </w:t>
      </w:r>
      <w:r w:rsidRPr="00C6052E">
        <w:t>and</w:t>
      </w:r>
      <w:r w:rsidR="00177848" w:rsidRPr="00C6052E">
        <w:t xml:space="preserve"> </w:t>
      </w:r>
      <w:r w:rsidRPr="00C6052E">
        <w:t>business</w:t>
      </w:r>
      <w:r w:rsidR="00177848" w:rsidRPr="00C6052E">
        <w:t xml:space="preserve"> </w:t>
      </w:r>
      <w:r w:rsidRPr="00C6052E">
        <w:t>ecology;</w:t>
      </w:r>
      <w:r w:rsidR="00177848" w:rsidRPr="00C6052E">
        <w:t xml:space="preserve"> </w:t>
      </w:r>
      <w:r w:rsidRPr="00C6052E">
        <w:t>innovation</w:t>
      </w:r>
      <w:r w:rsidR="00177848" w:rsidRPr="00C6052E">
        <w:t xml:space="preserve"> </w:t>
      </w:r>
      <w:r w:rsidRPr="00C6052E">
        <w:t>and</w:t>
      </w:r>
      <w:r w:rsidR="00177848" w:rsidRPr="00C6052E">
        <w:t xml:space="preserve"> </w:t>
      </w:r>
      <w:r w:rsidRPr="00C6052E">
        <w:t>social</w:t>
      </w:r>
      <w:r w:rsidR="00177848" w:rsidRPr="00C6052E">
        <w:t xml:space="preserve"> </w:t>
      </w:r>
      <w:r w:rsidRPr="00C6052E">
        <w:t>impact;</w:t>
      </w:r>
      <w:r w:rsidR="00177848" w:rsidRPr="00C6052E">
        <w:t xml:space="preserve"> </w:t>
      </w:r>
      <w:r w:rsidRPr="00C6052E">
        <w:t>participation</w:t>
      </w:r>
      <w:r w:rsidR="00177848" w:rsidRPr="00C6052E">
        <w:t xml:space="preserve"> </w:t>
      </w:r>
      <w:r w:rsidRPr="00C6052E">
        <w:t>and</w:t>
      </w:r>
      <w:r w:rsidR="00177848" w:rsidRPr="00C6052E">
        <w:t xml:space="preserve"> </w:t>
      </w:r>
      <w:r w:rsidRPr="00C6052E">
        <w:t>place</w:t>
      </w:r>
      <w:r w:rsidR="00177848" w:rsidRPr="00C6052E">
        <w:t xml:space="preserve"> </w:t>
      </w:r>
      <w:r w:rsidRPr="00C6052E">
        <w:t>making;</w:t>
      </w:r>
      <w:r w:rsidR="00177848" w:rsidRPr="00C6052E">
        <w:t xml:space="preserve"> </w:t>
      </w:r>
      <w:r w:rsidRPr="00C6052E">
        <w:t>and</w:t>
      </w:r>
      <w:r w:rsidR="00177848" w:rsidRPr="00C6052E">
        <w:t xml:space="preserve"> </w:t>
      </w:r>
      <w:r w:rsidRPr="00C6052E">
        <w:t>international</w:t>
      </w:r>
      <w:r w:rsidR="00177848" w:rsidRPr="00C6052E">
        <w:t xml:space="preserve"> </w:t>
      </w:r>
      <w:r w:rsidRPr="00C6052E">
        <w:t>engagement.</w:t>
      </w:r>
    </w:p>
    <w:p w14:paraId="5CA42FE0" w14:textId="797E4CB1" w:rsidR="00EE5BB8" w:rsidRPr="00C6052E" w:rsidRDefault="00EE5BB8" w:rsidP="00EE5BB8">
      <w:pPr>
        <w:pStyle w:val="TableHeading"/>
      </w:pPr>
      <w:r w:rsidRPr="00C6052E">
        <w:t>Table</w:t>
      </w:r>
      <w:r w:rsidR="00177848" w:rsidRPr="00C6052E">
        <w:t xml:space="preserve"> </w:t>
      </w:r>
      <w:r w:rsidRPr="00C6052E">
        <w:t>22:</w:t>
      </w:r>
      <w:r w:rsidR="00177848" w:rsidRPr="00C6052E">
        <w:t xml:space="preserve"> </w:t>
      </w:r>
      <w:r w:rsidRPr="00C6052E">
        <w:t>Output</w:t>
      </w:r>
      <w:r w:rsidR="00177848" w:rsidRPr="00C6052E">
        <w:t xml:space="preserve"> </w:t>
      </w:r>
      <w:r w:rsidRPr="00C6052E">
        <w:t>–</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Access,</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Innovation</w:t>
      </w:r>
    </w:p>
    <w:tbl>
      <w:tblPr>
        <w:tblStyle w:val="TableGrid"/>
        <w:tblW w:w="9776" w:type="dxa"/>
        <w:tblLayout w:type="fixed"/>
        <w:tblLook w:val="04A0" w:firstRow="1" w:lastRow="0" w:firstColumn="1" w:lastColumn="0" w:noHBand="0" w:noVBand="1"/>
      </w:tblPr>
      <w:tblGrid>
        <w:gridCol w:w="4531"/>
        <w:gridCol w:w="1020"/>
        <w:gridCol w:w="1020"/>
        <w:gridCol w:w="1020"/>
        <w:gridCol w:w="1361"/>
        <w:gridCol w:w="824"/>
      </w:tblGrid>
      <w:tr w:rsidR="00EE5BB8" w:rsidRPr="00C6052E" w14:paraId="15FC095A" w14:textId="77777777" w:rsidTr="0063097D">
        <w:trPr>
          <w:tblHeader/>
        </w:trPr>
        <w:tc>
          <w:tcPr>
            <w:tcW w:w="4531" w:type="dxa"/>
            <w:hideMark/>
          </w:tcPr>
          <w:p w14:paraId="21CD7D3E" w14:textId="2E129043" w:rsidR="00EE5BB8" w:rsidRPr="00C6052E" w:rsidRDefault="00EE5BB8" w:rsidP="0063097D">
            <w:pPr>
              <w:pStyle w:val="TableColumnHeading"/>
              <w:rPr>
                <w:lang w:val="en-AU"/>
              </w:rPr>
            </w:pPr>
            <w:bookmarkStart w:id="43" w:name="TableColumnHeadings_30"/>
            <w:bookmarkEnd w:id="43"/>
            <w:r w:rsidRPr="00C6052E">
              <w:rPr>
                <w:lang w:val="en-AU"/>
              </w:rPr>
              <w:t>Performance</w:t>
            </w:r>
            <w:r w:rsidR="00177848" w:rsidRPr="00C6052E">
              <w:rPr>
                <w:lang w:val="en-AU"/>
              </w:rPr>
              <w:t xml:space="preserve"> </w:t>
            </w:r>
            <w:r w:rsidRPr="00C6052E">
              <w:rPr>
                <w:lang w:val="en-AU"/>
              </w:rPr>
              <w:t>measures</w:t>
            </w:r>
          </w:p>
        </w:tc>
        <w:tc>
          <w:tcPr>
            <w:tcW w:w="1020" w:type="dxa"/>
            <w:hideMark/>
          </w:tcPr>
          <w:p w14:paraId="634A7755" w14:textId="26C6D27E" w:rsidR="00EE5BB8" w:rsidRPr="00C6052E" w:rsidRDefault="00EE5BB8" w:rsidP="00D966F0">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3AD0E07B" w14:textId="77777777" w:rsidR="00EE5BB8" w:rsidRPr="00C6052E" w:rsidRDefault="00EE5BB8" w:rsidP="00D966F0">
            <w:pPr>
              <w:pStyle w:val="TableColumnHeading"/>
              <w:jc w:val="right"/>
              <w:rPr>
                <w:lang w:val="en-AU"/>
              </w:rPr>
            </w:pPr>
            <w:r w:rsidRPr="00C6052E">
              <w:rPr>
                <w:lang w:val="en-AU"/>
              </w:rPr>
              <w:t>2024–25</w:t>
            </w:r>
            <w:r w:rsidRPr="00C6052E">
              <w:rPr>
                <w:lang w:val="en-AU"/>
              </w:rPr>
              <w:br/>
              <w:t>Actual</w:t>
            </w:r>
          </w:p>
        </w:tc>
        <w:tc>
          <w:tcPr>
            <w:tcW w:w="1020" w:type="dxa"/>
            <w:hideMark/>
          </w:tcPr>
          <w:p w14:paraId="7A409809" w14:textId="10145D71" w:rsidR="00EE5BB8" w:rsidRPr="00C6052E" w:rsidRDefault="00EE5BB8" w:rsidP="00D966F0">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1B158ACE" w14:textId="777BE8C6" w:rsidR="00EE5BB8" w:rsidRPr="00C6052E" w:rsidRDefault="00EE5BB8" w:rsidP="00D966F0">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824" w:type="dxa"/>
            <w:hideMark/>
          </w:tcPr>
          <w:p w14:paraId="247ACC4A" w14:textId="77777777" w:rsidR="00EE5BB8" w:rsidRPr="00C6052E" w:rsidRDefault="00EE5BB8" w:rsidP="00D966F0">
            <w:pPr>
              <w:pStyle w:val="TableColumnHeading"/>
              <w:jc w:val="right"/>
              <w:rPr>
                <w:lang w:val="en-AU"/>
              </w:rPr>
            </w:pPr>
            <w:r w:rsidRPr="00C6052E">
              <w:rPr>
                <w:lang w:val="en-AU"/>
              </w:rPr>
              <w:t>Result</w:t>
            </w:r>
          </w:p>
        </w:tc>
      </w:tr>
      <w:tr w:rsidR="00EE5BB8" w:rsidRPr="00C6052E" w14:paraId="33E4D911" w14:textId="77777777" w:rsidTr="0063097D">
        <w:tc>
          <w:tcPr>
            <w:tcW w:w="4531" w:type="dxa"/>
          </w:tcPr>
          <w:p w14:paraId="00FF8CB4" w14:textId="77777777" w:rsidR="00EE5BB8" w:rsidRPr="00C6052E" w:rsidRDefault="00EE5BB8" w:rsidP="0063097D">
            <w:pPr>
              <w:pStyle w:val="TableHeading"/>
              <w:rPr>
                <w:lang w:val="en-AU"/>
              </w:rPr>
            </w:pPr>
            <w:r w:rsidRPr="00C6052E">
              <w:rPr>
                <w:lang w:val="en-AU"/>
              </w:rPr>
              <w:t>Quantity</w:t>
            </w:r>
          </w:p>
        </w:tc>
        <w:tc>
          <w:tcPr>
            <w:tcW w:w="1020" w:type="dxa"/>
          </w:tcPr>
          <w:p w14:paraId="66C5820C" w14:textId="77777777" w:rsidR="00EE5BB8" w:rsidRPr="00C6052E" w:rsidRDefault="00EE5BB8" w:rsidP="00D966F0">
            <w:pPr>
              <w:pStyle w:val="TableHeading"/>
              <w:jc w:val="right"/>
              <w:rPr>
                <w:lang w:val="en-AU"/>
              </w:rPr>
            </w:pPr>
          </w:p>
        </w:tc>
        <w:tc>
          <w:tcPr>
            <w:tcW w:w="1020" w:type="dxa"/>
            <w:noWrap/>
          </w:tcPr>
          <w:p w14:paraId="421AEA17" w14:textId="77777777" w:rsidR="00EE5BB8" w:rsidRPr="00C6052E" w:rsidRDefault="00EE5BB8" w:rsidP="00D966F0">
            <w:pPr>
              <w:pStyle w:val="TableHeading"/>
              <w:jc w:val="right"/>
              <w:rPr>
                <w:lang w:val="en-AU"/>
              </w:rPr>
            </w:pPr>
          </w:p>
        </w:tc>
        <w:tc>
          <w:tcPr>
            <w:tcW w:w="1020" w:type="dxa"/>
            <w:noWrap/>
          </w:tcPr>
          <w:p w14:paraId="1D935098" w14:textId="77777777" w:rsidR="00EE5BB8" w:rsidRPr="00C6052E" w:rsidRDefault="00EE5BB8" w:rsidP="00D966F0">
            <w:pPr>
              <w:pStyle w:val="TableHeading"/>
              <w:jc w:val="right"/>
              <w:rPr>
                <w:lang w:val="en-AU"/>
              </w:rPr>
            </w:pPr>
          </w:p>
        </w:tc>
        <w:tc>
          <w:tcPr>
            <w:tcW w:w="1361" w:type="dxa"/>
            <w:noWrap/>
          </w:tcPr>
          <w:p w14:paraId="3787A1B3" w14:textId="77777777" w:rsidR="00EE5BB8" w:rsidRPr="00C6052E" w:rsidRDefault="00EE5BB8" w:rsidP="00D966F0">
            <w:pPr>
              <w:pStyle w:val="TableHeading"/>
              <w:jc w:val="right"/>
              <w:rPr>
                <w:lang w:val="en-AU"/>
              </w:rPr>
            </w:pPr>
          </w:p>
        </w:tc>
        <w:tc>
          <w:tcPr>
            <w:tcW w:w="824" w:type="dxa"/>
            <w:noWrap/>
          </w:tcPr>
          <w:p w14:paraId="695318A1" w14:textId="77777777" w:rsidR="00EE5BB8" w:rsidRPr="00C6052E" w:rsidRDefault="00EE5BB8" w:rsidP="00D966F0">
            <w:pPr>
              <w:pStyle w:val="TableHeading"/>
              <w:jc w:val="right"/>
              <w:rPr>
                <w:lang w:val="en-AU"/>
              </w:rPr>
            </w:pPr>
          </w:p>
        </w:tc>
      </w:tr>
      <w:tr w:rsidR="00EE5BB8" w:rsidRPr="00C6052E" w14:paraId="70A4A247" w14:textId="77777777" w:rsidTr="0063097D">
        <w:tc>
          <w:tcPr>
            <w:tcW w:w="4531" w:type="dxa"/>
            <w:hideMark/>
          </w:tcPr>
          <w:p w14:paraId="6D682F53" w14:textId="30B055C4" w:rsidR="00EE5BB8" w:rsidRPr="00C6052E"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major</w:t>
            </w:r>
            <w:r w:rsidR="00177848" w:rsidRPr="00C6052E">
              <w:rPr>
                <w:lang w:val="en-AU"/>
              </w:rPr>
              <w:t xml:space="preserve"> </w:t>
            </w:r>
            <w:r w:rsidRPr="00C6052E">
              <w:rPr>
                <w:lang w:val="en-AU"/>
              </w:rPr>
              <w:t>performing</w:t>
            </w:r>
            <w:r w:rsidR="00177848" w:rsidRPr="00C6052E">
              <w:rPr>
                <w:lang w:val="en-AU"/>
              </w:rPr>
              <w:t xml:space="preserve"> </w:t>
            </w:r>
            <w:r w:rsidRPr="00C6052E">
              <w:rPr>
                <w:lang w:val="en-AU"/>
              </w:rPr>
              <w:t>arts</w:t>
            </w:r>
            <w:r w:rsidR="00177848" w:rsidRPr="00C6052E">
              <w:rPr>
                <w:lang w:val="en-AU"/>
              </w:rPr>
              <w:t xml:space="preserve"> </w:t>
            </w:r>
            <w:r w:rsidRPr="00C6052E">
              <w:rPr>
                <w:lang w:val="en-AU"/>
              </w:rPr>
              <w:t>organisations</w:t>
            </w:r>
          </w:p>
        </w:tc>
        <w:tc>
          <w:tcPr>
            <w:tcW w:w="1020" w:type="dxa"/>
            <w:hideMark/>
          </w:tcPr>
          <w:p w14:paraId="50EC6E4D" w14:textId="0FD00389" w:rsidR="00EE5BB8" w:rsidRPr="00C6052E" w:rsidRDefault="00EE5BB8" w:rsidP="00D966F0">
            <w:pPr>
              <w:pStyle w:val="TableCopy"/>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19505039" w14:textId="77777777" w:rsidR="00EE5BB8" w:rsidRPr="00C6052E" w:rsidRDefault="00EE5BB8" w:rsidP="00D966F0">
            <w:pPr>
              <w:pStyle w:val="TableCopy"/>
              <w:jc w:val="right"/>
              <w:rPr>
                <w:lang w:val="en-AU"/>
              </w:rPr>
            </w:pPr>
            <w:r w:rsidRPr="00C6052E">
              <w:rPr>
                <w:lang w:val="en-AU"/>
              </w:rPr>
              <w:t>987</w:t>
            </w:r>
          </w:p>
        </w:tc>
        <w:tc>
          <w:tcPr>
            <w:tcW w:w="1020" w:type="dxa"/>
            <w:noWrap/>
            <w:hideMark/>
          </w:tcPr>
          <w:p w14:paraId="392262CA" w14:textId="77777777" w:rsidR="00EE5BB8" w:rsidRPr="00C6052E" w:rsidRDefault="00EE5BB8" w:rsidP="00D966F0">
            <w:pPr>
              <w:pStyle w:val="TableCopy"/>
              <w:jc w:val="right"/>
              <w:rPr>
                <w:lang w:val="en-AU"/>
              </w:rPr>
            </w:pPr>
            <w:r w:rsidRPr="00C6052E">
              <w:rPr>
                <w:lang w:val="en-AU"/>
              </w:rPr>
              <w:t>1,000</w:t>
            </w:r>
          </w:p>
        </w:tc>
        <w:tc>
          <w:tcPr>
            <w:tcW w:w="1361" w:type="dxa"/>
            <w:noWrap/>
            <w:hideMark/>
          </w:tcPr>
          <w:p w14:paraId="7734AF2E" w14:textId="77777777" w:rsidR="00EE5BB8" w:rsidRPr="00C6052E" w:rsidRDefault="00EE5BB8" w:rsidP="00D966F0">
            <w:pPr>
              <w:pStyle w:val="TableCopy"/>
              <w:jc w:val="right"/>
              <w:rPr>
                <w:lang w:val="en-AU"/>
              </w:rPr>
            </w:pPr>
            <w:r w:rsidRPr="00C6052E">
              <w:rPr>
                <w:lang w:val="en-AU"/>
              </w:rPr>
              <w:t>-1.3%</w:t>
            </w:r>
          </w:p>
        </w:tc>
        <w:tc>
          <w:tcPr>
            <w:tcW w:w="824" w:type="dxa"/>
            <w:noWrap/>
            <w:hideMark/>
          </w:tcPr>
          <w:p w14:paraId="3B3162B6" w14:textId="77777777" w:rsidR="00EE5BB8" w:rsidRPr="00C6052E" w:rsidRDefault="00EE5BB8" w:rsidP="00D966F0">
            <w:pPr>
              <w:pStyle w:val="TableCopy"/>
              <w:jc w:val="right"/>
              <w:rPr>
                <w:lang w:val="en-AU"/>
              </w:rPr>
            </w:pPr>
            <w:r w:rsidRPr="00C6052E">
              <w:rPr>
                <w:lang w:val="en-AU"/>
              </w:rPr>
              <w:t>2</w:t>
            </w:r>
          </w:p>
        </w:tc>
      </w:tr>
      <w:tr w:rsidR="00EE5BB8" w:rsidRPr="00C6052E" w14:paraId="1469F2FD" w14:textId="77777777" w:rsidTr="0063097D">
        <w:tc>
          <w:tcPr>
            <w:tcW w:w="4531" w:type="dxa"/>
            <w:hideMark/>
          </w:tcPr>
          <w:p w14:paraId="1BA1ADE3" w14:textId="77777777" w:rsidR="00EE5BB8" w:rsidRDefault="00EE5BB8" w:rsidP="0063097D">
            <w:pPr>
              <w:pStyle w:val="TableCopy"/>
              <w:rPr>
                <w:lang w:val="en-AU"/>
              </w:rPr>
            </w:pPr>
            <w:r w:rsidRPr="00C6052E">
              <w:rPr>
                <w:lang w:val="en-AU"/>
              </w:rPr>
              <w:t>Creative</w:t>
            </w:r>
            <w:r w:rsidR="00177848" w:rsidRPr="00C6052E">
              <w:rPr>
                <w:lang w:val="en-AU"/>
              </w:rPr>
              <w:t xml:space="preserve"> </w:t>
            </w:r>
            <w:r w:rsidRPr="00C6052E">
              <w:rPr>
                <w:lang w:val="en-AU"/>
              </w:rPr>
              <w:t>learning</w:t>
            </w:r>
            <w:r w:rsidR="00177848" w:rsidRPr="00C6052E">
              <w:rPr>
                <w:lang w:val="en-AU"/>
              </w:rPr>
              <w:t xml:space="preserve"> </w:t>
            </w:r>
            <w:r w:rsidRPr="00C6052E">
              <w:rPr>
                <w:lang w:val="en-AU"/>
              </w:rPr>
              <w:t>partnerships</w:t>
            </w:r>
          </w:p>
          <w:p w14:paraId="76F2668A" w14:textId="1DC416DB" w:rsidR="00C17A57" w:rsidRPr="00C6052E" w:rsidRDefault="00C17A57" w:rsidP="00C17A57">
            <w:pPr>
              <w:pStyle w:val="Tablenotes-indented"/>
              <w:ind w:left="227" w:firstLine="0"/>
              <w:rPr>
                <w:lang w:val="en-AU"/>
              </w:rPr>
            </w:pPr>
            <w:r w:rsidRPr="00C6052E">
              <w:rPr>
                <w:lang w:val="en-AU"/>
              </w:rPr>
              <w:t>Higher result due to an increased number of smaller grants being awarded to individual artists.</w:t>
            </w:r>
          </w:p>
        </w:tc>
        <w:tc>
          <w:tcPr>
            <w:tcW w:w="1020" w:type="dxa"/>
            <w:hideMark/>
          </w:tcPr>
          <w:p w14:paraId="4C54B9F0" w14:textId="77777777" w:rsidR="00EE5BB8" w:rsidRPr="00C6052E" w:rsidRDefault="00EE5BB8" w:rsidP="00D966F0">
            <w:pPr>
              <w:pStyle w:val="TableCopy"/>
              <w:jc w:val="right"/>
              <w:rPr>
                <w:lang w:val="en-AU"/>
              </w:rPr>
            </w:pPr>
            <w:r w:rsidRPr="00C6052E">
              <w:rPr>
                <w:lang w:val="en-AU"/>
              </w:rPr>
              <w:t>number</w:t>
            </w:r>
          </w:p>
        </w:tc>
        <w:tc>
          <w:tcPr>
            <w:tcW w:w="1020" w:type="dxa"/>
            <w:noWrap/>
            <w:hideMark/>
          </w:tcPr>
          <w:p w14:paraId="696E0520" w14:textId="77777777" w:rsidR="00EE5BB8" w:rsidRPr="00C6052E" w:rsidRDefault="00EE5BB8" w:rsidP="00D966F0">
            <w:pPr>
              <w:pStyle w:val="TableCopy"/>
              <w:jc w:val="right"/>
              <w:rPr>
                <w:lang w:val="en-AU"/>
              </w:rPr>
            </w:pPr>
            <w:r w:rsidRPr="00C6052E">
              <w:rPr>
                <w:lang w:val="en-AU"/>
              </w:rPr>
              <w:t>19</w:t>
            </w:r>
          </w:p>
        </w:tc>
        <w:tc>
          <w:tcPr>
            <w:tcW w:w="1020" w:type="dxa"/>
            <w:noWrap/>
            <w:hideMark/>
          </w:tcPr>
          <w:p w14:paraId="3CC78DC4" w14:textId="77777777" w:rsidR="00EE5BB8" w:rsidRPr="00C6052E" w:rsidRDefault="00EE5BB8" w:rsidP="00D966F0">
            <w:pPr>
              <w:pStyle w:val="TableCopy"/>
              <w:jc w:val="right"/>
              <w:rPr>
                <w:lang w:val="en-AU"/>
              </w:rPr>
            </w:pPr>
            <w:r w:rsidRPr="00C6052E">
              <w:rPr>
                <w:lang w:val="en-AU"/>
              </w:rPr>
              <w:t>16</w:t>
            </w:r>
          </w:p>
        </w:tc>
        <w:tc>
          <w:tcPr>
            <w:tcW w:w="1361" w:type="dxa"/>
            <w:noWrap/>
            <w:hideMark/>
          </w:tcPr>
          <w:p w14:paraId="4E967CAE" w14:textId="77777777" w:rsidR="00EE5BB8" w:rsidRPr="00C6052E" w:rsidRDefault="00EE5BB8" w:rsidP="00D966F0">
            <w:pPr>
              <w:pStyle w:val="TableCopy"/>
              <w:jc w:val="right"/>
              <w:rPr>
                <w:lang w:val="en-AU"/>
              </w:rPr>
            </w:pPr>
            <w:r w:rsidRPr="00C6052E">
              <w:rPr>
                <w:lang w:val="en-AU"/>
              </w:rPr>
              <w:t>18.8%</w:t>
            </w:r>
          </w:p>
        </w:tc>
        <w:tc>
          <w:tcPr>
            <w:tcW w:w="824" w:type="dxa"/>
            <w:noWrap/>
            <w:hideMark/>
          </w:tcPr>
          <w:p w14:paraId="7E3A0F4D" w14:textId="77777777" w:rsidR="00EE5BB8" w:rsidRPr="00C6052E" w:rsidRDefault="00EE5BB8" w:rsidP="00D966F0">
            <w:pPr>
              <w:pStyle w:val="TableCopy"/>
              <w:jc w:val="right"/>
              <w:rPr>
                <w:lang w:val="en-AU"/>
              </w:rPr>
            </w:pPr>
            <w:r w:rsidRPr="00C6052E">
              <w:rPr>
                <w:lang w:val="en-AU"/>
              </w:rPr>
              <w:t>1</w:t>
            </w:r>
          </w:p>
        </w:tc>
      </w:tr>
      <w:tr w:rsidR="00EE5BB8" w:rsidRPr="00C6052E" w14:paraId="7BE8DFC2" w14:textId="77777777" w:rsidTr="0063097D">
        <w:tc>
          <w:tcPr>
            <w:tcW w:w="4531" w:type="dxa"/>
            <w:hideMark/>
          </w:tcPr>
          <w:p w14:paraId="4B350EAC" w14:textId="77777777" w:rsidR="00EE5BB8" w:rsidRDefault="00EE5BB8" w:rsidP="0063097D">
            <w:pPr>
              <w:pStyle w:val="TableCopy"/>
              <w:rPr>
                <w:lang w:val="en-AU"/>
              </w:rPr>
            </w:pPr>
            <w:r w:rsidRPr="00C6052E">
              <w:rPr>
                <w:lang w:val="en-AU"/>
              </w:rPr>
              <w:t>Design</w:t>
            </w:r>
            <w:r w:rsidR="00177848" w:rsidRPr="00C6052E">
              <w:rPr>
                <w:lang w:val="en-AU"/>
              </w:rPr>
              <w:t xml:space="preserve"> </w:t>
            </w:r>
            <w:r w:rsidRPr="00C6052E">
              <w:rPr>
                <w:lang w:val="en-AU"/>
              </w:rPr>
              <w:t>organisations</w:t>
            </w:r>
            <w:r w:rsidR="00177848" w:rsidRPr="00C6052E">
              <w:rPr>
                <w:lang w:val="en-AU"/>
              </w:rPr>
              <w:t xml:space="preserve"> </w:t>
            </w:r>
            <w:r w:rsidRPr="00C6052E">
              <w:rPr>
                <w:lang w:val="en-AU"/>
              </w:rPr>
              <w:t>supported</w:t>
            </w:r>
          </w:p>
          <w:p w14:paraId="03AB8E26" w14:textId="6A02D089" w:rsidR="00C17A57" w:rsidRPr="00C6052E" w:rsidRDefault="00C17A57" w:rsidP="00C17A57">
            <w:pPr>
              <w:pStyle w:val="Tablenotes-indented"/>
              <w:ind w:left="227" w:firstLine="0"/>
              <w:rPr>
                <w:lang w:val="en-AU"/>
              </w:rPr>
            </w:pPr>
            <w:r w:rsidRPr="00C6052E">
              <w:rPr>
                <w:lang w:val="en-AU"/>
              </w:rPr>
              <w:t>Lower result due to internal reprioritisation.</w:t>
            </w:r>
          </w:p>
        </w:tc>
        <w:tc>
          <w:tcPr>
            <w:tcW w:w="1020" w:type="dxa"/>
            <w:hideMark/>
          </w:tcPr>
          <w:p w14:paraId="6778F0CA" w14:textId="77777777" w:rsidR="00EE5BB8" w:rsidRPr="00C6052E" w:rsidRDefault="00EE5BB8" w:rsidP="00D966F0">
            <w:pPr>
              <w:pStyle w:val="TableCopy"/>
              <w:jc w:val="right"/>
              <w:rPr>
                <w:lang w:val="en-AU"/>
              </w:rPr>
            </w:pPr>
            <w:r w:rsidRPr="00C6052E">
              <w:rPr>
                <w:lang w:val="en-AU"/>
              </w:rPr>
              <w:t>number</w:t>
            </w:r>
          </w:p>
        </w:tc>
        <w:tc>
          <w:tcPr>
            <w:tcW w:w="1020" w:type="dxa"/>
            <w:noWrap/>
            <w:hideMark/>
          </w:tcPr>
          <w:p w14:paraId="25BA5CF0" w14:textId="77777777" w:rsidR="00EE5BB8" w:rsidRPr="00C6052E" w:rsidRDefault="00EE5BB8" w:rsidP="00D966F0">
            <w:pPr>
              <w:pStyle w:val="TableCopy"/>
              <w:jc w:val="right"/>
              <w:rPr>
                <w:lang w:val="en-AU"/>
              </w:rPr>
            </w:pPr>
            <w:r w:rsidRPr="00C6052E">
              <w:rPr>
                <w:lang w:val="en-AU"/>
              </w:rPr>
              <w:t>2</w:t>
            </w:r>
          </w:p>
        </w:tc>
        <w:tc>
          <w:tcPr>
            <w:tcW w:w="1020" w:type="dxa"/>
            <w:noWrap/>
            <w:hideMark/>
          </w:tcPr>
          <w:p w14:paraId="798C17B6" w14:textId="77777777" w:rsidR="00EE5BB8" w:rsidRPr="00C6052E" w:rsidRDefault="00EE5BB8" w:rsidP="00D966F0">
            <w:pPr>
              <w:pStyle w:val="TableCopy"/>
              <w:jc w:val="right"/>
              <w:rPr>
                <w:lang w:val="en-AU"/>
              </w:rPr>
            </w:pPr>
            <w:r w:rsidRPr="00C6052E">
              <w:rPr>
                <w:lang w:val="en-AU"/>
              </w:rPr>
              <w:t>14</w:t>
            </w:r>
          </w:p>
        </w:tc>
        <w:tc>
          <w:tcPr>
            <w:tcW w:w="1361" w:type="dxa"/>
            <w:noWrap/>
            <w:hideMark/>
          </w:tcPr>
          <w:p w14:paraId="0E76879F" w14:textId="77777777" w:rsidR="00EE5BB8" w:rsidRPr="00C6052E" w:rsidRDefault="00EE5BB8" w:rsidP="00D966F0">
            <w:pPr>
              <w:pStyle w:val="TableCopy"/>
              <w:jc w:val="right"/>
              <w:rPr>
                <w:lang w:val="en-AU"/>
              </w:rPr>
            </w:pPr>
            <w:r w:rsidRPr="00C6052E">
              <w:rPr>
                <w:lang w:val="en-AU"/>
              </w:rPr>
              <w:t>-85.7%</w:t>
            </w:r>
          </w:p>
        </w:tc>
        <w:tc>
          <w:tcPr>
            <w:tcW w:w="824" w:type="dxa"/>
            <w:noWrap/>
            <w:hideMark/>
          </w:tcPr>
          <w:p w14:paraId="743DA4D1" w14:textId="77777777" w:rsidR="00EE5BB8" w:rsidRPr="00C6052E" w:rsidRDefault="00EE5BB8" w:rsidP="00D966F0">
            <w:pPr>
              <w:pStyle w:val="TableCopy"/>
              <w:jc w:val="right"/>
              <w:rPr>
                <w:lang w:val="en-AU"/>
              </w:rPr>
            </w:pPr>
            <w:r w:rsidRPr="00C6052E">
              <w:rPr>
                <w:lang w:val="en-AU"/>
              </w:rPr>
              <w:t>3</w:t>
            </w:r>
          </w:p>
        </w:tc>
      </w:tr>
      <w:tr w:rsidR="00EE5BB8" w:rsidRPr="00C6052E" w14:paraId="1C018035" w14:textId="77777777" w:rsidTr="0063097D">
        <w:tc>
          <w:tcPr>
            <w:tcW w:w="4531" w:type="dxa"/>
            <w:hideMark/>
          </w:tcPr>
          <w:p w14:paraId="700CFEAE" w14:textId="77777777" w:rsidR="00EE5BB8" w:rsidRDefault="00EE5BB8" w:rsidP="0063097D">
            <w:pPr>
              <w:pStyle w:val="TableCopy"/>
              <w:rPr>
                <w:lang w:val="en-AU"/>
              </w:rPr>
            </w:pPr>
            <w:r w:rsidRPr="00C6052E">
              <w:rPr>
                <w:lang w:val="en-AU"/>
              </w:rPr>
              <w:t>International</w:t>
            </w:r>
            <w:r w:rsidR="00177848" w:rsidRPr="00C6052E">
              <w:rPr>
                <w:lang w:val="en-AU"/>
              </w:rPr>
              <w:t xml:space="preserve"> </w:t>
            </w:r>
            <w:r w:rsidRPr="00C6052E">
              <w:rPr>
                <w:lang w:val="en-AU"/>
              </w:rPr>
              <w:t>market</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exchange</w:t>
            </w:r>
            <w:r w:rsidR="00177848" w:rsidRPr="00C6052E">
              <w:rPr>
                <w:lang w:val="en-AU"/>
              </w:rPr>
              <w:t xml:space="preserve"> </w:t>
            </w:r>
            <w:r w:rsidRPr="00C6052E">
              <w:rPr>
                <w:lang w:val="en-AU"/>
              </w:rPr>
              <w:t>initiatives</w:t>
            </w:r>
          </w:p>
          <w:p w14:paraId="5887043C" w14:textId="4102F00F" w:rsidR="00C17A57" w:rsidRPr="00C6052E" w:rsidRDefault="00C17A57" w:rsidP="00C17A57">
            <w:pPr>
              <w:pStyle w:val="Tablenotes-indented"/>
              <w:ind w:left="227" w:firstLine="0"/>
              <w:rPr>
                <w:lang w:val="en-AU"/>
              </w:rPr>
            </w:pPr>
            <w:r w:rsidRPr="00C6052E">
              <w:rPr>
                <w:lang w:val="en-AU"/>
              </w:rPr>
              <w:t>Lower result due to internal reprioritisation.</w:t>
            </w:r>
          </w:p>
        </w:tc>
        <w:tc>
          <w:tcPr>
            <w:tcW w:w="1020" w:type="dxa"/>
            <w:hideMark/>
          </w:tcPr>
          <w:p w14:paraId="4EBA48CA" w14:textId="77777777" w:rsidR="00EE5BB8" w:rsidRPr="00C6052E" w:rsidRDefault="00EE5BB8" w:rsidP="00D966F0">
            <w:pPr>
              <w:pStyle w:val="TableCopy"/>
              <w:jc w:val="right"/>
              <w:rPr>
                <w:lang w:val="en-AU"/>
              </w:rPr>
            </w:pPr>
            <w:r w:rsidRPr="00C6052E">
              <w:rPr>
                <w:lang w:val="en-AU"/>
              </w:rPr>
              <w:t>number</w:t>
            </w:r>
          </w:p>
        </w:tc>
        <w:tc>
          <w:tcPr>
            <w:tcW w:w="1020" w:type="dxa"/>
            <w:noWrap/>
            <w:hideMark/>
          </w:tcPr>
          <w:p w14:paraId="5B8742CD" w14:textId="77777777" w:rsidR="00EE5BB8" w:rsidRPr="00C6052E" w:rsidRDefault="00EE5BB8" w:rsidP="00D966F0">
            <w:pPr>
              <w:pStyle w:val="TableCopy"/>
              <w:jc w:val="right"/>
              <w:rPr>
                <w:lang w:val="en-AU"/>
              </w:rPr>
            </w:pPr>
            <w:r w:rsidRPr="00C6052E">
              <w:rPr>
                <w:lang w:val="en-AU"/>
              </w:rPr>
              <w:t>3</w:t>
            </w:r>
          </w:p>
        </w:tc>
        <w:tc>
          <w:tcPr>
            <w:tcW w:w="1020" w:type="dxa"/>
            <w:noWrap/>
            <w:hideMark/>
          </w:tcPr>
          <w:p w14:paraId="6F1A8F02" w14:textId="77777777" w:rsidR="00EE5BB8" w:rsidRPr="00C6052E" w:rsidRDefault="00EE5BB8" w:rsidP="00D966F0">
            <w:pPr>
              <w:pStyle w:val="TableCopy"/>
              <w:jc w:val="right"/>
              <w:rPr>
                <w:lang w:val="en-AU"/>
              </w:rPr>
            </w:pPr>
            <w:r w:rsidRPr="00C6052E">
              <w:rPr>
                <w:lang w:val="en-AU"/>
              </w:rPr>
              <w:t>9</w:t>
            </w:r>
          </w:p>
        </w:tc>
        <w:tc>
          <w:tcPr>
            <w:tcW w:w="1361" w:type="dxa"/>
            <w:noWrap/>
            <w:hideMark/>
          </w:tcPr>
          <w:p w14:paraId="68ED2614" w14:textId="77777777" w:rsidR="00EE5BB8" w:rsidRPr="00C6052E" w:rsidRDefault="00EE5BB8" w:rsidP="00D966F0">
            <w:pPr>
              <w:pStyle w:val="TableCopy"/>
              <w:jc w:val="right"/>
              <w:rPr>
                <w:lang w:val="en-AU"/>
              </w:rPr>
            </w:pPr>
            <w:r w:rsidRPr="00C6052E">
              <w:rPr>
                <w:lang w:val="en-AU"/>
              </w:rPr>
              <w:t>-66.7%</w:t>
            </w:r>
          </w:p>
        </w:tc>
        <w:tc>
          <w:tcPr>
            <w:tcW w:w="824" w:type="dxa"/>
            <w:noWrap/>
            <w:hideMark/>
          </w:tcPr>
          <w:p w14:paraId="6CDAABE6" w14:textId="77777777" w:rsidR="00EE5BB8" w:rsidRPr="00C6052E" w:rsidRDefault="00EE5BB8" w:rsidP="00D966F0">
            <w:pPr>
              <w:pStyle w:val="TableCopy"/>
              <w:jc w:val="right"/>
              <w:rPr>
                <w:lang w:val="en-AU"/>
              </w:rPr>
            </w:pPr>
            <w:r w:rsidRPr="00C6052E">
              <w:rPr>
                <w:lang w:val="en-AU"/>
              </w:rPr>
              <w:t>3</w:t>
            </w:r>
          </w:p>
        </w:tc>
      </w:tr>
      <w:tr w:rsidR="00EE5BB8" w:rsidRPr="00C6052E" w14:paraId="36E75139" w14:textId="77777777" w:rsidTr="0063097D">
        <w:tc>
          <w:tcPr>
            <w:tcW w:w="4531" w:type="dxa"/>
            <w:hideMark/>
          </w:tcPr>
          <w:p w14:paraId="75215E08" w14:textId="77777777" w:rsidR="00EE5BB8"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paid</w:t>
            </w:r>
            <w:r w:rsidR="00177848" w:rsidRPr="00C6052E">
              <w:rPr>
                <w:lang w:val="en-AU"/>
              </w:rPr>
              <w:t xml:space="preserve"> </w:t>
            </w:r>
            <w:r w:rsidRPr="00C6052E">
              <w:rPr>
                <w:lang w:val="en-AU"/>
              </w:rPr>
              <w:t>gigs</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under</w:t>
            </w:r>
            <w:r w:rsidR="00177848" w:rsidRPr="00C6052E">
              <w:rPr>
                <w:lang w:val="en-AU"/>
              </w:rPr>
              <w:t xml:space="preserve"> </w:t>
            </w:r>
            <w:r w:rsidRPr="00C6052E">
              <w:rPr>
                <w:lang w:val="en-AU"/>
              </w:rPr>
              <w:t>10,000</w:t>
            </w:r>
            <w:r w:rsidR="00177848" w:rsidRPr="00C6052E">
              <w:rPr>
                <w:lang w:val="en-AU"/>
              </w:rPr>
              <w:t xml:space="preserve"> </w:t>
            </w:r>
            <w:r w:rsidRPr="00C6052E">
              <w:rPr>
                <w:lang w:val="en-AU"/>
              </w:rPr>
              <w:t>Gigs:</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Gig</w:t>
            </w:r>
            <w:r w:rsidR="00177848" w:rsidRPr="00C6052E">
              <w:rPr>
                <w:lang w:val="en-AU"/>
              </w:rPr>
              <w:t xml:space="preserve"> </w:t>
            </w:r>
            <w:r w:rsidRPr="00C6052E">
              <w:rPr>
                <w:lang w:val="en-AU"/>
              </w:rPr>
              <w:t>Fund</w:t>
            </w:r>
            <w:r w:rsidR="00177848" w:rsidRPr="00C6052E">
              <w:rPr>
                <w:lang w:val="en-AU"/>
              </w:rPr>
              <w:t xml:space="preserve"> </w:t>
            </w:r>
          </w:p>
          <w:p w14:paraId="75ACB85F" w14:textId="632D15A4" w:rsidR="00C17A57" w:rsidRPr="00C6052E" w:rsidRDefault="00C17A57" w:rsidP="00C17A57">
            <w:pPr>
              <w:pStyle w:val="Tablenotes-indented"/>
              <w:ind w:left="227" w:firstLine="0"/>
              <w:rPr>
                <w:lang w:val="en-AU"/>
              </w:rPr>
            </w:pPr>
            <w:r w:rsidRPr="00C6052E">
              <w:rPr>
                <w:lang w:val="en-AU"/>
              </w:rPr>
              <w:t>Higher result due to the timing of funding rounds across financial years.</w:t>
            </w:r>
          </w:p>
        </w:tc>
        <w:tc>
          <w:tcPr>
            <w:tcW w:w="1020" w:type="dxa"/>
            <w:hideMark/>
          </w:tcPr>
          <w:p w14:paraId="7E2A0BB8" w14:textId="77777777" w:rsidR="00EE5BB8" w:rsidRPr="00C6052E" w:rsidRDefault="00EE5BB8" w:rsidP="00D966F0">
            <w:pPr>
              <w:pStyle w:val="TableCopy"/>
              <w:jc w:val="right"/>
              <w:rPr>
                <w:lang w:val="en-AU"/>
              </w:rPr>
            </w:pPr>
            <w:r w:rsidRPr="00C6052E">
              <w:rPr>
                <w:lang w:val="en-AU"/>
              </w:rPr>
              <w:t>number</w:t>
            </w:r>
          </w:p>
        </w:tc>
        <w:tc>
          <w:tcPr>
            <w:tcW w:w="1020" w:type="dxa"/>
            <w:noWrap/>
            <w:hideMark/>
          </w:tcPr>
          <w:p w14:paraId="2E1091BF" w14:textId="77777777" w:rsidR="00EE5BB8" w:rsidRPr="00C6052E" w:rsidRDefault="00EE5BB8" w:rsidP="00D966F0">
            <w:pPr>
              <w:pStyle w:val="TableCopy"/>
              <w:jc w:val="right"/>
              <w:rPr>
                <w:lang w:val="en-AU"/>
              </w:rPr>
            </w:pPr>
            <w:r w:rsidRPr="00C6052E">
              <w:rPr>
                <w:lang w:val="en-AU"/>
              </w:rPr>
              <w:t>5,420</w:t>
            </w:r>
          </w:p>
        </w:tc>
        <w:tc>
          <w:tcPr>
            <w:tcW w:w="1020" w:type="dxa"/>
            <w:noWrap/>
            <w:hideMark/>
          </w:tcPr>
          <w:p w14:paraId="4CB4289F" w14:textId="77777777" w:rsidR="00EE5BB8" w:rsidRPr="00C6052E" w:rsidRDefault="00EE5BB8" w:rsidP="00D966F0">
            <w:pPr>
              <w:pStyle w:val="TableCopy"/>
              <w:jc w:val="right"/>
              <w:rPr>
                <w:lang w:val="en-AU"/>
              </w:rPr>
            </w:pPr>
            <w:r w:rsidRPr="00C6052E">
              <w:rPr>
                <w:lang w:val="en-AU"/>
              </w:rPr>
              <w:t>2,500</w:t>
            </w:r>
          </w:p>
        </w:tc>
        <w:tc>
          <w:tcPr>
            <w:tcW w:w="1361" w:type="dxa"/>
            <w:noWrap/>
            <w:hideMark/>
          </w:tcPr>
          <w:p w14:paraId="36874C9B" w14:textId="77777777" w:rsidR="00EE5BB8" w:rsidRPr="00C6052E" w:rsidRDefault="00EE5BB8" w:rsidP="00D966F0">
            <w:pPr>
              <w:pStyle w:val="TableCopy"/>
              <w:jc w:val="right"/>
              <w:rPr>
                <w:lang w:val="en-AU"/>
              </w:rPr>
            </w:pPr>
            <w:r w:rsidRPr="00C6052E">
              <w:rPr>
                <w:lang w:val="en-AU"/>
              </w:rPr>
              <w:t>116.8%</w:t>
            </w:r>
          </w:p>
        </w:tc>
        <w:tc>
          <w:tcPr>
            <w:tcW w:w="824" w:type="dxa"/>
            <w:noWrap/>
            <w:hideMark/>
          </w:tcPr>
          <w:p w14:paraId="7F929EE9" w14:textId="77777777" w:rsidR="00EE5BB8" w:rsidRPr="00C6052E" w:rsidRDefault="00EE5BB8" w:rsidP="00D966F0">
            <w:pPr>
              <w:pStyle w:val="TableCopy"/>
              <w:jc w:val="right"/>
              <w:rPr>
                <w:lang w:val="en-AU"/>
              </w:rPr>
            </w:pPr>
            <w:r w:rsidRPr="00C6052E">
              <w:rPr>
                <w:lang w:val="en-AU"/>
              </w:rPr>
              <w:t>1</w:t>
            </w:r>
          </w:p>
        </w:tc>
      </w:tr>
      <w:tr w:rsidR="00EE5BB8" w:rsidRPr="00C6052E" w14:paraId="5E10058E" w14:textId="77777777" w:rsidTr="0063097D">
        <w:tc>
          <w:tcPr>
            <w:tcW w:w="4531" w:type="dxa"/>
            <w:hideMark/>
          </w:tcPr>
          <w:p w14:paraId="58C6E529" w14:textId="77777777" w:rsidR="00EE5BB8" w:rsidRDefault="00EE5BB8" w:rsidP="0063097D">
            <w:pPr>
              <w:pStyle w:val="TableCopy"/>
              <w:rPr>
                <w:lang w:val="en-AU"/>
              </w:rPr>
            </w:pPr>
            <w:r w:rsidRPr="00C6052E">
              <w:rPr>
                <w:lang w:val="en-AU"/>
              </w:rPr>
              <w:t>Organisations</w:t>
            </w:r>
            <w:r w:rsidR="00177848" w:rsidRPr="00C6052E">
              <w:rPr>
                <w:lang w:val="en-AU"/>
              </w:rPr>
              <w:t xml:space="preserve"> </w:t>
            </w:r>
            <w:r w:rsidRPr="00C6052E">
              <w:rPr>
                <w:lang w:val="en-AU"/>
              </w:rPr>
              <w:t>recurrently</w:t>
            </w:r>
            <w:r w:rsidR="00177848" w:rsidRPr="00C6052E">
              <w:rPr>
                <w:lang w:val="en-AU"/>
              </w:rPr>
              <w:t xml:space="preserve"> </w:t>
            </w:r>
            <w:r w:rsidRPr="00C6052E">
              <w:rPr>
                <w:lang w:val="en-AU"/>
              </w:rPr>
              <w:t>funded</w:t>
            </w:r>
          </w:p>
          <w:p w14:paraId="07EA5976" w14:textId="151069CB" w:rsidR="00C17A57" w:rsidRPr="00C6052E" w:rsidRDefault="00C17A57" w:rsidP="00C17A57">
            <w:pPr>
              <w:pStyle w:val="Tablenotes-indented"/>
              <w:ind w:left="227" w:firstLine="0"/>
              <w:rPr>
                <w:lang w:val="en-AU"/>
              </w:rPr>
            </w:pPr>
            <w:r w:rsidRPr="00C6052E">
              <w:rPr>
                <w:lang w:val="en-AU"/>
              </w:rPr>
              <w:t>Lower result due to timing of funding rounds across financial years.</w:t>
            </w:r>
          </w:p>
        </w:tc>
        <w:tc>
          <w:tcPr>
            <w:tcW w:w="1020" w:type="dxa"/>
            <w:hideMark/>
          </w:tcPr>
          <w:p w14:paraId="4476BF49" w14:textId="77777777" w:rsidR="00EE5BB8" w:rsidRPr="00C6052E" w:rsidRDefault="00EE5BB8" w:rsidP="00D966F0">
            <w:pPr>
              <w:pStyle w:val="TableCopy"/>
              <w:jc w:val="right"/>
              <w:rPr>
                <w:lang w:val="en-AU"/>
              </w:rPr>
            </w:pPr>
            <w:r w:rsidRPr="00C6052E">
              <w:rPr>
                <w:lang w:val="en-AU"/>
              </w:rPr>
              <w:t>number</w:t>
            </w:r>
          </w:p>
        </w:tc>
        <w:tc>
          <w:tcPr>
            <w:tcW w:w="1020" w:type="dxa"/>
            <w:noWrap/>
            <w:hideMark/>
          </w:tcPr>
          <w:p w14:paraId="1A952EEF" w14:textId="77777777" w:rsidR="00EE5BB8" w:rsidRPr="00C6052E" w:rsidRDefault="00EE5BB8" w:rsidP="00D966F0">
            <w:pPr>
              <w:pStyle w:val="TableCopy"/>
              <w:jc w:val="right"/>
              <w:rPr>
                <w:lang w:val="en-AU"/>
              </w:rPr>
            </w:pPr>
            <w:r w:rsidRPr="00C6052E">
              <w:rPr>
                <w:lang w:val="en-AU"/>
              </w:rPr>
              <w:t>137</w:t>
            </w:r>
          </w:p>
        </w:tc>
        <w:tc>
          <w:tcPr>
            <w:tcW w:w="1020" w:type="dxa"/>
            <w:noWrap/>
            <w:hideMark/>
          </w:tcPr>
          <w:p w14:paraId="68365160" w14:textId="77777777" w:rsidR="00EE5BB8" w:rsidRPr="00C6052E" w:rsidRDefault="00EE5BB8" w:rsidP="00D966F0">
            <w:pPr>
              <w:pStyle w:val="TableCopy"/>
              <w:jc w:val="right"/>
              <w:rPr>
                <w:lang w:val="en-AU"/>
              </w:rPr>
            </w:pPr>
            <w:r w:rsidRPr="00C6052E">
              <w:rPr>
                <w:lang w:val="en-AU"/>
              </w:rPr>
              <w:t>154</w:t>
            </w:r>
          </w:p>
        </w:tc>
        <w:tc>
          <w:tcPr>
            <w:tcW w:w="1361" w:type="dxa"/>
            <w:noWrap/>
            <w:hideMark/>
          </w:tcPr>
          <w:p w14:paraId="06DCC5D1" w14:textId="77777777" w:rsidR="00EE5BB8" w:rsidRPr="00C6052E" w:rsidRDefault="00EE5BB8" w:rsidP="00D966F0">
            <w:pPr>
              <w:pStyle w:val="TableCopy"/>
              <w:jc w:val="right"/>
              <w:rPr>
                <w:lang w:val="en-AU"/>
              </w:rPr>
            </w:pPr>
            <w:r w:rsidRPr="00C6052E">
              <w:rPr>
                <w:lang w:val="en-AU"/>
              </w:rPr>
              <w:t>-11.0%</w:t>
            </w:r>
          </w:p>
        </w:tc>
        <w:tc>
          <w:tcPr>
            <w:tcW w:w="824" w:type="dxa"/>
            <w:noWrap/>
            <w:hideMark/>
          </w:tcPr>
          <w:p w14:paraId="5E9D92A7" w14:textId="77777777" w:rsidR="00EE5BB8" w:rsidRPr="00C6052E" w:rsidRDefault="00EE5BB8" w:rsidP="00D966F0">
            <w:pPr>
              <w:pStyle w:val="TableCopy"/>
              <w:jc w:val="right"/>
              <w:rPr>
                <w:lang w:val="en-AU"/>
              </w:rPr>
            </w:pPr>
            <w:r w:rsidRPr="00C6052E">
              <w:rPr>
                <w:lang w:val="en-AU"/>
              </w:rPr>
              <w:t>3</w:t>
            </w:r>
          </w:p>
        </w:tc>
      </w:tr>
      <w:tr w:rsidR="00EE5BB8" w:rsidRPr="00C6052E" w14:paraId="140967CB" w14:textId="77777777" w:rsidTr="0063097D">
        <w:tc>
          <w:tcPr>
            <w:tcW w:w="4531" w:type="dxa"/>
            <w:hideMark/>
          </w:tcPr>
          <w:p w14:paraId="60731CD9" w14:textId="77777777" w:rsidR="00EE5BB8" w:rsidRDefault="00EE5BB8" w:rsidP="0063097D">
            <w:pPr>
              <w:pStyle w:val="TableCopy"/>
              <w:rPr>
                <w:lang w:val="en-AU"/>
              </w:rPr>
            </w:pPr>
            <w:r w:rsidRPr="00C6052E">
              <w:rPr>
                <w:lang w:val="en-AU"/>
              </w:rPr>
              <w:t>Project</w:t>
            </w:r>
            <w:r w:rsidR="00177848" w:rsidRPr="00C6052E">
              <w:rPr>
                <w:lang w:val="en-AU"/>
              </w:rPr>
              <w:t xml:space="preserve"> </w:t>
            </w:r>
            <w:r w:rsidRPr="00C6052E">
              <w:rPr>
                <w:lang w:val="en-AU"/>
              </w:rPr>
              <w:t>companies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artists</w:t>
            </w:r>
            <w:r w:rsidR="00177848" w:rsidRPr="00C6052E">
              <w:rPr>
                <w:lang w:val="en-AU"/>
              </w:rPr>
              <w:t xml:space="preserve"> </w:t>
            </w:r>
            <w:r w:rsidRPr="00C6052E">
              <w:rPr>
                <w:lang w:val="en-AU"/>
              </w:rPr>
              <w:t>funded*</w:t>
            </w:r>
          </w:p>
          <w:p w14:paraId="2ABDD492" w14:textId="735AEB3A" w:rsidR="00C17A57" w:rsidRPr="00C6052E" w:rsidRDefault="00C17A57" w:rsidP="00C17A57">
            <w:pPr>
              <w:pStyle w:val="Tablenotes-indented"/>
              <w:ind w:left="227" w:firstLine="0"/>
              <w:rPr>
                <w:lang w:val="en-AU"/>
              </w:rPr>
            </w:pPr>
            <w:r w:rsidRPr="00C6052E">
              <w:rPr>
                <w:lang w:val="en-AU"/>
              </w:rPr>
              <w:t>Higher result due to timing of the funding round which resulted in more grants than expected commencing in Q1 2024-25.</w:t>
            </w:r>
          </w:p>
        </w:tc>
        <w:tc>
          <w:tcPr>
            <w:tcW w:w="1020" w:type="dxa"/>
            <w:hideMark/>
          </w:tcPr>
          <w:p w14:paraId="4F90A0AE" w14:textId="77777777" w:rsidR="00EE5BB8" w:rsidRPr="00C6052E" w:rsidRDefault="00EE5BB8" w:rsidP="00D966F0">
            <w:pPr>
              <w:pStyle w:val="TableCopy"/>
              <w:jc w:val="right"/>
              <w:rPr>
                <w:lang w:val="en-AU"/>
              </w:rPr>
            </w:pPr>
            <w:r w:rsidRPr="00C6052E">
              <w:rPr>
                <w:lang w:val="en-AU"/>
              </w:rPr>
              <w:t>number</w:t>
            </w:r>
          </w:p>
        </w:tc>
        <w:tc>
          <w:tcPr>
            <w:tcW w:w="1020" w:type="dxa"/>
            <w:noWrap/>
            <w:hideMark/>
          </w:tcPr>
          <w:p w14:paraId="7A712386" w14:textId="77777777" w:rsidR="00EE5BB8" w:rsidRPr="00C6052E" w:rsidRDefault="00EE5BB8" w:rsidP="00D966F0">
            <w:pPr>
              <w:pStyle w:val="TableCopy"/>
              <w:jc w:val="right"/>
              <w:rPr>
                <w:lang w:val="en-AU"/>
              </w:rPr>
            </w:pPr>
            <w:r w:rsidRPr="00C6052E">
              <w:rPr>
                <w:lang w:val="en-AU"/>
              </w:rPr>
              <w:t>477</w:t>
            </w:r>
          </w:p>
        </w:tc>
        <w:tc>
          <w:tcPr>
            <w:tcW w:w="1020" w:type="dxa"/>
            <w:noWrap/>
            <w:hideMark/>
          </w:tcPr>
          <w:p w14:paraId="616CD698" w14:textId="77777777" w:rsidR="00EE5BB8" w:rsidRPr="00C6052E" w:rsidRDefault="00EE5BB8" w:rsidP="00D966F0">
            <w:pPr>
              <w:pStyle w:val="TableCopy"/>
              <w:jc w:val="right"/>
              <w:rPr>
                <w:lang w:val="en-AU"/>
              </w:rPr>
            </w:pPr>
            <w:r w:rsidRPr="00C6052E">
              <w:rPr>
                <w:lang w:val="en-AU"/>
              </w:rPr>
              <w:t>350</w:t>
            </w:r>
          </w:p>
        </w:tc>
        <w:tc>
          <w:tcPr>
            <w:tcW w:w="1361" w:type="dxa"/>
            <w:noWrap/>
            <w:hideMark/>
          </w:tcPr>
          <w:p w14:paraId="27717C6E" w14:textId="77777777" w:rsidR="00EE5BB8" w:rsidRPr="00C6052E" w:rsidRDefault="00EE5BB8" w:rsidP="00D966F0">
            <w:pPr>
              <w:pStyle w:val="TableCopy"/>
              <w:jc w:val="right"/>
              <w:rPr>
                <w:lang w:val="en-AU"/>
              </w:rPr>
            </w:pPr>
            <w:r w:rsidRPr="00C6052E">
              <w:rPr>
                <w:lang w:val="en-AU"/>
              </w:rPr>
              <w:t>36.3%</w:t>
            </w:r>
          </w:p>
        </w:tc>
        <w:tc>
          <w:tcPr>
            <w:tcW w:w="824" w:type="dxa"/>
            <w:noWrap/>
            <w:hideMark/>
          </w:tcPr>
          <w:p w14:paraId="47BF616D" w14:textId="77777777" w:rsidR="00EE5BB8" w:rsidRPr="00C6052E" w:rsidRDefault="00EE5BB8" w:rsidP="00D966F0">
            <w:pPr>
              <w:pStyle w:val="TableCopy"/>
              <w:jc w:val="right"/>
              <w:rPr>
                <w:lang w:val="en-AU"/>
              </w:rPr>
            </w:pPr>
            <w:r w:rsidRPr="00C6052E">
              <w:rPr>
                <w:lang w:val="en-AU"/>
              </w:rPr>
              <w:t>1</w:t>
            </w:r>
          </w:p>
        </w:tc>
      </w:tr>
      <w:tr w:rsidR="00EE5BB8" w:rsidRPr="00C6052E" w14:paraId="2A093D43" w14:textId="77777777" w:rsidTr="0063097D">
        <w:tc>
          <w:tcPr>
            <w:tcW w:w="4531" w:type="dxa"/>
            <w:hideMark/>
          </w:tcPr>
          <w:p w14:paraId="497C695C" w14:textId="72FD969E" w:rsidR="00EE5BB8" w:rsidRPr="00C6052E" w:rsidRDefault="00EE5BB8" w:rsidP="0063097D">
            <w:pPr>
              <w:pStyle w:val="TableCopy"/>
              <w:rPr>
                <w:lang w:val="en-AU"/>
              </w:rPr>
            </w:pPr>
            <w:r w:rsidRPr="00C6052E">
              <w:rPr>
                <w:lang w:val="en-AU"/>
              </w:rPr>
              <w:t>Project</w:t>
            </w:r>
            <w:r w:rsidR="00177848" w:rsidRPr="00C6052E">
              <w:rPr>
                <w:lang w:val="en-AU"/>
              </w:rPr>
              <w:t xml:space="preserve"> </w:t>
            </w:r>
            <w:r w:rsidRPr="00C6052E">
              <w:rPr>
                <w:lang w:val="en-AU"/>
              </w:rPr>
              <w:t>companies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artists</w:t>
            </w:r>
            <w:r w:rsidR="00177848" w:rsidRPr="00C6052E">
              <w:rPr>
                <w:lang w:val="en-AU"/>
              </w:rPr>
              <w:t xml:space="preserve"> </w:t>
            </w:r>
            <w:r w:rsidRPr="00C6052E">
              <w:rPr>
                <w:lang w:val="en-AU"/>
              </w:rPr>
              <w:t>funded</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regionally</w:t>
            </w:r>
            <w:r w:rsidR="00177848" w:rsidRPr="00C6052E">
              <w:rPr>
                <w:lang w:val="en-AU"/>
              </w:rPr>
              <w:t xml:space="preserve"> </w:t>
            </w:r>
            <w:r w:rsidRPr="00C6052E">
              <w:rPr>
                <w:lang w:val="en-AU"/>
              </w:rPr>
              <w:t>based</w:t>
            </w:r>
          </w:p>
        </w:tc>
        <w:tc>
          <w:tcPr>
            <w:tcW w:w="1020" w:type="dxa"/>
            <w:hideMark/>
          </w:tcPr>
          <w:p w14:paraId="44E2D35A" w14:textId="52B5D36F" w:rsidR="00EE5BB8" w:rsidRPr="00C6052E" w:rsidRDefault="00EE5BB8" w:rsidP="00D966F0">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4CD2F0DF" w14:textId="77777777" w:rsidR="00EE5BB8" w:rsidRPr="00C6052E" w:rsidRDefault="00EE5BB8" w:rsidP="00D966F0">
            <w:pPr>
              <w:pStyle w:val="TableCopy"/>
              <w:jc w:val="right"/>
              <w:rPr>
                <w:lang w:val="en-AU"/>
              </w:rPr>
            </w:pPr>
            <w:r w:rsidRPr="00C6052E">
              <w:rPr>
                <w:lang w:val="en-AU"/>
              </w:rPr>
              <w:t>23</w:t>
            </w:r>
          </w:p>
        </w:tc>
        <w:tc>
          <w:tcPr>
            <w:tcW w:w="1020" w:type="dxa"/>
            <w:noWrap/>
            <w:hideMark/>
          </w:tcPr>
          <w:p w14:paraId="536F784C" w14:textId="77777777" w:rsidR="00EE5BB8" w:rsidRPr="00C6052E" w:rsidRDefault="00EE5BB8" w:rsidP="00D966F0">
            <w:pPr>
              <w:pStyle w:val="TableCopy"/>
              <w:jc w:val="right"/>
              <w:rPr>
                <w:lang w:val="en-AU"/>
              </w:rPr>
            </w:pPr>
            <w:r w:rsidRPr="00C6052E">
              <w:rPr>
                <w:lang w:val="en-AU"/>
              </w:rPr>
              <w:t>23</w:t>
            </w:r>
          </w:p>
        </w:tc>
        <w:tc>
          <w:tcPr>
            <w:tcW w:w="1361" w:type="dxa"/>
            <w:noWrap/>
            <w:hideMark/>
          </w:tcPr>
          <w:p w14:paraId="7666DAEA" w14:textId="77777777" w:rsidR="00EE5BB8" w:rsidRPr="00C6052E" w:rsidRDefault="00EE5BB8" w:rsidP="00D966F0">
            <w:pPr>
              <w:pStyle w:val="TableCopy"/>
              <w:jc w:val="right"/>
              <w:rPr>
                <w:lang w:val="en-AU"/>
              </w:rPr>
            </w:pPr>
            <w:r w:rsidRPr="00C6052E">
              <w:rPr>
                <w:lang w:val="en-AU"/>
              </w:rPr>
              <w:t>0.0%</w:t>
            </w:r>
          </w:p>
        </w:tc>
        <w:tc>
          <w:tcPr>
            <w:tcW w:w="824" w:type="dxa"/>
            <w:noWrap/>
            <w:hideMark/>
          </w:tcPr>
          <w:p w14:paraId="62E94502" w14:textId="77777777" w:rsidR="00EE5BB8" w:rsidRPr="00C6052E" w:rsidRDefault="00EE5BB8" w:rsidP="00D966F0">
            <w:pPr>
              <w:pStyle w:val="TableCopy"/>
              <w:jc w:val="right"/>
              <w:rPr>
                <w:lang w:val="en-AU"/>
              </w:rPr>
            </w:pPr>
            <w:r w:rsidRPr="00C6052E">
              <w:rPr>
                <w:lang w:val="en-AU"/>
              </w:rPr>
              <w:t>1</w:t>
            </w:r>
          </w:p>
        </w:tc>
      </w:tr>
      <w:tr w:rsidR="00EE5BB8" w:rsidRPr="00C6052E" w14:paraId="5D481B37" w14:textId="77777777" w:rsidTr="0063097D">
        <w:tc>
          <w:tcPr>
            <w:tcW w:w="4531" w:type="dxa"/>
            <w:hideMark/>
          </w:tcPr>
          <w:p w14:paraId="31343E59" w14:textId="77777777" w:rsidR="00EE5BB8" w:rsidRDefault="00EE5BB8" w:rsidP="00445EF8">
            <w:pPr>
              <w:pStyle w:val="TableCopy"/>
              <w:keepNext/>
              <w:rPr>
                <w:lang w:val="en-AU"/>
              </w:rPr>
            </w:pPr>
            <w:r w:rsidRPr="00C6052E">
              <w:rPr>
                <w:lang w:val="en-AU"/>
              </w:rPr>
              <w:lastRenderedPageBreak/>
              <w:t>Regionally</w:t>
            </w:r>
            <w:r w:rsidR="00177848" w:rsidRPr="00C6052E">
              <w:rPr>
                <w:lang w:val="en-AU"/>
              </w:rPr>
              <w:t xml:space="preserve"> </w:t>
            </w:r>
            <w:r w:rsidRPr="00C6052E">
              <w:rPr>
                <w:lang w:val="en-AU"/>
              </w:rPr>
              <w:t>based</w:t>
            </w:r>
            <w:r w:rsidR="00177848" w:rsidRPr="00C6052E">
              <w:rPr>
                <w:lang w:val="en-AU"/>
              </w:rPr>
              <w:t xml:space="preserve"> </w:t>
            </w:r>
            <w:r w:rsidRPr="00C6052E">
              <w:rPr>
                <w:lang w:val="en-AU"/>
              </w:rPr>
              <w:t>organisations</w:t>
            </w:r>
            <w:r w:rsidR="00177848" w:rsidRPr="00C6052E">
              <w:rPr>
                <w:lang w:val="en-AU"/>
              </w:rPr>
              <w:t xml:space="preserve"> </w:t>
            </w:r>
            <w:r w:rsidRPr="00C6052E">
              <w:rPr>
                <w:lang w:val="en-AU"/>
              </w:rPr>
              <w:t>recurrently</w:t>
            </w:r>
            <w:r w:rsidR="00177848" w:rsidRPr="00C6052E">
              <w:rPr>
                <w:lang w:val="en-AU"/>
              </w:rPr>
              <w:t xml:space="preserve"> </w:t>
            </w:r>
            <w:r w:rsidRPr="00C6052E">
              <w:rPr>
                <w:lang w:val="en-AU"/>
              </w:rPr>
              <w:t>funded</w:t>
            </w:r>
          </w:p>
          <w:p w14:paraId="3F7FFD85" w14:textId="39B5144A" w:rsidR="00C17A57" w:rsidRPr="00C6052E" w:rsidRDefault="00C17A57" w:rsidP="00C17A57">
            <w:pPr>
              <w:pStyle w:val="Tablenotes-indented"/>
              <w:ind w:left="227" w:firstLine="0"/>
              <w:rPr>
                <w:lang w:val="en-AU"/>
              </w:rPr>
            </w:pPr>
            <w:r w:rsidRPr="00C6052E">
              <w:rPr>
                <w:lang w:val="en-AU"/>
              </w:rPr>
              <w:t>Lower result due to timing of funding rounds across financial years.</w:t>
            </w:r>
          </w:p>
        </w:tc>
        <w:tc>
          <w:tcPr>
            <w:tcW w:w="1020" w:type="dxa"/>
            <w:hideMark/>
          </w:tcPr>
          <w:p w14:paraId="2C2DAA6A" w14:textId="77777777" w:rsidR="00EE5BB8" w:rsidRPr="00C6052E" w:rsidRDefault="00EE5BB8" w:rsidP="00D966F0">
            <w:pPr>
              <w:pStyle w:val="TableCopy"/>
              <w:keepNext/>
              <w:jc w:val="right"/>
              <w:rPr>
                <w:lang w:val="en-AU"/>
              </w:rPr>
            </w:pPr>
            <w:r w:rsidRPr="00C6052E">
              <w:rPr>
                <w:lang w:val="en-AU"/>
              </w:rPr>
              <w:t>number</w:t>
            </w:r>
          </w:p>
        </w:tc>
        <w:tc>
          <w:tcPr>
            <w:tcW w:w="1020" w:type="dxa"/>
            <w:noWrap/>
            <w:hideMark/>
          </w:tcPr>
          <w:p w14:paraId="6EEF68D7" w14:textId="77777777" w:rsidR="00EE5BB8" w:rsidRPr="00C6052E" w:rsidRDefault="00EE5BB8" w:rsidP="00D966F0">
            <w:pPr>
              <w:pStyle w:val="TableCopy"/>
              <w:keepNext/>
              <w:jc w:val="right"/>
              <w:rPr>
                <w:lang w:val="en-AU"/>
              </w:rPr>
            </w:pPr>
            <w:r w:rsidRPr="00C6052E">
              <w:rPr>
                <w:lang w:val="en-AU"/>
              </w:rPr>
              <w:t>48</w:t>
            </w:r>
          </w:p>
        </w:tc>
        <w:tc>
          <w:tcPr>
            <w:tcW w:w="1020" w:type="dxa"/>
            <w:noWrap/>
            <w:hideMark/>
          </w:tcPr>
          <w:p w14:paraId="7195F31E" w14:textId="77777777" w:rsidR="00EE5BB8" w:rsidRPr="00C6052E" w:rsidRDefault="00EE5BB8" w:rsidP="00D966F0">
            <w:pPr>
              <w:pStyle w:val="TableCopy"/>
              <w:keepNext/>
              <w:jc w:val="right"/>
              <w:rPr>
                <w:lang w:val="en-AU"/>
              </w:rPr>
            </w:pPr>
            <w:r w:rsidRPr="00C6052E">
              <w:rPr>
                <w:lang w:val="en-AU"/>
              </w:rPr>
              <w:t>56</w:t>
            </w:r>
          </w:p>
        </w:tc>
        <w:tc>
          <w:tcPr>
            <w:tcW w:w="1361" w:type="dxa"/>
            <w:noWrap/>
            <w:hideMark/>
          </w:tcPr>
          <w:p w14:paraId="209CBF36" w14:textId="77777777" w:rsidR="00EE5BB8" w:rsidRPr="00C6052E" w:rsidRDefault="00EE5BB8" w:rsidP="00D966F0">
            <w:pPr>
              <w:pStyle w:val="TableCopy"/>
              <w:keepNext/>
              <w:jc w:val="right"/>
              <w:rPr>
                <w:lang w:val="en-AU"/>
              </w:rPr>
            </w:pPr>
            <w:r w:rsidRPr="00C6052E">
              <w:rPr>
                <w:lang w:val="en-AU"/>
              </w:rPr>
              <w:t>-14.3%</w:t>
            </w:r>
          </w:p>
        </w:tc>
        <w:tc>
          <w:tcPr>
            <w:tcW w:w="824" w:type="dxa"/>
            <w:noWrap/>
            <w:hideMark/>
          </w:tcPr>
          <w:p w14:paraId="38603117" w14:textId="77777777" w:rsidR="00EE5BB8" w:rsidRPr="00C6052E" w:rsidRDefault="00EE5BB8" w:rsidP="00D966F0">
            <w:pPr>
              <w:pStyle w:val="TableCopy"/>
              <w:keepNext/>
              <w:jc w:val="right"/>
              <w:rPr>
                <w:lang w:val="en-AU"/>
              </w:rPr>
            </w:pPr>
            <w:r w:rsidRPr="00C6052E">
              <w:rPr>
                <w:lang w:val="en-AU"/>
              </w:rPr>
              <w:t>3</w:t>
            </w:r>
          </w:p>
        </w:tc>
      </w:tr>
      <w:tr w:rsidR="00EE5BB8" w:rsidRPr="00C6052E" w14:paraId="1E2AAD3B" w14:textId="77777777" w:rsidTr="0063097D">
        <w:tc>
          <w:tcPr>
            <w:tcW w:w="4531" w:type="dxa"/>
          </w:tcPr>
          <w:p w14:paraId="44B213B5" w14:textId="77777777" w:rsidR="00EE5BB8" w:rsidRPr="00C6052E" w:rsidRDefault="00EE5BB8" w:rsidP="0063097D">
            <w:pPr>
              <w:pStyle w:val="TableHeading"/>
              <w:rPr>
                <w:lang w:val="en-AU"/>
              </w:rPr>
            </w:pPr>
            <w:r w:rsidRPr="00C6052E">
              <w:rPr>
                <w:lang w:val="en-AU"/>
              </w:rPr>
              <w:t>Quality</w:t>
            </w:r>
          </w:p>
        </w:tc>
        <w:tc>
          <w:tcPr>
            <w:tcW w:w="1020" w:type="dxa"/>
          </w:tcPr>
          <w:p w14:paraId="7EAAE1DD" w14:textId="77777777" w:rsidR="00EE5BB8" w:rsidRPr="00C6052E" w:rsidRDefault="00EE5BB8" w:rsidP="00D966F0">
            <w:pPr>
              <w:pStyle w:val="TableHeading"/>
              <w:jc w:val="right"/>
              <w:rPr>
                <w:lang w:val="en-AU"/>
              </w:rPr>
            </w:pPr>
          </w:p>
        </w:tc>
        <w:tc>
          <w:tcPr>
            <w:tcW w:w="1020" w:type="dxa"/>
            <w:noWrap/>
          </w:tcPr>
          <w:p w14:paraId="7CA7D6B0" w14:textId="77777777" w:rsidR="00EE5BB8" w:rsidRPr="00C6052E" w:rsidRDefault="00EE5BB8" w:rsidP="00D966F0">
            <w:pPr>
              <w:pStyle w:val="TableHeading"/>
              <w:jc w:val="right"/>
              <w:rPr>
                <w:lang w:val="en-AU"/>
              </w:rPr>
            </w:pPr>
          </w:p>
        </w:tc>
        <w:tc>
          <w:tcPr>
            <w:tcW w:w="1020" w:type="dxa"/>
            <w:noWrap/>
          </w:tcPr>
          <w:p w14:paraId="4DE4246F" w14:textId="77777777" w:rsidR="00EE5BB8" w:rsidRPr="00C6052E" w:rsidRDefault="00EE5BB8" w:rsidP="00D966F0">
            <w:pPr>
              <w:pStyle w:val="TableHeading"/>
              <w:jc w:val="right"/>
              <w:rPr>
                <w:lang w:val="en-AU"/>
              </w:rPr>
            </w:pPr>
          </w:p>
        </w:tc>
        <w:tc>
          <w:tcPr>
            <w:tcW w:w="1361" w:type="dxa"/>
            <w:noWrap/>
          </w:tcPr>
          <w:p w14:paraId="445691F6" w14:textId="77777777" w:rsidR="00EE5BB8" w:rsidRPr="00C6052E" w:rsidRDefault="00EE5BB8" w:rsidP="00D966F0">
            <w:pPr>
              <w:pStyle w:val="TableHeading"/>
              <w:jc w:val="right"/>
              <w:rPr>
                <w:lang w:val="en-AU"/>
              </w:rPr>
            </w:pPr>
          </w:p>
        </w:tc>
        <w:tc>
          <w:tcPr>
            <w:tcW w:w="824" w:type="dxa"/>
            <w:noWrap/>
          </w:tcPr>
          <w:p w14:paraId="482A69D3" w14:textId="77777777" w:rsidR="00EE5BB8" w:rsidRPr="00C6052E" w:rsidRDefault="00EE5BB8" w:rsidP="00D966F0">
            <w:pPr>
              <w:pStyle w:val="TableHeading"/>
              <w:jc w:val="right"/>
              <w:rPr>
                <w:lang w:val="en-AU"/>
              </w:rPr>
            </w:pPr>
          </w:p>
        </w:tc>
      </w:tr>
      <w:tr w:rsidR="00EE5BB8" w:rsidRPr="00C6052E" w14:paraId="79E4D497" w14:textId="77777777" w:rsidTr="0063097D">
        <w:tc>
          <w:tcPr>
            <w:tcW w:w="4531" w:type="dxa"/>
            <w:hideMark/>
          </w:tcPr>
          <w:p w14:paraId="66446149" w14:textId="46713DC2" w:rsidR="00EE5BB8" w:rsidRPr="00C6052E" w:rsidRDefault="00EE5BB8" w:rsidP="0063097D">
            <w:pPr>
              <w:pStyle w:val="TableCopy"/>
              <w:rPr>
                <w:lang w:val="en-AU"/>
              </w:rPr>
            </w:pPr>
            <w:r w:rsidRPr="00C6052E">
              <w:rPr>
                <w:lang w:val="en-AU"/>
              </w:rPr>
              <w:t>Creative</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grant</w:t>
            </w:r>
            <w:r w:rsidR="00177848" w:rsidRPr="00C6052E">
              <w:rPr>
                <w:lang w:val="en-AU"/>
              </w:rPr>
              <w:t xml:space="preserve"> </w:t>
            </w:r>
            <w:r w:rsidRPr="00C6052E">
              <w:rPr>
                <w:lang w:val="en-AU"/>
              </w:rPr>
              <w:t>recipients</w:t>
            </w:r>
            <w:r w:rsidR="00177848" w:rsidRPr="00C6052E">
              <w:rPr>
                <w:lang w:val="en-AU"/>
              </w:rPr>
              <w:t xml:space="preserve"> </w:t>
            </w:r>
            <w:r w:rsidRPr="00C6052E">
              <w:rPr>
                <w:lang w:val="en-AU"/>
              </w:rPr>
              <w:t>who</w:t>
            </w:r>
            <w:r w:rsidR="00177848" w:rsidRPr="00C6052E">
              <w:rPr>
                <w:lang w:val="en-AU"/>
              </w:rPr>
              <w:t xml:space="preserve"> </w:t>
            </w:r>
            <w:r w:rsidRPr="00C6052E">
              <w:rPr>
                <w:lang w:val="en-AU"/>
              </w:rPr>
              <w:t>met</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exceeded</w:t>
            </w:r>
            <w:r w:rsidR="00177848" w:rsidRPr="00C6052E">
              <w:rPr>
                <w:lang w:val="en-AU"/>
              </w:rPr>
              <w:t xml:space="preserve"> </w:t>
            </w:r>
            <w:r w:rsidRPr="00C6052E">
              <w:rPr>
                <w:lang w:val="en-AU"/>
              </w:rPr>
              <w:t>agreed</w:t>
            </w:r>
            <w:r w:rsidR="00177848" w:rsidRPr="00C6052E">
              <w:rPr>
                <w:lang w:val="en-AU"/>
              </w:rPr>
              <w:t xml:space="preserve"> </w:t>
            </w:r>
            <w:r w:rsidRPr="00C6052E">
              <w:rPr>
                <w:lang w:val="en-AU"/>
              </w:rPr>
              <w:t>milestones</w:t>
            </w:r>
          </w:p>
        </w:tc>
        <w:tc>
          <w:tcPr>
            <w:tcW w:w="1020" w:type="dxa"/>
            <w:hideMark/>
          </w:tcPr>
          <w:p w14:paraId="685517D7" w14:textId="1D1FC3AE" w:rsidR="00EE5BB8" w:rsidRPr="00C6052E" w:rsidRDefault="00EE5BB8" w:rsidP="00D966F0">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238089A5" w14:textId="77777777" w:rsidR="00EE5BB8" w:rsidRPr="00C6052E" w:rsidRDefault="00EE5BB8" w:rsidP="00D966F0">
            <w:pPr>
              <w:pStyle w:val="TableCopy"/>
              <w:jc w:val="right"/>
              <w:rPr>
                <w:lang w:val="en-AU"/>
              </w:rPr>
            </w:pPr>
            <w:r w:rsidRPr="00C6052E">
              <w:rPr>
                <w:lang w:val="en-AU"/>
              </w:rPr>
              <w:t>82</w:t>
            </w:r>
          </w:p>
        </w:tc>
        <w:tc>
          <w:tcPr>
            <w:tcW w:w="1020" w:type="dxa"/>
            <w:noWrap/>
            <w:hideMark/>
          </w:tcPr>
          <w:p w14:paraId="152D400F" w14:textId="77777777" w:rsidR="00EE5BB8" w:rsidRPr="00C6052E" w:rsidRDefault="00EE5BB8" w:rsidP="00D966F0">
            <w:pPr>
              <w:pStyle w:val="TableCopy"/>
              <w:jc w:val="right"/>
              <w:rPr>
                <w:lang w:val="en-AU"/>
              </w:rPr>
            </w:pPr>
            <w:r w:rsidRPr="00C6052E">
              <w:rPr>
                <w:lang w:val="en-AU"/>
              </w:rPr>
              <w:t>85</w:t>
            </w:r>
          </w:p>
        </w:tc>
        <w:tc>
          <w:tcPr>
            <w:tcW w:w="1361" w:type="dxa"/>
            <w:noWrap/>
            <w:hideMark/>
          </w:tcPr>
          <w:p w14:paraId="03FF2D02" w14:textId="77777777" w:rsidR="00EE5BB8" w:rsidRPr="00C6052E" w:rsidRDefault="00EE5BB8" w:rsidP="00D966F0">
            <w:pPr>
              <w:pStyle w:val="TableCopy"/>
              <w:jc w:val="right"/>
              <w:rPr>
                <w:lang w:val="en-AU"/>
              </w:rPr>
            </w:pPr>
            <w:r w:rsidRPr="00C6052E">
              <w:rPr>
                <w:lang w:val="en-AU"/>
              </w:rPr>
              <w:t>-3.5%</w:t>
            </w:r>
          </w:p>
        </w:tc>
        <w:tc>
          <w:tcPr>
            <w:tcW w:w="824" w:type="dxa"/>
            <w:noWrap/>
            <w:hideMark/>
          </w:tcPr>
          <w:p w14:paraId="6F6E69FC" w14:textId="77777777" w:rsidR="00EE5BB8" w:rsidRPr="00C6052E" w:rsidRDefault="00EE5BB8" w:rsidP="00D966F0">
            <w:pPr>
              <w:pStyle w:val="TableCopy"/>
              <w:jc w:val="right"/>
              <w:rPr>
                <w:lang w:val="en-AU"/>
              </w:rPr>
            </w:pPr>
            <w:r w:rsidRPr="00C6052E">
              <w:rPr>
                <w:lang w:val="en-AU"/>
              </w:rPr>
              <w:t>2</w:t>
            </w:r>
          </w:p>
        </w:tc>
      </w:tr>
      <w:tr w:rsidR="00EE5BB8" w:rsidRPr="00C6052E" w14:paraId="7CA1940E" w14:textId="77777777" w:rsidTr="0063097D">
        <w:tc>
          <w:tcPr>
            <w:tcW w:w="4531" w:type="dxa"/>
            <w:hideMark/>
          </w:tcPr>
          <w:p w14:paraId="6B0F7304" w14:textId="77777777" w:rsidR="00EE5BB8" w:rsidRDefault="00EE5BB8" w:rsidP="0063097D">
            <w:pPr>
              <w:pStyle w:val="TableCopy"/>
              <w:rPr>
                <w:lang w:val="en-AU"/>
              </w:rPr>
            </w:pPr>
            <w:r w:rsidRPr="00C6052E">
              <w:rPr>
                <w:lang w:val="en-AU"/>
              </w:rPr>
              <w:t>Public</w:t>
            </w:r>
            <w:r w:rsidR="00177848" w:rsidRPr="00C6052E">
              <w:rPr>
                <w:lang w:val="en-AU"/>
              </w:rPr>
              <w:t xml:space="preserve"> </w:t>
            </w:r>
            <w:r w:rsidRPr="00C6052E">
              <w:rPr>
                <w:lang w:val="en-AU"/>
              </w:rPr>
              <w:t>information</w:t>
            </w:r>
            <w:r w:rsidR="00177848" w:rsidRPr="00C6052E">
              <w:rPr>
                <w:lang w:val="en-AU"/>
              </w:rPr>
              <w:t xml:space="preserve"> </w:t>
            </w:r>
            <w:r w:rsidRPr="00C6052E">
              <w:rPr>
                <w:lang w:val="en-AU"/>
              </w:rPr>
              <w:t>rated</w:t>
            </w:r>
            <w:r w:rsidR="00177848" w:rsidRPr="00C6052E">
              <w:rPr>
                <w:lang w:val="en-AU"/>
              </w:rPr>
              <w:t xml:space="preserve"> </w:t>
            </w:r>
            <w:r w:rsidRPr="00C6052E">
              <w:rPr>
                <w:lang w:val="en-AU"/>
              </w:rPr>
              <w:t>‘informative’</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‘very</w:t>
            </w:r>
            <w:r w:rsidR="00177848" w:rsidRPr="00C6052E">
              <w:rPr>
                <w:lang w:val="en-AU"/>
              </w:rPr>
              <w:t xml:space="preserve"> </w:t>
            </w:r>
            <w:r w:rsidRPr="00C6052E">
              <w:rPr>
                <w:lang w:val="en-AU"/>
              </w:rPr>
              <w:t>informative’</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grant</w:t>
            </w:r>
            <w:r w:rsidR="00177848" w:rsidRPr="00C6052E">
              <w:rPr>
                <w:lang w:val="en-AU"/>
              </w:rPr>
              <w:t xml:space="preserve"> </w:t>
            </w:r>
            <w:r w:rsidRPr="00C6052E">
              <w:rPr>
                <w:lang w:val="en-AU"/>
              </w:rPr>
              <w:t>applicants</w:t>
            </w:r>
          </w:p>
          <w:p w14:paraId="5ABCA25C" w14:textId="6571810D" w:rsidR="00C17A57" w:rsidRPr="00C6052E" w:rsidRDefault="00C17A57" w:rsidP="00C17A57">
            <w:pPr>
              <w:pStyle w:val="Tablenotes-indented"/>
              <w:ind w:left="227" w:firstLine="0"/>
              <w:rPr>
                <w:lang w:val="en-AU"/>
              </w:rPr>
            </w:pPr>
            <w:r w:rsidRPr="00C6052E">
              <w:rPr>
                <w:lang w:val="en-AU"/>
              </w:rPr>
              <w:t>Lower result due to an increased number of lower value grants awarded to first time applicants.</w:t>
            </w:r>
          </w:p>
        </w:tc>
        <w:tc>
          <w:tcPr>
            <w:tcW w:w="1020" w:type="dxa"/>
            <w:hideMark/>
          </w:tcPr>
          <w:p w14:paraId="11AD86DB" w14:textId="74178646" w:rsidR="00EE5BB8" w:rsidRPr="00C6052E" w:rsidRDefault="00EE5BB8" w:rsidP="00D966F0">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491B3475" w14:textId="77777777" w:rsidR="00EE5BB8" w:rsidRPr="00C6052E" w:rsidRDefault="00EE5BB8" w:rsidP="00D966F0">
            <w:pPr>
              <w:pStyle w:val="TableCopy"/>
              <w:jc w:val="right"/>
              <w:rPr>
                <w:lang w:val="en-AU"/>
              </w:rPr>
            </w:pPr>
            <w:r w:rsidRPr="00C6052E">
              <w:rPr>
                <w:lang w:val="en-AU"/>
              </w:rPr>
              <w:t>79</w:t>
            </w:r>
          </w:p>
        </w:tc>
        <w:tc>
          <w:tcPr>
            <w:tcW w:w="1020" w:type="dxa"/>
            <w:noWrap/>
            <w:hideMark/>
          </w:tcPr>
          <w:p w14:paraId="33B84F7C" w14:textId="77777777" w:rsidR="00EE5BB8" w:rsidRPr="00C6052E" w:rsidRDefault="00EE5BB8" w:rsidP="00D966F0">
            <w:pPr>
              <w:pStyle w:val="TableCopy"/>
              <w:jc w:val="right"/>
              <w:rPr>
                <w:lang w:val="en-AU"/>
              </w:rPr>
            </w:pPr>
            <w:r w:rsidRPr="00C6052E">
              <w:rPr>
                <w:lang w:val="en-AU"/>
              </w:rPr>
              <w:t>90</w:t>
            </w:r>
          </w:p>
        </w:tc>
        <w:tc>
          <w:tcPr>
            <w:tcW w:w="1361" w:type="dxa"/>
            <w:noWrap/>
            <w:hideMark/>
          </w:tcPr>
          <w:p w14:paraId="40CE1FDD" w14:textId="77777777" w:rsidR="00EE5BB8" w:rsidRPr="00C6052E" w:rsidRDefault="00EE5BB8" w:rsidP="00D966F0">
            <w:pPr>
              <w:pStyle w:val="TableCopy"/>
              <w:jc w:val="right"/>
              <w:rPr>
                <w:lang w:val="en-AU"/>
              </w:rPr>
            </w:pPr>
            <w:r w:rsidRPr="00C6052E">
              <w:rPr>
                <w:lang w:val="en-AU"/>
              </w:rPr>
              <w:t>-12.2%</w:t>
            </w:r>
          </w:p>
        </w:tc>
        <w:tc>
          <w:tcPr>
            <w:tcW w:w="824" w:type="dxa"/>
            <w:noWrap/>
            <w:hideMark/>
          </w:tcPr>
          <w:p w14:paraId="3EA936A1" w14:textId="77777777" w:rsidR="00EE5BB8" w:rsidRPr="00C6052E" w:rsidRDefault="00EE5BB8" w:rsidP="00D966F0">
            <w:pPr>
              <w:pStyle w:val="TableCopy"/>
              <w:jc w:val="right"/>
              <w:rPr>
                <w:lang w:val="en-AU"/>
              </w:rPr>
            </w:pPr>
            <w:r w:rsidRPr="00C6052E">
              <w:rPr>
                <w:lang w:val="en-AU"/>
              </w:rPr>
              <w:t>3</w:t>
            </w:r>
          </w:p>
        </w:tc>
      </w:tr>
      <w:tr w:rsidR="00EE5BB8" w:rsidRPr="00C6052E" w14:paraId="136D8361" w14:textId="77777777" w:rsidTr="0063097D">
        <w:tc>
          <w:tcPr>
            <w:tcW w:w="4531" w:type="dxa"/>
          </w:tcPr>
          <w:p w14:paraId="3458DAB7" w14:textId="77777777" w:rsidR="00EE5BB8" w:rsidRPr="00C6052E" w:rsidRDefault="00EE5BB8" w:rsidP="0063097D">
            <w:pPr>
              <w:pStyle w:val="TableHeading"/>
              <w:rPr>
                <w:lang w:val="en-AU"/>
              </w:rPr>
            </w:pPr>
            <w:r w:rsidRPr="00C6052E">
              <w:rPr>
                <w:lang w:val="en-AU"/>
              </w:rPr>
              <w:t>Timeliness</w:t>
            </w:r>
          </w:p>
        </w:tc>
        <w:tc>
          <w:tcPr>
            <w:tcW w:w="1020" w:type="dxa"/>
          </w:tcPr>
          <w:p w14:paraId="4FCB5BEC" w14:textId="77777777" w:rsidR="00EE5BB8" w:rsidRPr="00C6052E" w:rsidRDefault="00EE5BB8" w:rsidP="00D966F0">
            <w:pPr>
              <w:pStyle w:val="TableHeading"/>
              <w:jc w:val="right"/>
              <w:rPr>
                <w:lang w:val="en-AU"/>
              </w:rPr>
            </w:pPr>
          </w:p>
        </w:tc>
        <w:tc>
          <w:tcPr>
            <w:tcW w:w="1020" w:type="dxa"/>
            <w:noWrap/>
          </w:tcPr>
          <w:p w14:paraId="4792447A" w14:textId="77777777" w:rsidR="00EE5BB8" w:rsidRPr="00C6052E" w:rsidRDefault="00EE5BB8" w:rsidP="00D966F0">
            <w:pPr>
              <w:pStyle w:val="TableHeading"/>
              <w:jc w:val="right"/>
              <w:rPr>
                <w:lang w:val="en-AU"/>
              </w:rPr>
            </w:pPr>
          </w:p>
        </w:tc>
        <w:tc>
          <w:tcPr>
            <w:tcW w:w="1020" w:type="dxa"/>
            <w:noWrap/>
          </w:tcPr>
          <w:p w14:paraId="5159CAB2" w14:textId="77777777" w:rsidR="00EE5BB8" w:rsidRPr="00C6052E" w:rsidRDefault="00EE5BB8" w:rsidP="00D966F0">
            <w:pPr>
              <w:pStyle w:val="TableHeading"/>
              <w:jc w:val="right"/>
              <w:rPr>
                <w:lang w:val="en-AU"/>
              </w:rPr>
            </w:pPr>
          </w:p>
        </w:tc>
        <w:tc>
          <w:tcPr>
            <w:tcW w:w="1361" w:type="dxa"/>
            <w:noWrap/>
          </w:tcPr>
          <w:p w14:paraId="7CC1E85A" w14:textId="77777777" w:rsidR="00EE5BB8" w:rsidRPr="00C6052E" w:rsidRDefault="00EE5BB8" w:rsidP="00D966F0">
            <w:pPr>
              <w:pStyle w:val="TableHeading"/>
              <w:jc w:val="right"/>
              <w:rPr>
                <w:lang w:val="en-AU"/>
              </w:rPr>
            </w:pPr>
          </w:p>
        </w:tc>
        <w:tc>
          <w:tcPr>
            <w:tcW w:w="824" w:type="dxa"/>
            <w:noWrap/>
          </w:tcPr>
          <w:p w14:paraId="35FBAECB" w14:textId="77777777" w:rsidR="00EE5BB8" w:rsidRPr="00C6052E" w:rsidRDefault="00EE5BB8" w:rsidP="00D966F0">
            <w:pPr>
              <w:pStyle w:val="TableHeading"/>
              <w:jc w:val="right"/>
              <w:rPr>
                <w:lang w:val="en-AU"/>
              </w:rPr>
            </w:pPr>
          </w:p>
        </w:tc>
      </w:tr>
      <w:tr w:rsidR="00EE5BB8" w:rsidRPr="00C6052E" w14:paraId="110DB216" w14:textId="77777777" w:rsidTr="0063097D">
        <w:tc>
          <w:tcPr>
            <w:tcW w:w="4531" w:type="dxa"/>
            <w:hideMark/>
          </w:tcPr>
          <w:p w14:paraId="551FB439" w14:textId="77777777" w:rsidR="00EE5BB8" w:rsidRDefault="00EE5BB8" w:rsidP="0063097D">
            <w:pPr>
              <w:pStyle w:val="TableCopy"/>
              <w:rPr>
                <w:lang w:val="en-AU"/>
              </w:rPr>
            </w:pPr>
            <w:r w:rsidRPr="00C6052E">
              <w:rPr>
                <w:lang w:val="en-AU"/>
              </w:rPr>
              <w:t>Performance</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grant</w:t>
            </w:r>
            <w:r w:rsidR="00177848" w:rsidRPr="00C6052E">
              <w:rPr>
                <w:lang w:val="en-AU"/>
              </w:rPr>
              <w:t xml:space="preserve"> </w:t>
            </w:r>
            <w:r w:rsidRPr="00C6052E">
              <w:rPr>
                <w:lang w:val="en-AU"/>
              </w:rPr>
              <w:t>agreements</w:t>
            </w:r>
            <w:r w:rsidR="00177848" w:rsidRPr="00C6052E">
              <w:rPr>
                <w:lang w:val="en-AU"/>
              </w:rPr>
              <w:t xml:space="preserve"> </w:t>
            </w:r>
            <w:r w:rsidRPr="00C6052E">
              <w:rPr>
                <w:lang w:val="en-AU"/>
              </w:rPr>
              <w:t>acquitted</w:t>
            </w:r>
            <w:r w:rsidR="00177848" w:rsidRPr="00C6052E">
              <w:rPr>
                <w:lang w:val="en-AU"/>
              </w:rPr>
              <w:t xml:space="preserve"> </w:t>
            </w:r>
            <w:r w:rsidRPr="00C6052E">
              <w:rPr>
                <w:lang w:val="en-AU"/>
              </w:rPr>
              <w:t>within</w:t>
            </w:r>
            <w:r w:rsidR="00177848" w:rsidRPr="00C6052E">
              <w:rPr>
                <w:lang w:val="en-AU"/>
              </w:rPr>
              <w:t xml:space="preserve"> </w:t>
            </w:r>
            <w:r w:rsidRPr="00C6052E">
              <w:rPr>
                <w:lang w:val="en-AU"/>
              </w:rPr>
              <w:t>timeframes</w:t>
            </w:r>
            <w:r w:rsidR="00177848" w:rsidRPr="00C6052E">
              <w:rPr>
                <w:lang w:val="en-AU"/>
              </w:rPr>
              <w:t xml:space="preserve"> </w:t>
            </w:r>
            <w:r w:rsidRPr="00C6052E">
              <w:rPr>
                <w:lang w:val="en-AU"/>
              </w:rPr>
              <w:t>specified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funding</w:t>
            </w:r>
            <w:r w:rsidR="00177848" w:rsidRPr="00C6052E">
              <w:rPr>
                <w:lang w:val="en-AU"/>
              </w:rPr>
              <w:t xml:space="preserve"> </w:t>
            </w:r>
            <w:r w:rsidRPr="00C6052E">
              <w:rPr>
                <w:lang w:val="en-AU"/>
              </w:rPr>
              <w:t>agreement</w:t>
            </w:r>
          </w:p>
          <w:p w14:paraId="6B55EDB6" w14:textId="1B900E95" w:rsidR="00C17A57" w:rsidRPr="00C6052E" w:rsidRDefault="00C17A57" w:rsidP="00C17A57">
            <w:pPr>
              <w:pStyle w:val="Tablenotes-indented"/>
              <w:ind w:left="227" w:firstLine="0"/>
              <w:rPr>
                <w:lang w:val="en-AU"/>
              </w:rPr>
            </w:pPr>
            <w:r w:rsidRPr="00C6052E">
              <w:rPr>
                <w:lang w:val="en-AU"/>
              </w:rPr>
              <w:t>Lower result due to constraints in finalising acquittals at peak times.</w:t>
            </w:r>
          </w:p>
        </w:tc>
        <w:tc>
          <w:tcPr>
            <w:tcW w:w="1020" w:type="dxa"/>
            <w:hideMark/>
          </w:tcPr>
          <w:p w14:paraId="5A8D5846" w14:textId="6EFCD179" w:rsidR="00EE5BB8" w:rsidRPr="00C6052E" w:rsidRDefault="00EE5BB8" w:rsidP="00D966F0">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7B806AB0" w14:textId="77777777" w:rsidR="00EE5BB8" w:rsidRPr="00C6052E" w:rsidRDefault="00EE5BB8" w:rsidP="00D966F0">
            <w:pPr>
              <w:pStyle w:val="TableCopy"/>
              <w:jc w:val="right"/>
              <w:rPr>
                <w:lang w:val="en-AU"/>
              </w:rPr>
            </w:pPr>
            <w:r w:rsidRPr="00C6052E">
              <w:rPr>
                <w:lang w:val="en-AU"/>
              </w:rPr>
              <w:t>58</w:t>
            </w:r>
          </w:p>
        </w:tc>
        <w:tc>
          <w:tcPr>
            <w:tcW w:w="1020" w:type="dxa"/>
            <w:noWrap/>
            <w:hideMark/>
          </w:tcPr>
          <w:p w14:paraId="0889EC69" w14:textId="77777777" w:rsidR="00EE5BB8" w:rsidRPr="00C6052E" w:rsidRDefault="00EE5BB8" w:rsidP="00D966F0">
            <w:pPr>
              <w:pStyle w:val="TableCopy"/>
              <w:jc w:val="right"/>
              <w:rPr>
                <w:lang w:val="en-AU"/>
              </w:rPr>
            </w:pPr>
            <w:r w:rsidRPr="00C6052E">
              <w:rPr>
                <w:lang w:val="en-AU"/>
              </w:rPr>
              <w:t>83</w:t>
            </w:r>
          </w:p>
        </w:tc>
        <w:tc>
          <w:tcPr>
            <w:tcW w:w="1361" w:type="dxa"/>
            <w:noWrap/>
            <w:hideMark/>
          </w:tcPr>
          <w:p w14:paraId="2E3F1F09" w14:textId="77777777" w:rsidR="00EE5BB8" w:rsidRPr="00C6052E" w:rsidRDefault="00EE5BB8" w:rsidP="00D966F0">
            <w:pPr>
              <w:pStyle w:val="TableCopy"/>
              <w:jc w:val="right"/>
              <w:rPr>
                <w:lang w:val="en-AU"/>
              </w:rPr>
            </w:pPr>
            <w:r w:rsidRPr="00C6052E">
              <w:rPr>
                <w:lang w:val="en-AU"/>
              </w:rPr>
              <w:t>-30.1%</w:t>
            </w:r>
          </w:p>
        </w:tc>
        <w:tc>
          <w:tcPr>
            <w:tcW w:w="824" w:type="dxa"/>
            <w:noWrap/>
            <w:hideMark/>
          </w:tcPr>
          <w:p w14:paraId="46965A29" w14:textId="77777777" w:rsidR="00EE5BB8" w:rsidRPr="00C6052E" w:rsidRDefault="00EE5BB8" w:rsidP="00D966F0">
            <w:pPr>
              <w:pStyle w:val="TableCopy"/>
              <w:jc w:val="right"/>
              <w:rPr>
                <w:lang w:val="en-AU"/>
              </w:rPr>
            </w:pPr>
            <w:r w:rsidRPr="00C6052E">
              <w:rPr>
                <w:lang w:val="en-AU"/>
              </w:rPr>
              <w:t>3</w:t>
            </w:r>
          </w:p>
        </w:tc>
      </w:tr>
      <w:tr w:rsidR="00EE5BB8" w:rsidRPr="00C6052E" w14:paraId="558C12B8" w14:textId="77777777" w:rsidTr="0063097D">
        <w:tc>
          <w:tcPr>
            <w:tcW w:w="4531" w:type="dxa"/>
          </w:tcPr>
          <w:p w14:paraId="20A9B306" w14:textId="77777777" w:rsidR="00EE5BB8" w:rsidRPr="00C6052E" w:rsidRDefault="00EE5BB8" w:rsidP="0063097D">
            <w:pPr>
              <w:pStyle w:val="TableHeading"/>
              <w:rPr>
                <w:lang w:val="en-AU"/>
              </w:rPr>
            </w:pPr>
            <w:r w:rsidRPr="00C6052E">
              <w:rPr>
                <w:lang w:val="en-AU"/>
              </w:rPr>
              <w:t>Cost</w:t>
            </w:r>
          </w:p>
        </w:tc>
        <w:tc>
          <w:tcPr>
            <w:tcW w:w="1020" w:type="dxa"/>
          </w:tcPr>
          <w:p w14:paraId="2945A108" w14:textId="77777777" w:rsidR="00EE5BB8" w:rsidRPr="00C6052E" w:rsidRDefault="00EE5BB8" w:rsidP="00D966F0">
            <w:pPr>
              <w:pStyle w:val="TableHeading"/>
              <w:jc w:val="right"/>
              <w:rPr>
                <w:lang w:val="en-AU"/>
              </w:rPr>
            </w:pPr>
          </w:p>
        </w:tc>
        <w:tc>
          <w:tcPr>
            <w:tcW w:w="1020" w:type="dxa"/>
            <w:noWrap/>
          </w:tcPr>
          <w:p w14:paraId="6F3F7E0E" w14:textId="77777777" w:rsidR="00EE5BB8" w:rsidRPr="00C6052E" w:rsidRDefault="00EE5BB8" w:rsidP="00D966F0">
            <w:pPr>
              <w:pStyle w:val="TableHeading"/>
              <w:jc w:val="right"/>
              <w:rPr>
                <w:lang w:val="en-AU"/>
              </w:rPr>
            </w:pPr>
          </w:p>
        </w:tc>
        <w:tc>
          <w:tcPr>
            <w:tcW w:w="1020" w:type="dxa"/>
            <w:noWrap/>
          </w:tcPr>
          <w:p w14:paraId="71D3CA3B" w14:textId="77777777" w:rsidR="00EE5BB8" w:rsidRPr="00C6052E" w:rsidRDefault="00EE5BB8" w:rsidP="00D966F0">
            <w:pPr>
              <w:pStyle w:val="TableHeading"/>
              <w:jc w:val="right"/>
              <w:rPr>
                <w:lang w:val="en-AU"/>
              </w:rPr>
            </w:pPr>
          </w:p>
        </w:tc>
        <w:tc>
          <w:tcPr>
            <w:tcW w:w="1361" w:type="dxa"/>
            <w:noWrap/>
          </w:tcPr>
          <w:p w14:paraId="6502300B" w14:textId="77777777" w:rsidR="00EE5BB8" w:rsidRPr="00C6052E" w:rsidRDefault="00EE5BB8" w:rsidP="00D966F0">
            <w:pPr>
              <w:pStyle w:val="TableHeading"/>
              <w:jc w:val="right"/>
              <w:rPr>
                <w:lang w:val="en-AU"/>
              </w:rPr>
            </w:pPr>
          </w:p>
        </w:tc>
        <w:tc>
          <w:tcPr>
            <w:tcW w:w="824" w:type="dxa"/>
            <w:noWrap/>
          </w:tcPr>
          <w:p w14:paraId="1FFA0485" w14:textId="77777777" w:rsidR="00EE5BB8" w:rsidRPr="00C6052E" w:rsidRDefault="00EE5BB8" w:rsidP="00D966F0">
            <w:pPr>
              <w:pStyle w:val="TableHeading"/>
              <w:jc w:val="right"/>
              <w:rPr>
                <w:lang w:val="en-AU"/>
              </w:rPr>
            </w:pPr>
          </w:p>
        </w:tc>
      </w:tr>
      <w:tr w:rsidR="00EE5BB8" w:rsidRPr="00C6052E" w14:paraId="7F76FA27" w14:textId="77777777" w:rsidTr="0063097D">
        <w:tc>
          <w:tcPr>
            <w:tcW w:w="4531" w:type="dxa"/>
            <w:hideMark/>
          </w:tcPr>
          <w:p w14:paraId="19B79C3A" w14:textId="77777777" w:rsidR="00EE5BB8"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p w14:paraId="79B703B8" w14:textId="552A270C" w:rsidR="00C17A57" w:rsidRPr="00C6052E" w:rsidRDefault="00C17A57" w:rsidP="00C17A57">
            <w:pPr>
              <w:pStyle w:val="Tablenotes-indented"/>
              <w:ind w:left="227" w:firstLine="0"/>
              <w:rPr>
                <w:lang w:val="en-AU"/>
              </w:rPr>
            </w:pPr>
            <w:r w:rsidRPr="00C6052E">
              <w:rPr>
                <w:lang w:val="en-AU"/>
              </w:rPr>
              <w:t xml:space="preserve">The 2024–25 result is higher than the 2024–25 budget mainly due to additional funding received for </w:t>
            </w:r>
            <w:proofErr w:type="gramStart"/>
            <w:r w:rsidRPr="00C6052E">
              <w:rPr>
                <w:lang w:val="en-AU"/>
              </w:rPr>
              <w:t>a number of</w:t>
            </w:r>
            <w:proofErr w:type="gramEnd"/>
            <w:r w:rsidRPr="00C6052E">
              <w:rPr>
                <w:lang w:val="en-AU"/>
              </w:rPr>
              <w:t xml:space="preserve"> initiatives, including approved funding being released from contingency for the Victorian Festivals Package.</w:t>
            </w:r>
          </w:p>
        </w:tc>
        <w:tc>
          <w:tcPr>
            <w:tcW w:w="1020" w:type="dxa"/>
            <w:hideMark/>
          </w:tcPr>
          <w:p w14:paraId="7D1692BD" w14:textId="60BD0E70" w:rsidR="00EE5BB8" w:rsidRPr="00C6052E" w:rsidRDefault="00EE5BB8" w:rsidP="00D966F0">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66086840" w14:textId="77777777" w:rsidR="00EE5BB8" w:rsidRPr="00C6052E" w:rsidRDefault="00EE5BB8" w:rsidP="00D966F0">
            <w:pPr>
              <w:pStyle w:val="Tabletotal"/>
              <w:jc w:val="right"/>
              <w:rPr>
                <w:lang w:val="en-AU"/>
              </w:rPr>
            </w:pPr>
            <w:r w:rsidRPr="00C6052E">
              <w:rPr>
                <w:lang w:val="en-AU"/>
              </w:rPr>
              <w:t>83.7</w:t>
            </w:r>
          </w:p>
        </w:tc>
        <w:tc>
          <w:tcPr>
            <w:tcW w:w="1020" w:type="dxa"/>
            <w:noWrap/>
            <w:hideMark/>
          </w:tcPr>
          <w:p w14:paraId="6B94485F" w14:textId="77777777" w:rsidR="00EE5BB8" w:rsidRPr="00C6052E" w:rsidRDefault="00EE5BB8" w:rsidP="00D966F0">
            <w:pPr>
              <w:pStyle w:val="Tabletotal"/>
              <w:jc w:val="right"/>
              <w:rPr>
                <w:lang w:val="en-AU"/>
              </w:rPr>
            </w:pPr>
            <w:r w:rsidRPr="00C6052E">
              <w:rPr>
                <w:lang w:val="en-AU"/>
              </w:rPr>
              <w:t>77.8</w:t>
            </w:r>
          </w:p>
        </w:tc>
        <w:tc>
          <w:tcPr>
            <w:tcW w:w="1361" w:type="dxa"/>
            <w:noWrap/>
            <w:hideMark/>
          </w:tcPr>
          <w:p w14:paraId="32A95EA5" w14:textId="77777777" w:rsidR="00EE5BB8" w:rsidRPr="00C6052E" w:rsidRDefault="00EE5BB8" w:rsidP="00D966F0">
            <w:pPr>
              <w:pStyle w:val="Tabletotal"/>
              <w:jc w:val="right"/>
              <w:rPr>
                <w:lang w:val="en-AU"/>
              </w:rPr>
            </w:pPr>
            <w:r w:rsidRPr="00C6052E">
              <w:rPr>
                <w:lang w:val="en-AU"/>
              </w:rPr>
              <w:t>7.6%</w:t>
            </w:r>
          </w:p>
        </w:tc>
        <w:tc>
          <w:tcPr>
            <w:tcW w:w="824" w:type="dxa"/>
            <w:noWrap/>
            <w:hideMark/>
          </w:tcPr>
          <w:p w14:paraId="26A0BCC8" w14:textId="77777777" w:rsidR="00EE5BB8" w:rsidRPr="00C6052E" w:rsidRDefault="00EE5BB8" w:rsidP="00D966F0">
            <w:pPr>
              <w:pStyle w:val="Tabletotal"/>
              <w:jc w:val="right"/>
              <w:rPr>
                <w:lang w:val="en-AU"/>
              </w:rPr>
            </w:pPr>
            <w:r w:rsidRPr="00C6052E">
              <w:rPr>
                <w:lang w:val="en-AU"/>
              </w:rPr>
              <w:t>3</w:t>
            </w:r>
          </w:p>
        </w:tc>
      </w:tr>
    </w:tbl>
    <w:p w14:paraId="44795249" w14:textId="5CB1F7A1" w:rsidR="00EE5BB8" w:rsidRPr="00C6052E" w:rsidRDefault="00EE5BB8" w:rsidP="00EE5BB8">
      <w:pPr>
        <w:pStyle w:val="Tablenotes"/>
        <w:ind w:left="0" w:firstLine="0"/>
      </w:pPr>
      <w:r w:rsidRPr="00C6052E">
        <w:t>*</w:t>
      </w:r>
      <w:r w:rsidR="00177848" w:rsidRPr="00C6052E">
        <w:t xml:space="preserve"> </w:t>
      </w:r>
      <w:r w:rsidRPr="00C6052E">
        <w:t>The</w:t>
      </w:r>
      <w:r w:rsidR="00177848" w:rsidRPr="00C6052E">
        <w:t xml:space="preserve"> </w:t>
      </w:r>
      <w:r w:rsidRPr="00C6052E">
        <w:t>2023-24</w:t>
      </w:r>
      <w:r w:rsidR="00177848" w:rsidRPr="00C6052E">
        <w:t xml:space="preserve"> </w:t>
      </w:r>
      <w:r w:rsidRPr="00C6052E">
        <w:t>Annual</w:t>
      </w:r>
      <w:r w:rsidR="00177848" w:rsidRPr="00C6052E">
        <w:t xml:space="preserve"> </w:t>
      </w:r>
      <w:r w:rsidRPr="00C6052E">
        <w:t>Report</w:t>
      </w:r>
      <w:r w:rsidR="00177848" w:rsidRPr="00C6052E">
        <w:t xml:space="preserve"> </w:t>
      </w:r>
      <w:r w:rsidRPr="00C6052E">
        <w:t>listed</w:t>
      </w:r>
      <w:r w:rsidR="00177848" w:rsidRPr="00C6052E">
        <w:t xml:space="preserve"> </w:t>
      </w:r>
      <w:r w:rsidRPr="00C6052E">
        <w:t>the</w:t>
      </w:r>
      <w:r w:rsidR="00177848" w:rsidRPr="00C6052E">
        <w:t xml:space="preserve"> </w:t>
      </w:r>
      <w:r w:rsidRPr="00C6052E">
        <w:t>2023-24</w:t>
      </w:r>
      <w:r w:rsidR="00177848" w:rsidRPr="00C6052E">
        <w:t xml:space="preserve"> </w:t>
      </w:r>
      <w:r w:rsidRPr="00C6052E">
        <w:t>target</w:t>
      </w:r>
      <w:r w:rsidR="00177848" w:rsidRPr="00C6052E">
        <w:t xml:space="preserve"> </w:t>
      </w:r>
      <w:r w:rsidRPr="00C6052E">
        <w:t>for</w:t>
      </w:r>
      <w:r w:rsidR="00177848" w:rsidRPr="00C6052E">
        <w:t xml:space="preserve"> </w:t>
      </w:r>
      <w:r w:rsidRPr="00C6052E">
        <w:t>this</w:t>
      </w:r>
      <w:r w:rsidR="00177848" w:rsidRPr="00C6052E">
        <w:t xml:space="preserve"> </w:t>
      </w:r>
      <w:r w:rsidRPr="00C6052E">
        <w:t>measure</w:t>
      </w:r>
      <w:r w:rsidR="00177848" w:rsidRPr="00C6052E">
        <w:t xml:space="preserve"> </w:t>
      </w:r>
      <w:r w:rsidRPr="00C6052E">
        <w:t>as</w:t>
      </w:r>
      <w:r w:rsidR="00177848" w:rsidRPr="00C6052E">
        <w:t xml:space="preserve"> </w:t>
      </w:r>
      <w:r w:rsidRPr="00C6052E">
        <w:t>450</w:t>
      </w:r>
      <w:r w:rsidR="00177848" w:rsidRPr="00C6052E">
        <w:t xml:space="preserve"> </w:t>
      </w:r>
      <w:r w:rsidRPr="00C6052E">
        <w:t>with</w:t>
      </w:r>
      <w:r w:rsidR="00177848" w:rsidRPr="00C6052E">
        <w:t xml:space="preserve"> </w:t>
      </w:r>
      <w:r w:rsidRPr="00C6052E">
        <w:t>a</w:t>
      </w:r>
      <w:r w:rsidR="00177848" w:rsidRPr="00C6052E">
        <w:t xml:space="preserve"> </w:t>
      </w:r>
      <w:r w:rsidRPr="00C6052E">
        <w:t>variance</w:t>
      </w:r>
      <w:r w:rsidR="00177848" w:rsidRPr="00C6052E">
        <w:t xml:space="preserve"> </w:t>
      </w:r>
      <w:r w:rsidRPr="00C6052E">
        <w:t>of</w:t>
      </w:r>
      <w:r w:rsidR="00177848" w:rsidRPr="00C6052E">
        <w:t xml:space="preserve"> </w:t>
      </w:r>
      <w:r w:rsidRPr="00C6052E">
        <w:t>-46.7%.</w:t>
      </w:r>
      <w:r w:rsidR="00177848" w:rsidRPr="00C6052E">
        <w:t xml:space="preserve"> </w:t>
      </w:r>
      <w:r w:rsidRPr="00C6052E">
        <w:t>The</w:t>
      </w:r>
      <w:r w:rsidR="00177848" w:rsidRPr="00C6052E">
        <w:t xml:space="preserve"> </w:t>
      </w:r>
      <w:r w:rsidRPr="00C6052E">
        <w:t>correct</w:t>
      </w:r>
      <w:r w:rsidR="00177848" w:rsidRPr="00C6052E">
        <w:t xml:space="preserve"> </w:t>
      </w:r>
      <w:r w:rsidRPr="00C6052E">
        <w:t>2023-24</w:t>
      </w:r>
      <w:r w:rsidR="00177848" w:rsidRPr="00C6052E">
        <w:t xml:space="preserve"> </w:t>
      </w:r>
      <w:r w:rsidRPr="00C6052E">
        <w:t>target</w:t>
      </w:r>
      <w:r w:rsidR="00177848" w:rsidRPr="00C6052E">
        <w:t xml:space="preserve"> </w:t>
      </w:r>
      <w:r w:rsidRPr="00C6052E">
        <w:t>is</w:t>
      </w:r>
      <w:r w:rsidR="00177848" w:rsidRPr="00C6052E">
        <w:t xml:space="preserve"> </w:t>
      </w:r>
      <w:r w:rsidRPr="00C6052E">
        <w:t>2,950</w:t>
      </w:r>
      <w:r w:rsidR="00177848" w:rsidRPr="00C6052E">
        <w:t xml:space="preserve"> </w:t>
      </w:r>
      <w:r w:rsidRPr="00C6052E">
        <w:t>with</w:t>
      </w:r>
      <w:r w:rsidR="00177848" w:rsidRPr="00C6052E">
        <w:t xml:space="preserve"> </w:t>
      </w:r>
      <w:r w:rsidRPr="00C6052E">
        <w:t>a</w:t>
      </w:r>
      <w:r w:rsidR="00177848" w:rsidRPr="00C6052E">
        <w:t xml:space="preserve"> </w:t>
      </w:r>
      <w:r w:rsidRPr="00C6052E">
        <w:t>variance</w:t>
      </w:r>
      <w:r w:rsidR="00177848" w:rsidRPr="00C6052E">
        <w:t xml:space="preserve"> </w:t>
      </w:r>
      <w:r w:rsidRPr="00C6052E">
        <w:t>of</w:t>
      </w:r>
      <w:r w:rsidR="00177848" w:rsidRPr="00C6052E">
        <w:t xml:space="preserve"> </w:t>
      </w:r>
      <w:r w:rsidRPr="00C6052E">
        <w:t>-91.9%.</w:t>
      </w:r>
    </w:p>
    <w:p w14:paraId="7D568B70" w14:textId="089A2A69" w:rsidR="00EE5BB8" w:rsidRPr="00C6052E" w:rsidRDefault="00EE5BB8" w:rsidP="00EE5BB8">
      <w:pPr>
        <w:pStyle w:val="Tablenotes"/>
        <w:spacing w:after="240"/>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7C304E7B" w14:textId="4DC9BDA6" w:rsidR="00EE5BB8" w:rsidRPr="00C6052E" w:rsidRDefault="00EE5BB8" w:rsidP="00EE5BB8">
      <w:bookmarkStart w:id="44" w:name="_Hlk110439797"/>
      <w:r w:rsidRPr="00C6052E">
        <w:t>Table</w:t>
      </w:r>
      <w:r w:rsidR="00177848" w:rsidRPr="00C6052E">
        <w:t xml:space="preserve"> </w:t>
      </w:r>
      <w:r w:rsidRPr="00C6052E">
        <w:t>23</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Portfolio</w:t>
      </w:r>
      <w:r w:rsidR="00177848" w:rsidRPr="00C6052E">
        <w:t xml:space="preserve"> </w:t>
      </w:r>
      <w:r w:rsidRPr="00C6052E">
        <w:t>Agencies</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promotes,</w:t>
      </w:r>
      <w:r w:rsidR="00177848" w:rsidRPr="00C6052E">
        <w:t xml:space="preserve"> </w:t>
      </w:r>
      <w:r w:rsidRPr="00C6052E">
        <w:t>presents</w:t>
      </w:r>
      <w:r w:rsidR="00177848" w:rsidRPr="00C6052E">
        <w:t xml:space="preserve"> </w:t>
      </w:r>
      <w:r w:rsidRPr="00C6052E">
        <w:t>and</w:t>
      </w:r>
      <w:r w:rsidR="00177848" w:rsidRPr="00C6052E">
        <w:t xml:space="preserve"> </w:t>
      </w:r>
      <w:r w:rsidRPr="00C6052E">
        <w:t>preserves</w:t>
      </w:r>
      <w:r w:rsidR="00177848" w:rsidRPr="00C6052E">
        <w:t xml:space="preserve"> </w:t>
      </w:r>
      <w:r w:rsidRPr="00C6052E">
        <w:t>our</w:t>
      </w:r>
      <w:r w:rsidR="00177848" w:rsidRPr="00C6052E">
        <w:t xml:space="preserve"> </w:t>
      </w:r>
      <w:r w:rsidRPr="00C6052E">
        <w:t>heritage</w:t>
      </w:r>
      <w:r w:rsidR="00177848" w:rsidRPr="00C6052E">
        <w:t xml:space="preserve"> </w:t>
      </w:r>
      <w:r w:rsidRPr="00C6052E">
        <w:t>and</w:t>
      </w:r>
      <w:r w:rsidR="00177848" w:rsidRPr="00C6052E">
        <w:t xml:space="preserve"> </w:t>
      </w:r>
      <w:r w:rsidRPr="00C6052E">
        <w:t>the</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through</w:t>
      </w:r>
      <w:r w:rsidR="00177848" w:rsidRPr="00C6052E">
        <w:t xml:space="preserve"> </w:t>
      </w:r>
      <w:r w:rsidRPr="00C6052E">
        <w:t>Victoria’s</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portfolio</w:t>
      </w:r>
      <w:r w:rsidR="00177848" w:rsidRPr="00C6052E">
        <w:t xml:space="preserve"> </w:t>
      </w:r>
      <w:r w:rsidRPr="00C6052E">
        <w:t>agencies:</w:t>
      </w:r>
      <w:r w:rsidR="00177848" w:rsidRPr="00C6052E">
        <w:t xml:space="preserve"> </w:t>
      </w:r>
      <w:r w:rsidRPr="00C6052E">
        <w:t>Arts</w:t>
      </w:r>
      <w:r w:rsidR="00177848" w:rsidRPr="00C6052E">
        <w:t xml:space="preserve"> </w:t>
      </w:r>
      <w:r w:rsidRPr="00C6052E">
        <w:t>Centre</w:t>
      </w:r>
      <w:r w:rsidR="00177848" w:rsidRPr="00C6052E">
        <w:t xml:space="preserve"> </w:t>
      </w:r>
      <w:r w:rsidRPr="00C6052E">
        <w:t>Melbourne,</w:t>
      </w:r>
      <w:r w:rsidR="00177848" w:rsidRPr="00C6052E">
        <w:t xml:space="preserve"> </w:t>
      </w:r>
      <w:r w:rsidRPr="00C6052E">
        <w:t>Australian</w:t>
      </w:r>
      <w:r w:rsidR="00177848" w:rsidRPr="00C6052E">
        <w:t xml:space="preserve"> </w:t>
      </w:r>
      <w:r w:rsidRPr="00C6052E">
        <w:t>Centre</w:t>
      </w:r>
      <w:r w:rsidR="00177848" w:rsidRPr="00C6052E">
        <w:t xml:space="preserve"> </w:t>
      </w:r>
      <w:r w:rsidRPr="00C6052E">
        <w:t>for</w:t>
      </w:r>
      <w:r w:rsidR="00177848" w:rsidRPr="00C6052E">
        <w:t xml:space="preserve"> </w:t>
      </w:r>
      <w:r w:rsidRPr="00C6052E">
        <w:t>the</w:t>
      </w:r>
      <w:r w:rsidR="00177848" w:rsidRPr="00C6052E">
        <w:t xml:space="preserve"> </w:t>
      </w:r>
      <w:r w:rsidRPr="00C6052E">
        <w:t>Moving</w:t>
      </w:r>
      <w:r w:rsidR="00177848" w:rsidRPr="00C6052E">
        <w:t xml:space="preserve"> </w:t>
      </w:r>
      <w:r w:rsidRPr="00C6052E">
        <w:t>Image</w:t>
      </w:r>
      <w:r w:rsidR="00177848" w:rsidRPr="00C6052E">
        <w:t xml:space="preserve"> </w:t>
      </w:r>
      <w:r w:rsidRPr="00C6052E">
        <w:t>(ACMI),</w:t>
      </w:r>
      <w:r w:rsidR="00177848" w:rsidRPr="00C6052E">
        <w:t xml:space="preserve"> </w:t>
      </w:r>
      <w:r w:rsidRPr="00C6052E">
        <w:t>Docklands</w:t>
      </w:r>
      <w:r w:rsidR="00177848" w:rsidRPr="00C6052E">
        <w:t xml:space="preserve"> </w:t>
      </w:r>
      <w:r w:rsidRPr="00C6052E">
        <w:t>Studios</w:t>
      </w:r>
      <w:r w:rsidR="00177848" w:rsidRPr="00C6052E">
        <w:t xml:space="preserve"> </w:t>
      </w:r>
      <w:r w:rsidRPr="00C6052E">
        <w:t>Melbourne,</w:t>
      </w:r>
      <w:r w:rsidR="00177848" w:rsidRPr="00C6052E">
        <w:t xml:space="preserve"> </w:t>
      </w:r>
      <w:proofErr w:type="spellStart"/>
      <w:r w:rsidRPr="00C6052E">
        <w:t>VicScreen</w:t>
      </w:r>
      <w:proofErr w:type="spellEnd"/>
      <w:r w:rsidRPr="00C6052E">
        <w:t>,</w:t>
      </w:r>
      <w:r w:rsidR="00177848" w:rsidRPr="00C6052E">
        <w:t xml:space="preserve"> </w:t>
      </w:r>
      <w:r w:rsidRPr="00C6052E">
        <w:t>Geelong</w:t>
      </w:r>
      <w:r w:rsidR="00177848" w:rsidRPr="00C6052E">
        <w:t xml:space="preserve"> </w:t>
      </w:r>
      <w:r w:rsidRPr="00C6052E">
        <w:t>Arts</w:t>
      </w:r>
      <w:r w:rsidR="00177848" w:rsidRPr="00C6052E">
        <w:t xml:space="preserve"> </w:t>
      </w:r>
      <w:r w:rsidRPr="00C6052E">
        <w:t>Centre,</w:t>
      </w:r>
      <w:r w:rsidR="00177848" w:rsidRPr="00C6052E">
        <w:t xml:space="preserve"> </w:t>
      </w:r>
      <w:r w:rsidRPr="00C6052E">
        <w:t>Melbourne</w:t>
      </w:r>
      <w:r w:rsidR="00177848" w:rsidRPr="00C6052E">
        <w:t xml:space="preserve"> </w:t>
      </w:r>
      <w:r w:rsidRPr="00C6052E">
        <w:t>Recital</w:t>
      </w:r>
      <w:r w:rsidR="00177848" w:rsidRPr="00C6052E">
        <w:t xml:space="preserve"> </w:t>
      </w:r>
      <w:r w:rsidRPr="00C6052E">
        <w:t>Centre,</w:t>
      </w:r>
      <w:r w:rsidR="00177848" w:rsidRPr="00C6052E">
        <w:t xml:space="preserve"> </w:t>
      </w:r>
      <w:r w:rsidRPr="00C6052E">
        <w:t>Museums</w:t>
      </w:r>
      <w:r w:rsidR="00177848" w:rsidRPr="00C6052E">
        <w:t xml:space="preserve"> </w:t>
      </w:r>
      <w:r w:rsidRPr="00C6052E">
        <w:t>Victoria,</w:t>
      </w:r>
      <w:r w:rsidR="00177848" w:rsidRPr="00C6052E">
        <w:t xml:space="preserve"> </w:t>
      </w:r>
      <w:r w:rsidRPr="00C6052E">
        <w:t>National</w:t>
      </w:r>
      <w:r w:rsidR="00177848" w:rsidRPr="00C6052E">
        <w:t xml:space="preserve"> </w:t>
      </w:r>
      <w:r w:rsidRPr="00C6052E">
        <w:t>Gallery</w:t>
      </w:r>
      <w:r w:rsidR="00177848" w:rsidRPr="00C6052E">
        <w:t xml:space="preserve"> </w:t>
      </w:r>
      <w:r w:rsidRPr="00C6052E">
        <w:t>of</w:t>
      </w:r>
      <w:r w:rsidR="00177848" w:rsidRPr="00C6052E">
        <w:t xml:space="preserve"> </w:t>
      </w:r>
      <w:r w:rsidRPr="00C6052E">
        <w:t>Victoria</w:t>
      </w:r>
      <w:r w:rsidR="00177848" w:rsidRPr="00C6052E">
        <w:t xml:space="preserve"> </w:t>
      </w:r>
      <w:r w:rsidRPr="00C6052E">
        <w:t>(NGV),</w:t>
      </w:r>
      <w:r w:rsidR="00177848" w:rsidRPr="00C6052E">
        <w:t xml:space="preserve"> </w:t>
      </w:r>
      <w:r w:rsidRPr="00C6052E">
        <w:t>and</w:t>
      </w:r>
      <w:r w:rsidR="00177848" w:rsidRPr="00C6052E">
        <w:t xml:space="preserve"> </w:t>
      </w:r>
      <w:r w:rsidRPr="00C6052E">
        <w:t>the</w:t>
      </w:r>
      <w:r w:rsidR="00177848" w:rsidRPr="00C6052E">
        <w:t xml:space="preserve"> </w:t>
      </w:r>
      <w:r w:rsidRPr="00C6052E">
        <w:t>State</w:t>
      </w:r>
      <w:r w:rsidR="00177848" w:rsidRPr="00C6052E">
        <w:t xml:space="preserve"> </w:t>
      </w:r>
      <w:r w:rsidRPr="00C6052E">
        <w:t>Library</w:t>
      </w:r>
      <w:r w:rsidR="00177848" w:rsidRPr="00C6052E">
        <w:t xml:space="preserve"> </w:t>
      </w:r>
      <w:r w:rsidRPr="00C6052E">
        <w:t>Victoria.</w:t>
      </w:r>
    </w:p>
    <w:bookmarkEnd w:id="44"/>
    <w:p w14:paraId="643FBC31" w14:textId="0898D2AB" w:rsidR="00EE5BB8" w:rsidRPr="00C6052E" w:rsidRDefault="00EE5BB8" w:rsidP="00EE5BB8">
      <w:pPr>
        <w:pStyle w:val="TableHeading"/>
      </w:pPr>
      <w:r w:rsidRPr="00C6052E">
        <w:lastRenderedPageBreak/>
        <w:t>Table</w:t>
      </w:r>
      <w:r w:rsidR="00177848" w:rsidRPr="00C6052E">
        <w:t xml:space="preserve"> </w:t>
      </w:r>
      <w:r w:rsidRPr="00C6052E">
        <w:t>23:</w:t>
      </w:r>
      <w:r w:rsidR="00177848" w:rsidRPr="00C6052E">
        <w:t xml:space="preserve"> </w:t>
      </w:r>
      <w:r w:rsidRPr="00C6052E">
        <w:t>Output</w:t>
      </w:r>
      <w:r w:rsidR="00177848" w:rsidRPr="00C6052E">
        <w:t xml:space="preserve"> </w:t>
      </w:r>
      <w:r w:rsidRPr="00C6052E">
        <w:t>–</w:t>
      </w:r>
      <w:r w:rsidR="00177848" w:rsidRPr="00C6052E">
        <w:t xml:space="preserve"> </w:t>
      </w:r>
      <w:r w:rsidRPr="00C6052E">
        <w:t>Creative</w:t>
      </w:r>
      <w:r w:rsidR="00177848" w:rsidRPr="00C6052E">
        <w:t xml:space="preserve"> </w:t>
      </w:r>
      <w:r w:rsidRPr="00C6052E">
        <w:t>Industries</w:t>
      </w:r>
      <w:r w:rsidR="00177848" w:rsidRPr="00C6052E">
        <w:t xml:space="preserve"> </w:t>
      </w:r>
      <w:r w:rsidRPr="00C6052E">
        <w:t>Portfolio</w:t>
      </w:r>
      <w:r w:rsidR="00177848" w:rsidRPr="00C6052E">
        <w:t xml:space="preserve"> </w:t>
      </w:r>
      <w:r w:rsidRPr="00C6052E">
        <w:t>Agencies</w:t>
      </w:r>
    </w:p>
    <w:tbl>
      <w:tblPr>
        <w:tblStyle w:val="TableGrid"/>
        <w:tblW w:w="9747" w:type="dxa"/>
        <w:tblLayout w:type="fixed"/>
        <w:tblLook w:val="04A0" w:firstRow="1" w:lastRow="0" w:firstColumn="1" w:lastColumn="0" w:noHBand="0" w:noVBand="1"/>
      </w:tblPr>
      <w:tblGrid>
        <w:gridCol w:w="4531"/>
        <w:gridCol w:w="1020"/>
        <w:gridCol w:w="1020"/>
        <w:gridCol w:w="1020"/>
        <w:gridCol w:w="1361"/>
        <w:gridCol w:w="795"/>
      </w:tblGrid>
      <w:tr w:rsidR="00EE5BB8" w:rsidRPr="00C6052E" w14:paraId="043F0ECF" w14:textId="77777777" w:rsidTr="0063097D">
        <w:trPr>
          <w:cantSplit/>
          <w:tblHeader/>
        </w:trPr>
        <w:tc>
          <w:tcPr>
            <w:tcW w:w="4531" w:type="dxa"/>
            <w:hideMark/>
          </w:tcPr>
          <w:p w14:paraId="7C239936" w14:textId="6B293414" w:rsidR="00EE5BB8" w:rsidRPr="00C6052E" w:rsidRDefault="00EE5BB8" w:rsidP="0063097D">
            <w:pPr>
              <w:pStyle w:val="TableColumnHeading"/>
              <w:rPr>
                <w:lang w:val="en-AU"/>
              </w:rPr>
            </w:pPr>
            <w:bookmarkStart w:id="45" w:name="TableColumnHeadings_31"/>
            <w:bookmarkEnd w:id="45"/>
            <w:r w:rsidRPr="00C6052E">
              <w:rPr>
                <w:lang w:val="en-AU"/>
              </w:rPr>
              <w:t>Performance</w:t>
            </w:r>
            <w:r w:rsidR="00177848" w:rsidRPr="00C6052E">
              <w:rPr>
                <w:lang w:val="en-AU"/>
              </w:rPr>
              <w:t xml:space="preserve"> </w:t>
            </w:r>
            <w:r w:rsidRPr="00C6052E">
              <w:rPr>
                <w:lang w:val="en-AU"/>
              </w:rPr>
              <w:t>measures</w:t>
            </w:r>
          </w:p>
        </w:tc>
        <w:tc>
          <w:tcPr>
            <w:tcW w:w="1020" w:type="dxa"/>
            <w:hideMark/>
          </w:tcPr>
          <w:p w14:paraId="7CB99EA8" w14:textId="785D66F1" w:rsidR="00EE5BB8" w:rsidRPr="00C6052E" w:rsidRDefault="00EE5BB8" w:rsidP="0063097D">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78087E8D" w14:textId="77777777" w:rsidR="00EE5BB8" w:rsidRPr="00C6052E" w:rsidRDefault="00EE5BB8" w:rsidP="0063097D">
            <w:pPr>
              <w:pStyle w:val="TableColumnHeading"/>
              <w:jc w:val="right"/>
              <w:rPr>
                <w:lang w:val="en-AU"/>
              </w:rPr>
            </w:pPr>
            <w:r w:rsidRPr="00C6052E">
              <w:rPr>
                <w:lang w:val="en-AU"/>
              </w:rPr>
              <w:t>2024–25</w:t>
            </w:r>
            <w:r w:rsidRPr="00C6052E">
              <w:rPr>
                <w:lang w:val="en-AU"/>
              </w:rPr>
              <w:br/>
              <w:t>Actual</w:t>
            </w:r>
          </w:p>
        </w:tc>
        <w:tc>
          <w:tcPr>
            <w:tcW w:w="1020" w:type="dxa"/>
            <w:hideMark/>
          </w:tcPr>
          <w:p w14:paraId="78EBDA3C" w14:textId="54DB897B" w:rsidR="00EE5BB8" w:rsidRPr="00C6052E" w:rsidRDefault="00EE5BB8" w:rsidP="0063097D">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0B20291C" w14:textId="165D877F" w:rsidR="00EE5BB8" w:rsidRPr="00C6052E" w:rsidRDefault="00EE5BB8" w:rsidP="0063097D">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95" w:type="dxa"/>
            <w:hideMark/>
          </w:tcPr>
          <w:p w14:paraId="6BD5CDA4" w14:textId="77777777" w:rsidR="00EE5BB8" w:rsidRPr="00C6052E" w:rsidRDefault="00EE5BB8" w:rsidP="0063097D">
            <w:pPr>
              <w:pStyle w:val="TableColumnHeading"/>
              <w:jc w:val="right"/>
              <w:rPr>
                <w:lang w:val="en-AU"/>
              </w:rPr>
            </w:pPr>
            <w:r w:rsidRPr="00C6052E">
              <w:rPr>
                <w:lang w:val="en-AU"/>
              </w:rPr>
              <w:t>Result</w:t>
            </w:r>
          </w:p>
        </w:tc>
      </w:tr>
      <w:tr w:rsidR="00EE5BB8" w:rsidRPr="00C6052E" w14:paraId="69689D09" w14:textId="77777777" w:rsidTr="0063097D">
        <w:trPr>
          <w:cantSplit/>
        </w:trPr>
        <w:tc>
          <w:tcPr>
            <w:tcW w:w="4531" w:type="dxa"/>
          </w:tcPr>
          <w:p w14:paraId="0227C2FE" w14:textId="77777777" w:rsidR="00EE5BB8" w:rsidRPr="00C6052E" w:rsidRDefault="00EE5BB8" w:rsidP="0063097D">
            <w:pPr>
              <w:pStyle w:val="TableHeading"/>
              <w:rPr>
                <w:lang w:val="en-AU"/>
              </w:rPr>
            </w:pPr>
            <w:r w:rsidRPr="00C6052E">
              <w:rPr>
                <w:lang w:val="en-AU"/>
              </w:rPr>
              <w:t>Quantity</w:t>
            </w:r>
          </w:p>
        </w:tc>
        <w:tc>
          <w:tcPr>
            <w:tcW w:w="1020" w:type="dxa"/>
          </w:tcPr>
          <w:p w14:paraId="4A7028B2" w14:textId="77777777" w:rsidR="00EE5BB8" w:rsidRPr="00C6052E" w:rsidRDefault="00EE5BB8" w:rsidP="0063097D">
            <w:pPr>
              <w:pStyle w:val="TableHeading"/>
              <w:jc w:val="right"/>
              <w:rPr>
                <w:lang w:val="en-AU"/>
              </w:rPr>
            </w:pPr>
          </w:p>
        </w:tc>
        <w:tc>
          <w:tcPr>
            <w:tcW w:w="1020" w:type="dxa"/>
            <w:noWrap/>
          </w:tcPr>
          <w:p w14:paraId="4BD604C4" w14:textId="77777777" w:rsidR="00EE5BB8" w:rsidRPr="00C6052E" w:rsidRDefault="00EE5BB8" w:rsidP="0063097D">
            <w:pPr>
              <w:pStyle w:val="TableHeading"/>
              <w:jc w:val="right"/>
              <w:rPr>
                <w:lang w:val="en-AU"/>
              </w:rPr>
            </w:pPr>
          </w:p>
        </w:tc>
        <w:tc>
          <w:tcPr>
            <w:tcW w:w="1020" w:type="dxa"/>
            <w:noWrap/>
          </w:tcPr>
          <w:p w14:paraId="6C81A459" w14:textId="77777777" w:rsidR="00EE5BB8" w:rsidRPr="00C6052E" w:rsidRDefault="00EE5BB8" w:rsidP="0063097D">
            <w:pPr>
              <w:pStyle w:val="TableHeading"/>
              <w:jc w:val="right"/>
              <w:rPr>
                <w:lang w:val="en-AU"/>
              </w:rPr>
            </w:pPr>
          </w:p>
        </w:tc>
        <w:tc>
          <w:tcPr>
            <w:tcW w:w="1361" w:type="dxa"/>
            <w:noWrap/>
          </w:tcPr>
          <w:p w14:paraId="448ADFAB" w14:textId="77777777" w:rsidR="00EE5BB8" w:rsidRPr="00C6052E" w:rsidRDefault="00EE5BB8" w:rsidP="0063097D">
            <w:pPr>
              <w:pStyle w:val="TableHeading"/>
              <w:jc w:val="right"/>
              <w:rPr>
                <w:lang w:val="en-AU"/>
              </w:rPr>
            </w:pPr>
          </w:p>
        </w:tc>
        <w:tc>
          <w:tcPr>
            <w:tcW w:w="795" w:type="dxa"/>
            <w:noWrap/>
          </w:tcPr>
          <w:p w14:paraId="1EB38E59" w14:textId="77777777" w:rsidR="00EE5BB8" w:rsidRPr="00C6052E" w:rsidRDefault="00EE5BB8" w:rsidP="009952C1">
            <w:pPr>
              <w:pStyle w:val="TableHeading"/>
              <w:rPr>
                <w:lang w:val="en-AU"/>
              </w:rPr>
            </w:pPr>
          </w:p>
        </w:tc>
      </w:tr>
      <w:tr w:rsidR="00EE5BB8" w:rsidRPr="00C6052E" w14:paraId="7E122C3A" w14:textId="77777777" w:rsidTr="0063097D">
        <w:trPr>
          <w:cantSplit/>
        </w:trPr>
        <w:tc>
          <w:tcPr>
            <w:tcW w:w="4531" w:type="dxa"/>
            <w:hideMark/>
          </w:tcPr>
          <w:p w14:paraId="6D5D3EA7" w14:textId="11286943" w:rsidR="00EE5BB8" w:rsidRPr="00C6052E" w:rsidRDefault="00EE5BB8" w:rsidP="0063097D">
            <w:pPr>
              <w:pStyle w:val="TableCopy"/>
              <w:keepNext/>
              <w:rPr>
                <w:lang w:val="en-AU"/>
              </w:rPr>
            </w:pPr>
            <w:r w:rsidRPr="00C6052E">
              <w:rPr>
                <w:lang w:val="en-AU"/>
              </w:rPr>
              <w:t>Additional</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production</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by</w:t>
            </w:r>
            <w:r w:rsidR="00177848" w:rsidRPr="00C6052E">
              <w:rPr>
                <w:lang w:val="en-AU"/>
              </w:rPr>
              <w:t xml:space="preserve"> </w:t>
            </w:r>
            <w:proofErr w:type="spellStart"/>
            <w:r w:rsidRPr="00C6052E">
              <w:rPr>
                <w:lang w:val="en-AU"/>
              </w:rPr>
              <w:t>VicScreen</w:t>
            </w:r>
            <w:proofErr w:type="spellEnd"/>
          </w:p>
        </w:tc>
        <w:tc>
          <w:tcPr>
            <w:tcW w:w="1020" w:type="dxa"/>
            <w:hideMark/>
          </w:tcPr>
          <w:p w14:paraId="2D398B73" w14:textId="77777777" w:rsidR="00EE5BB8" w:rsidRPr="00C6052E" w:rsidRDefault="00EE5BB8" w:rsidP="0063097D">
            <w:pPr>
              <w:pStyle w:val="TableCopy"/>
              <w:keepNext/>
              <w:jc w:val="right"/>
              <w:rPr>
                <w:lang w:val="en-AU"/>
              </w:rPr>
            </w:pPr>
            <w:r w:rsidRPr="00C6052E">
              <w:rPr>
                <w:lang w:val="en-AU"/>
              </w:rPr>
              <w:t>number</w:t>
            </w:r>
          </w:p>
        </w:tc>
        <w:tc>
          <w:tcPr>
            <w:tcW w:w="1020" w:type="dxa"/>
            <w:noWrap/>
            <w:hideMark/>
          </w:tcPr>
          <w:p w14:paraId="13A77B25" w14:textId="77777777" w:rsidR="00EE5BB8" w:rsidRPr="00C6052E" w:rsidRDefault="00EE5BB8" w:rsidP="0063097D">
            <w:pPr>
              <w:pStyle w:val="TableCopy"/>
              <w:keepNext/>
              <w:jc w:val="right"/>
              <w:rPr>
                <w:lang w:val="en-AU"/>
              </w:rPr>
            </w:pPr>
            <w:r w:rsidRPr="00C6052E">
              <w:rPr>
                <w:lang w:val="en-AU"/>
              </w:rPr>
              <w:t>8,141</w:t>
            </w:r>
          </w:p>
        </w:tc>
        <w:tc>
          <w:tcPr>
            <w:tcW w:w="1020" w:type="dxa"/>
            <w:noWrap/>
            <w:hideMark/>
          </w:tcPr>
          <w:p w14:paraId="1B2BEF0B" w14:textId="77777777" w:rsidR="00EE5BB8" w:rsidRPr="00C6052E" w:rsidRDefault="00EE5BB8" w:rsidP="0063097D">
            <w:pPr>
              <w:pStyle w:val="TableCopy"/>
              <w:keepNext/>
              <w:jc w:val="right"/>
              <w:rPr>
                <w:lang w:val="en-AU"/>
              </w:rPr>
            </w:pPr>
            <w:r w:rsidRPr="00C6052E">
              <w:rPr>
                <w:lang w:val="en-AU"/>
              </w:rPr>
              <w:t>8,500</w:t>
            </w:r>
          </w:p>
        </w:tc>
        <w:tc>
          <w:tcPr>
            <w:tcW w:w="1361" w:type="dxa"/>
            <w:noWrap/>
            <w:hideMark/>
          </w:tcPr>
          <w:p w14:paraId="7F7E4019" w14:textId="77777777" w:rsidR="00EE5BB8" w:rsidRPr="00C6052E" w:rsidRDefault="00EE5BB8" w:rsidP="0063097D">
            <w:pPr>
              <w:pStyle w:val="TableCopy"/>
              <w:keepNext/>
              <w:jc w:val="right"/>
              <w:rPr>
                <w:lang w:val="en-AU"/>
              </w:rPr>
            </w:pPr>
            <w:r w:rsidRPr="00C6052E">
              <w:rPr>
                <w:lang w:val="en-AU"/>
              </w:rPr>
              <w:t>-4.2%</w:t>
            </w:r>
          </w:p>
        </w:tc>
        <w:tc>
          <w:tcPr>
            <w:tcW w:w="795" w:type="dxa"/>
            <w:noWrap/>
            <w:hideMark/>
          </w:tcPr>
          <w:p w14:paraId="296E0DBF" w14:textId="77777777" w:rsidR="00EE5BB8" w:rsidRPr="00C6052E" w:rsidRDefault="00EE5BB8" w:rsidP="009952C1">
            <w:pPr>
              <w:pStyle w:val="TableCopy"/>
              <w:jc w:val="right"/>
              <w:rPr>
                <w:lang w:val="en-AU"/>
              </w:rPr>
            </w:pPr>
            <w:r w:rsidRPr="00C6052E">
              <w:rPr>
                <w:lang w:val="en-AU"/>
              </w:rPr>
              <w:t>2</w:t>
            </w:r>
          </w:p>
        </w:tc>
      </w:tr>
      <w:tr w:rsidR="00EE5BB8" w:rsidRPr="00C6052E" w14:paraId="51D4AE21" w14:textId="77777777" w:rsidTr="0063097D">
        <w:trPr>
          <w:cantSplit/>
        </w:trPr>
        <w:tc>
          <w:tcPr>
            <w:tcW w:w="4531" w:type="dxa"/>
            <w:hideMark/>
          </w:tcPr>
          <w:p w14:paraId="34302935" w14:textId="77777777" w:rsidR="00EE5BB8" w:rsidRDefault="00EE5BB8" w:rsidP="0063097D">
            <w:pPr>
              <w:pStyle w:val="TableCopy"/>
              <w:keepNext/>
              <w:rPr>
                <w:lang w:val="en-AU"/>
              </w:rPr>
            </w:pPr>
            <w:r w:rsidRPr="00C6052E">
              <w:rPr>
                <w:lang w:val="en-AU"/>
              </w:rPr>
              <w:t>Agency</w:t>
            </w:r>
            <w:r w:rsidR="00177848" w:rsidRPr="00C6052E">
              <w:rPr>
                <w:lang w:val="en-AU"/>
              </w:rPr>
              <w:t xml:space="preserve"> </w:t>
            </w:r>
            <w:r w:rsidRPr="00C6052E">
              <w:rPr>
                <w:lang w:val="en-AU"/>
              </w:rPr>
              <w:t>website</w:t>
            </w:r>
            <w:r w:rsidR="00177848" w:rsidRPr="00C6052E">
              <w:rPr>
                <w:lang w:val="en-AU"/>
              </w:rPr>
              <w:t xml:space="preserve"> </w:t>
            </w:r>
            <w:r w:rsidRPr="00C6052E">
              <w:rPr>
                <w:lang w:val="en-AU"/>
              </w:rPr>
              <w:t>visitation</w:t>
            </w:r>
          </w:p>
          <w:p w14:paraId="1A37B717" w14:textId="0051B3D0" w:rsidR="00C17A57" w:rsidRPr="00C6052E" w:rsidRDefault="00C17A57" w:rsidP="00C17A57">
            <w:pPr>
              <w:pStyle w:val="Tablenotes-indented"/>
              <w:ind w:left="227" w:firstLine="0"/>
              <w:rPr>
                <w:lang w:val="en-AU"/>
              </w:rPr>
            </w:pPr>
            <w:r w:rsidRPr="00C6052E">
              <w:rPr>
                <w:lang w:val="en-AU"/>
              </w:rPr>
              <w:t>Higher result due to strong audience engagement and increased online traffic to all agencies.</w:t>
            </w:r>
          </w:p>
        </w:tc>
        <w:tc>
          <w:tcPr>
            <w:tcW w:w="1020" w:type="dxa"/>
            <w:hideMark/>
          </w:tcPr>
          <w:p w14:paraId="6677B74F" w14:textId="3A81BEAB" w:rsidR="00EE5BB8" w:rsidRPr="00C6052E" w:rsidRDefault="00EE5BB8" w:rsidP="0063097D">
            <w:pPr>
              <w:pStyle w:val="TableCopy"/>
              <w:keepNext/>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19C03641" w14:textId="77777777" w:rsidR="00EE5BB8" w:rsidRPr="00C6052E" w:rsidRDefault="00EE5BB8" w:rsidP="0063097D">
            <w:pPr>
              <w:pStyle w:val="TableCopy"/>
              <w:keepNext/>
              <w:jc w:val="right"/>
              <w:rPr>
                <w:lang w:val="en-AU"/>
              </w:rPr>
            </w:pPr>
            <w:r w:rsidRPr="00C6052E">
              <w:rPr>
                <w:lang w:val="en-AU"/>
              </w:rPr>
              <w:t>32,927</w:t>
            </w:r>
          </w:p>
        </w:tc>
        <w:tc>
          <w:tcPr>
            <w:tcW w:w="1020" w:type="dxa"/>
            <w:noWrap/>
            <w:hideMark/>
          </w:tcPr>
          <w:p w14:paraId="7DEE2C4F" w14:textId="77777777" w:rsidR="00EE5BB8" w:rsidRPr="00C6052E" w:rsidRDefault="00EE5BB8" w:rsidP="0063097D">
            <w:pPr>
              <w:pStyle w:val="TableCopy"/>
              <w:keepNext/>
              <w:jc w:val="right"/>
              <w:rPr>
                <w:lang w:val="en-AU"/>
              </w:rPr>
            </w:pPr>
            <w:r w:rsidRPr="00C6052E">
              <w:rPr>
                <w:lang w:val="en-AU"/>
              </w:rPr>
              <w:t>19,928</w:t>
            </w:r>
          </w:p>
        </w:tc>
        <w:tc>
          <w:tcPr>
            <w:tcW w:w="1361" w:type="dxa"/>
            <w:noWrap/>
            <w:hideMark/>
          </w:tcPr>
          <w:p w14:paraId="3526C497" w14:textId="77777777" w:rsidR="00EE5BB8" w:rsidRPr="00C6052E" w:rsidRDefault="00EE5BB8" w:rsidP="0063097D">
            <w:pPr>
              <w:pStyle w:val="TableCopy"/>
              <w:keepNext/>
              <w:jc w:val="right"/>
              <w:rPr>
                <w:lang w:val="en-AU"/>
              </w:rPr>
            </w:pPr>
            <w:r w:rsidRPr="00C6052E">
              <w:rPr>
                <w:lang w:val="en-AU"/>
              </w:rPr>
              <w:t>65.2%</w:t>
            </w:r>
          </w:p>
        </w:tc>
        <w:tc>
          <w:tcPr>
            <w:tcW w:w="795" w:type="dxa"/>
            <w:noWrap/>
            <w:hideMark/>
          </w:tcPr>
          <w:p w14:paraId="2B50B24B" w14:textId="77777777" w:rsidR="00EE5BB8" w:rsidRPr="00C6052E" w:rsidRDefault="00EE5BB8" w:rsidP="009952C1">
            <w:pPr>
              <w:pStyle w:val="TableCopy"/>
              <w:jc w:val="right"/>
              <w:rPr>
                <w:lang w:val="en-AU"/>
              </w:rPr>
            </w:pPr>
            <w:r w:rsidRPr="00C6052E">
              <w:rPr>
                <w:lang w:val="en-AU"/>
              </w:rPr>
              <w:t>1</w:t>
            </w:r>
          </w:p>
        </w:tc>
      </w:tr>
      <w:tr w:rsidR="00EE5BB8" w:rsidRPr="00C6052E" w14:paraId="725220DB" w14:textId="77777777" w:rsidTr="0063097D">
        <w:trPr>
          <w:cantSplit/>
        </w:trPr>
        <w:tc>
          <w:tcPr>
            <w:tcW w:w="4531" w:type="dxa"/>
            <w:hideMark/>
          </w:tcPr>
          <w:p w14:paraId="1E99A869" w14:textId="79F077B7" w:rsidR="00EE5BB8" w:rsidRPr="00C6052E"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Arts</w:t>
            </w:r>
            <w:r w:rsidR="00177848" w:rsidRPr="00C6052E">
              <w:rPr>
                <w:lang w:val="en-AU"/>
              </w:rPr>
              <w:t xml:space="preserve"> </w:t>
            </w:r>
            <w:r w:rsidRPr="00C6052E">
              <w:rPr>
                <w:lang w:val="en-AU"/>
              </w:rPr>
              <w:t>Centre</w:t>
            </w:r>
            <w:r w:rsidR="00177848" w:rsidRPr="00C6052E">
              <w:rPr>
                <w:lang w:val="en-AU"/>
              </w:rPr>
              <w:t xml:space="preserve"> </w:t>
            </w:r>
            <w:r w:rsidRPr="00C6052E">
              <w:rPr>
                <w:lang w:val="en-AU"/>
              </w:rPr>
              <w:t>Melbourne</w:t>
            </w:r>
          </w:p>
        </w:tc>
        <w:tc>
          <w:tcPr>
            <w:tcW w:w="1020" w:type="dxa"/>
            <w:hideMark/>
          </w:tcPr>
          <w:p w14:paraId="07DE9825" w14:textId="048FD878" w:rsidR="00EE5BB8" w:rsidRPr="00C6052E" w:rsidRDefault="00EE5BB8" w:rsidP="0063097D">
            <w:pPr>
              <w:pStyle w:val="TableCopy"/>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017F684F" w14:textId="77777777" w:rsidR="00EE5BB8" w:rsidRPr="00C6052E" w:rsidRDefault="00EE5BB8" w:rsidP="0063097D">
            <w:pPr>
              <w:pStyle w:val="TableCopy"/>
              <w:jc w:val="right"/>
              <w:rPr>
                <w:lang w:val="en-AU"/>
              </w:rPr>
            </w:pPr>
            <w:r w:rsidRPr="00C6052E">
              <w:rPr>
                <w:lang w:val="en-AU"/>
              </w:rPr>
              <w:t>2,198</w:t>
            </w:r>
          </w:p>
        </w:tc>
        <w:tc>
          <w:tcPr>
            <w:tcW w:w="1020" w:type="dxa"/>
            <w:noWrap/>
            <w:hideMark/>
          </w:tcPr>
          <w:p w14:paraId="0FD16044" w14:textId="77777777" w:rsidR="00EE5BB8" w:rsidRPr="00C6052E" w:rsidRDefault="00EE5BB8" w:rsidP="0063097D">
            <w:pPr>
              <w:pStyle w:val="TableCopy"/>
              <w:jc w:val="right"/>
              <w:rPr>
                <w:lang w:val="en-AU"/>
              </w:rPr>
            </w:pPr>
            <w:r w:rsidRPr="00C6052E">
              <w:rPr>
                <w:lang w:val="en-AU"/>
              </w:rPr>
              <w:t>2,200</w:t>
            </w:r>
          </w:p>
        </w:tc>
        <w:tc>
          <w:tcPr>
            <w:tcW w:w="1361" w:type="dxa"/>
            <w:noWrap/>
            <w:hideMark/>
          </w:tcPr>
          <w:p w14:paraId="6E66C1B4" w14:textId="77777777" w:rsidR="00EE5BB8" w:rsidRPr="00C6052E" w:rsidRDefault="00EE5BB8" w:rsidP="0063097D">
            <w:pPr>
              <w:pStyle w:val="TableCopy"/>
              <w:jc w:val="right"/>
              <w:rPr>
                <w:lang w:val="en-AU"/>
              </w:rPr>
            </w:pPr>
            <w:r w:rsidRPr="00C6052E">
              <w:rPr>
                <w:lang w:val="en-AU"/>
              </w:rPr>
              <w:t>-0.1%</w:t>
            </w:r>
          </w:p>
        </w:tc>
        <w:tc>
          <w:tcPr>
            <w:tcW w:w="795" w:type="dxa"/>
            <w:noWrap/>
            <w:hideMark/>
          </w:tcPr>
          <w:p w14:paraId="77221A26" w14:textId="77777777" w:rsidR="00EE5BB8" w:rsidRPr="00C6052E" w:rsidRDefault="00EE5BB8" w:rsidP="009952C1">
            <w:pPr>
              <w:pStyle w:val="TableCopy"/>
              <w:jc w:val="right"/>
              <w:rPr>
                <w:lang w:val="en-AU"/>
              </w:rPr>
            </w:pPr>
            <w:r w:rsidRPr="00C6052E">
              <w:rPr>
                <w:lang w:val="en-AU"/>
              </w:rPr>
              <w:t>2</w:t>
            </w:r>
          </w:p>
        </w:tc>
      </w:tr>
      <w:tr w:rsidR="00EE5BB8" w:rsidRPr="00C6052E" w14:paraId="59B263DC" w14:textId="77777777" w:rsidTr="0063097D">
        <w:trPr>
          <w:cantSplit/>
        </w:trPr>
        <w:tc>
          <w:tcPr>
            <w:tcW w:w="4531" w:type="dxa"/>
            <w:hideMark/>
          </w:tcPr>
          <w:p w14:paraId="53C377E7" w14:textId="0D702F0B" w:rsidR="00EE5BB8" w:rsidRPr="00C6052E"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Centre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Moving</w:t>
            </w:r>
            <w:r w:rsidR="00177848" w:rsidRPr="00C6052E">
              <w:rPr>
                <w:lang w:val="en-AU"/>
              </w:rPr>
              <w:t xml:space="preserve"> </w:t>
            </w:r>
            <w:r w:rsidRPr="00C6052E">
              <w:rPr>
                <w:lang w:val="en-AU"/>
              </w:rPr>
              <w:t>Image</w:t>
            </w:r>
          </w:p>
        </w:tc>
        <w:tc>
          <w:tcPr>
            <w:tcW w:w="1020" w:type="dxa"/>
            <w:hideMark/>
          </w:tcPr>
          <w:p w14:paraId="0CDBCCFC" w14:textId="00397C4F" w:rsidR="00EE5BB8" w:rsidRPr="00C6052E" w:rsidRDefault="00EE5BB8" w:rsidP="0063097D">
            <w:pPr>
              <w:pStyle w:val="TableCopy"/>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6753A0E2" w14:textId="77777777" w:rsidR="00EE5BB8" w:rsidRPr="00C6052E" w:rsidRDefault="00EE5BB8" w:rsidP="0063097D">
            <w:pPr>
              <w:pStyle w:val="TableCopy"/>
              <w:jc w:val="right"/>
              <w:rPr>
                <w:lang w:val="en-AU"/>
              </w:rPr>
            </w:pPr>
            <w:r w:rsidRPr="00C6052E">
              <w:rPr>
                <w:lang w:val="en-AU"/>
              </w:rPr>
              <w:t>987</w:t>
            </w:r>
          </w:p>
        </w:tc>
        <w:tc>
          <w:tcPr>
            <w:tcW w:w="1020" w:type="dxa"/>
            <w:noWrap/>
            <w:hideMark/>
          </w:tcPr>
          <w:p w14:paraId="0E4FE6EE" w14:textId="77777777" w:rsidR="00EE5BB8" w:rsidRPr="00C6052E" w:rsidRDefault="00EE5BB8" w:rsidP="0063097D">
            <w:pPr>
              <w:pStyle w:val="TableCopy"/>
              <w:jc w:val="right"/>
              <w:rPr>
                <w:lang w:val="en-AU"/>
              </w:rPr>
            </w:pPr>
            <w:r w:rsidRPr="00C6052E">
              <w:rPr>
                <w:lang w:val="en-AU"/>
              </w:rPr>
              <w:t>1,000</w:t>
            </w:r>
          </w:p>
        </w:tc>
        <w:tc>
          <w:tcPr>
            <w:tcW w:w="1361" w:type="dxa"/>
            <w:noWrap/>
            <w:hideMark/>
          </w:tcPr>
          <w:p w14:paraId="2A5AF05C" w14:textId="77777777" w:rsidR="00EE5BB8" w:rsidRPr="00C6052E" w:rsidRDefault="00EE5BB8" w:rsidP="0063097D">
            <w:pPr>
              <w:pStyle w:val="TableCopy"/>
              <w:jc w:val="right"/>
              <w:rPr>
                <w:lang w:val="en-AU"/>
              </w:rPr>
            </w:pPr>
            <w:r w:rsidRPr="00C6052E">
              <w:rPr>
                <w:lang w:val="en-AU"/>
              </w:rPr>
              <w:t>-1.3%</w:t>
            </w:r>
          </w:p>
        </w:tc>
        <w:tc>
          <w:tcPr>
            <w:tcW w:w="795" w:type="dxa"/>
            <w:noWrap/>
            <w:hideMark/>
          </w:tcPr>
          <w:p w14:paraId="7DC3C03A" w14:textId="77777777" w:rsidR="00EE5BB8" w:rsidRPr="00C6052E" w:rsidRDefault="00EE5BB8" w:rsidP="009952C1">
            <w:pPr>
              <w:pStyle w:val="TableCopy"/>
              <w:jc w:val="right"/>
              <w:rPr>
                <w:lang w:val="en-AU"/>
              </w:rPr>
            </w:pPr>
            <w:r w:rsidRPr="00C6052E">
              <w:rPr>
                <w:lang w:val="en-AU"/>
              </w:rPr>
              <w:t>2</w:t>
            </w:r>
          </w:p>
        </w:tc>
      </w:tr>
      <w:tr w:rsidR="00EE5BB8" w:rsidRPr="00C6052E" w14:paraId="239228EA" w14:textId="77777777" w:rsidTr="0063097D">
        <w:trPr>
          <w:cantSplit/>
        </w:trPr>
        <w:tc>
          <w:tcPr>
            <w:tcW w:w="4531" w:type="dxa"/>
            <w:hideMark/>
          </w:tcPr>
          <w:p w14:paraId="1DA0E593" w14:textId="77777777" w:rsidR="00EE5BB8"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Geelong</w:t>
            </w:r>
            <w:r w:rsidR="00177848" w:rsidRPr="00C6052E">
              <w:rPr>
                <w:lang w:val="en-AU"/>
              </w:rPr>
              <w:t xml:space="preserve"> </w:t>
            </w:r>
            <w:r w:rsidRPr="00C6052E">
              <w:rPr>
                <w:lang w:val="en-AU"/>
              </w:rPr>
              <w:t>Arts</w:t>
            </w:r>
            <w:r w:rsidR="00177848" w:rsidRPr="00C6052E">
              <w:rPr>
                <w:lang w:val="en-AU"/>
              </w:rPr>
              <w:t xml:space="preserve"> </w:t>
            </w:r>
            <w:r w:rsidRPr="00C6052E">
              <w:rPr>
                <w:lang w:val="en-AU"/>
              </w:rPr>
              <w:t>Centre</w:t>
            </w:r>
          </w:p>
          <w:p w14:paraId="2BADD341" w14:textId="1A106F7F" w:rsidR="00C17A57" w:rsidRPr="00C6052E" w:rsidRDefault="00C17A57" w:rsidP="00C17A57">
            <w:pPr>
              <w:pStyle w:val="Tablenotes-indented"/>
              <w:ind w:left="227" w:firstLine="0"/>
              <w:rPr>
                <w:lang w:val="en-AU"/>
              </w:rPr>
            </w:pPr>
            <w:r w:rsidRPr="00C6052E">
              <w:rPr>
                <w:lang w:val="en-AU"/>
              </w:rPr>
              <w:t>Higher result due to strong attendance driven by successful programming and venue hire demand following the redevelopment.</w:t>
            </w:r>
          </w:p>
        </w:tc>
        <w:tc>
          <w:tcPr>
            <w:tcW w:w="1020" w:type="dxa"/>
            <w:hideMark/>
          </w:tcPr>
          <w:p w14:paraId="468E2068" w14:textId="68EEFBFB" w:rsidR="00EE5BB8" w:rsidRPr="00C6052E" w:rsidRDefault="00EE5BB8" w:rsidP="0063097D">
            <w:pPr>
              <w:pStyle w:val="TableCopy"/>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557E0DAC" w14:textId="77777777" w:rsidR="00EE5BB8" w:rsidRPr="00C6052E" w:rsidRDefault="00EE5BB8" w:rsidP="0063097D">
            <w:pPr>
              <w:pStyle w:val="TableCopy"/>
              <w:jc w:val="right"/>
              <w:rPr>
                <w:lang w:val="en-AU"/>
              </w:rPr>
            </w:pPr>
            <w:r w:rsidRPr="00C6052E">
              <w:rPr>
                <w:lang w:val="en-AU"/>
              </w:rPr>
              <w:t>270</w:t>
            </w:r>
          </w:p>
        </w:tc>
        <w:tc>
          <w:tcPr>
            <w:tcW w:w="1020" w:type="dxa"/>
            <w:noWrap/>
            <w:hideMark/>
          </w:tcPr>
          <w:p w14:paraId="5FDF5BCB" w14:textId="77777777" w:rsidR="00EE5BB8" w:rsidRPr="00C6052E" w:rsidRDefault="00EE5BB8" w:rsidP="0063097D">
            <w:pPr>
              <w:pStyle w:val="TableCopy"/>
              <w:jc w:val="right"/>
              <w:rPr>
                <w:lang w:val="en-AU"/>
              </w:rPr>
            </w:pPr>
            <w:r w:rsidRPr="00C6052E">
              <w:rPr>
                <w:lang w:val="en-AU"/>
              </w:rPr>
              <w:t>100</w:t>
            </w:r>
          </w:p>
        </w:tc>
        <w:tc>
          <w:tcPr>
            <w:tcW w:w="1361" w:type="dxa"/>
            <w:noWrap/>
            <w:hideMark/>
          </w:tcPr>
          <w:p w14:paraId="16D1728F" w14:textId="77777777" w:rsidR="00EE5BB8" w:rsidRPr="00C6052E" w:rsidRDefault="00EE5BB8" w:rsidP="0063097D">
            <w:pPr>
              <w:pStyle w:val="TableCopy"/>
              <w:jc w:val="right"/>
              <w:rPr>
                <w:lang w:val="en-AU"/>
              </w:rPr>
            </w:pPr>
            <w:r w:rsidRPr="00C6052E">
              <w:rPr>
                <w:lang w:val="en-AU"/>
              </w:rPr>
              <w:t>170.0%</w:t>
            </w:r>
          </w:p>
        </w:tc>
        <w:tc>
          <w:tcPr>
            <w:tcW w:w="795" w:type="dxa"/>
            <w:noWrap/>
            <w:hideMark/>
          </w:tcPr>
          <w:p w14:paraId="7C249C6E" w14:textId="77777777" w:rsidR="00EE5BB8" w:rsidRPr="00C6052E" w:rsidRDefault="00EE5BB8" w:rsidP="009952C1">
            <w:pPr>
              <w:pStyle w:val="TableCopy"/>
              <w:jc w:val="right"/>
              <w:rPr>
                <w:lang w:val="en-AU"/>
              </w:rPr>
            </w:pPr>
            <w:r w:rsidRPr="00C6052E">
              <w:rPr>
                <w:lang w:val="en-AU"/>
              </w:rPr>
              <w:t>1</w:t>
            </w:r>
          </w:p>
        </w:tc>
      </w:tr>
      <w:tr w:rsidR="00EE5BB8" w:rsidRPr="00C6052E" w14:paraId="0024A4CF" w14:textId="77777777" w:rsidTr="0063097D">
        <w:trPr>
          <w:cantSplit/>
        </w:trPr>
        <w:tc>
          <w:tcPr>
            <w:tcW w:w="4531" w:type="dxa"/>
            <w:hideMark/>
          </w:tcPr>
          <w:p w14:paraId="19F8F8A7" w14:textId="77777777" w:rsidR="00EE5BB8"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Melbourne</w:t>
            </w:r>
            <w:r w:rsidR="00177848" w:rsidRPr="00C6052E">
              <w:rPr>
                <w:lang w:val="en-AU"/>
              </w:rPr>
              <w:t xml:space="preserve"> </w:t>
            </w:r>
            <w:r w:rsidRPr="00C6052E">
              <w:rPr>
                <w:lang w:val="en-AU"/>
              </w:rPr>
              <w:t>Recital</w:t>
            </w:r>
            <w:r w:rsidR="00177848" w:rsidRPr="00C6052E">
              <w:rPr>
                <w:lang w:val="en-AU"/>
              </w:rPr>
              <w:t xml:space="preserve"> </w:t>
            </w:r>
            <w:r w:rsidRPr="00C6052E">
              <w:rPr>
                <w:lang w:val="en-AU"/>
              </w:rPr>
              <w:t>Centre</w:t>
            </w:r>
          </w:p>
          <w:p w14:paraId="6A241DBD" w14:textId="45484B3C" w:rsidR="00C17A57" w:rsidRPr="00C6052E" w:rsidRDefault="00C17A57" w:rsidP="00C17A57">
            <w:pPr>
              <w:pStyle w:val="Tablenotes-indented"/>
              <w:ind w:left="227" w:firstLine="0"/>
              <w:rPr>
                <w:lang w:val="en-AU"/>
              </w:rPr>
            </w:pPr>
            <w:r w:rsidRPr="00C6052E">
              <w:rPr>
                <w:lang w:val="en-AU"/>
              </w:rPr>
              <w:t>Lower result due to changes in audience behaviour, programming and the current music performance landscape.</w:t>
            </w:r>
          </w:p>
        </w:tc>
        <w:tc>
          <w:tcPr>
            <w:tcW w:w="1020" w:type="dxa"/>
            <w:hideMark/>
          </w:tcPr>
          <w:p w14:paraId="0695C3BD" w14:textId="2860551F" w:rsidR="00EE5BB8" w:rsidRPr="00C6052E" w:rsidRDefault="00EE5BB8" w:rsidP="0063097D">
            <w:pPr>
              <w:pStyle w:val="TableCopy"/>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3A82E89A" w14:textId="77777777" w:rsidR="00EE5BB8" w:rsidRPr="00C6052E" w:rsidRDefault="00EE5BB8" w:rsidP="0063097D">
            <w:pPr>
              <w:pStyle w:val="TableCopy"/>
              <w:jc w:val="right"/>
              <w:rPr>
                <w:lang w:val="en-AU"/>
              </w:rPr>
            </w:pPr>
            <w:r w:rsidRPr="00C6052E">
              <w:rPr>
                <w:lang w:val="en-AU"/>
              </w:rPr>
              <w:t>179</w:t>
            </w:r>
          </w:p>
        </w:tc>
        <w:tc>
          <w:tcPr>
            <w:tcW w:w="1020" w:type="dxa"/>
            <w:noWrap/>
            <w:hideMark/>
          </w:tcPr>
          <w:p w14:paraId="4B222599" w14:textId="77777777" w:rsidR="00EE5BB8" w:rsidRPr="00C6052E" w:rsidRDefault="00EE5BB8" w:rsidP="0063097D">
            <w:pPr>
              <w:pStyle w:val="TableCopy"/>
              <w:jc w:val="right"/>
              <w:rPr>
                <w:lang w:val="en-AU"/>
              </w:rPr>
            </w:pPr>
            <w:r w:rsidRPr="00C6052E">
              <w:rPr>
                <w:lang w:val="en-AU"/>
              </w:rPr>
              <w:t>230</w:t>
            </w:r>
          </w:p>
        </w:tc>
        <w:tc>
          <w:tcPr>
            <w:tcW w:w="1361" w:type="dxa"/>
            <w:noWrap/>
            <w:hideMark/>
          </w:tcPr>
          <w:p w14:paraId="78094D9F" w14:textId="77777777" w:rsidR="00EE5BB8" w:rsidRPr="00C6052E" w:rsidRDefault="00EE5BB8" w:rsidP="0063097D">
            <w:pPr>
              <w:pStyle w:val="TableCopy"/>
              <w:jc w:val="right"/>
              <w:rPr>
                <w:lang w:val="en-AU"/>
              </w:rPr>
            </w:pPr>
            <w:r w:rsidRPr="00C6052E">
              <w:rPr>
                <w:lang w:val="en-AU"/>
              </w:rPr>
              <w:t>-22.2%</w:t>
            </w:r>
          </w:p>
        </w:tc>
        <w:tc>
          <w:tcPr>
            <w:tcW w:w="795" w:type="dxa"/>
            <w:noWrap/>
            <w:hideMark/>
          </w:tcPr>
          <w:p w14:paraId="17F3D44F" w14:textId="77777777" w:rsidR="00EE5BB8" w:rsidRPr="00C6052E" w:rsidRDefault="00EE5BB8" w:rsidP="009952C1">
            <w:pPr>
              <w:pStyle w:val="TableCopy"/>
              <w:jc w:val="right"/>
              <w:rPr>
                <w:lang w:val="en-AU"/>
              </w:rPr>
            </w:pPr>
            <w:r w:rsidRPr="00C6052E">
              <w:rPr>
                <w:lang w:val="en-AU"/>
              </w:rPr>
              <w:t>3</w:t>
            </w:r>
          </w:p>
        </w:tc>
      </w:tr>
      <w:tr w:rsidR="00EE5BB8" w:rsidRPr="00C6052E" w14:paraId="16A98509" w14:textId="77777777" w:rsidTr="0063097D">
        <w:trPr>
          <w:cantSplit/>
        </w:trPr>
        <w:tc>
          <w:tcPr>
            <w:tcW w:w="4531" w:type="dxa"/>
            <w:hideMark/>
          </w:tcPr>
          <w:p w14:paraId="3E1BE831" w14:textId="2BA318F6" w:rsidR="00EE5BB8" w:rsidRPr="00C6052E"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Museums</w:t>
            </w:r>
            <w:r w:rsidR="00177848" w:rsidRPr="00C6052E">
              <w:rPr>
                <w:lang w:val="en-AU"/>
              </w:rPr>
              <w:t xml:space="preserve"> </w:t>
            </w:r>
            <w:r w:rsidRPr="00C6052E">
              <w:rPr>
                <w:lang w:val="en-AU"/>
              </w:rPr>
              <w:t>Victoria</w:t>
            </w:r>
          </w:p>
        </w:tc>
        <w:tc>
          <w:tcPr>
            <w:tcW w:w="1020" w:type="dxa"/>
            <w:hideMark/>
          </w:tcPr>
          <w:p w14:paraId="4FA77179" w14:textId="6C6B2B98" w:rsidR="00EE5BB8" w:rsidRPr="00C6052E" w:rsidRDefault="00EE5BB8" w:rsidP="0063097D">
            <w:pPr>
              <w:pStyle w:val="TableCopy"/>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65B90858" w14:textId="77777777" w:rsidR="00EE5BB8" w:rsidRPr="00C6052E" w:rsidRDefault="00EE5BB8" w:rsidP="0063097D">
            <w:pPr>
              <w:pStyle w:val="TableCopy"/>
              <w:jc w:val="right"/>
              <w:rPr>
                <w:lang w:val="en-AU"/>
              </w:rPr>
            </w:pPr>
            <w:r w:rsidRPr="00C6052E">
              <w:rPr>
                <w:lang w:val="en-AU"/>
              </w:rPr>
              <w:t>2,017</w:t>
            </w:r>
          </w:p>
        </w:tc>
        <w:tc>
          <w:tcPr>
            <w:tcW w:w="1020" w:type="dxa"/>
            <w:noWrap/>
            <w:hideMark/>
          </w:tcPr>
          <w:p w14:paraId="06820C90" w14:textId="77777777" w:rsidR="00EE5BB8" w:rsidRPr="00C6052E" w:rsidRDefault="00EE5BB8" w:rsidP="0063097D">
            <w:pPr>
              <w:pStyle w:val="TableCopy"/>
              <w:jc w:val="right"/>
              <w:rPr>
                <w:lang w:val="en-AU"/>
              </w:rPr>
            </w:pPr>
            <w:r w:rsidRPr="00C6052E">
              <w:rPr>
                <w:lang w:val="en-AU"/>
              </w:rPr>
              <w:t>2,000</w:t>
            </w:r>
          </w:p>
        </w:tc>
        <w:tc>
          <w:tcPr>
            <w:tcW w:w="1361" w:type="dxa"/>
            <w:noWrap/>
            <w:hideMark/>
          </w:tcPr>
          <w:p w14:paraId="462895B4" w14:textId="77777777" w:rsidR="00EE5BB8" w:rsidRPr="00C6052E" w:rsidRDefault="00EE5BB8" w:rsidP="0063097D">
            <w:pPr>
              <w:pStyle w:val="TableCopy"/>
              <w:jc w:val="right"/>
              <w:rPr>
                <w:lang w:val="en-AU"/>
              </w:rPr>
            </w:pPr>
            <w:r w:rsidRPr="00C6052E">
              <w:rPr>
                <w:lang w:val="en-AU"/>
              </w:rPr>
              <w:t>0.9%</w:t>
            </w:r>
          </w:p>
        </w:tc>
        <w:tc>
          <w:tcPr>
            <w:tcW w:w="795" w:type="dxa"/>
            <w:noWrap/>
            <w:hideMark/>
          </w:tcPr>
          <w:p w14:paraId="1E03E65F" w14:textId="77777777" w:rsidR="00EE5BB8" w:rsidRPr="00C6052E" w:rsidRDefault="00EE5BB8" w:rsidP="009952C1">
            <w:pPr>
              <w:pStyle w:val="TableCopy"/>
              <w:jc w:val="right"/>
              <w:rPr>
                <w:lang w:val="en-AU"/>
              </w:rPr>
            </w:pPr>
            <w:r w:rsidRPr="00C6052E">
              <w:rPr>
                <w:lang w:val="en-AU"/>
              </w:rPr>
              <w:t>1</w:t>
            </w:r>
          </w:p>
        </w:tc>
      </w:tr>
      <w:tr w:rsidR="00EE5BB8" w:rsidRPr="00C6052E" w14:paraId="10363BDE" w14:textId="77777777" w:rsidTr="0063097D">
        <w:trPr>
          <w:cantSplit/>
        </w:trPr>
        <w:tc>
          <w:tcPr>
            <w:tcW w:w="4531" w:type="dxa"/>
            <w:hideMark/>
          </w:tcPr>
          <w:p w14:paraId="6BF7A7AD" w14:textId="77777777" w:rsidR="00EE5BB8"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National</w:t>
            </w:r>
            <w:r w:rsidR="00177848" w:rsidRPr="00C6052E">
              <w:rPr>
                <w:lang w:val="en-AU"/>
              </w:rPr>
              <w:t xml:space="preserve"> </w:t>
            </w:r>
            <w:r w:rsidRPr="00C6052E">
              <w:rPr>
                <w:lang w:val="en-AU"/>
              </w:rPr>
              <w:t>Gallery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Victoria</w:t>
            </w:r>
          </w:p>
          <w:p w14:paraId="0061586E" w14:textId="1D731344" w:rsidR="00C17A57" w:rsidRPr="00C6052E" w:rsidRDefault="00C17A57" w:rsidP="00C17A57">
            <w:pPr>
              <w:pStyle w:val="Tablenotes-indented"/>
              <w:ind w:left="227" w:firstLine="0"/>
              <w:rPr>
                <w:lang w:val="en-AU"/>
              </w:rPr>
            </w:pPr>
            <w:r w:rsidRPr="00C6052E">
              <w:rPr>
                <w:lang w:val="en-AU"/>
              </w:rPr>
              <w:t>Higher result due to a popular exhibition program during this period.</w:t>
            </w:r>
          </w:p>
        </w:tc>
        <w:tc>
          <w:tcPr>
            <w:tcW w:w="1020" w:type="dxa"/>
            <w:hideMark/>
          </w:tcPr>
          <w:p w14:paraId="318A233E" w14:textId="0DB923DC" w:rsidR="00EE5BB8" w:rsidRPr="00C6052E" w:rsidRDefault="00EE5BB8" w:rsidP="0063097D">
            <w:pPr>
              <w:pStyle w:val="TableCopy"/>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1B76CC9B" w14:textId="77777777" w:rsidR="00EE5BB8" w:rsidRPr="00C6052E" w:rsidRDefault="00EE5BB8" w:rsidP="0063097D">
            <w:pPr>
              <w:pStyle w:val="TableCopy"/>
              <w:jc w:val="right"/>
              <w:rPr>
                <w:lang w:val="en-AU"/>
              </w:rPr>
            </w:pPr>
            <w:r w:rsidRPr="00C6052E">
              <w:rPr>
                <w:lang w:val="en-AU"/>
              </w:rPr>
              <w:t>3,181</w:t>
            </w:r>
          </w:p>
        </w:tc>
        <w:tc>
          <w:tcPr>
            <w:tcW w:w="1020" w:type="dxa"/>
            <w:noWrap/>
            <w:hideMark/>
          </w:tcPr>
          <w:p w14:paraId="37941852" w14:textId="77777777" w:rsidR="00EE5BB8" w:rsidRPr="00C6052E" w:rsidRDefault="00EE5BB8" w:rsidP="0063097D">
            <w:pPr>
              <w:pStyle w:val="TableCopy"/>
              <w:jc w:val="right"/>
              <w:rPr>
                <w:lang w:val="en-AU"/>
              </w:rPr>
            </w:pPr>
            <w:r w:rsidRPr="00C6052E">
              <w:rPr>
                <w:lang w:val="en-AU"/>
              </w:rPr>
              <w:t>2,235</w:t>
            </w:r>
          </w:p>
        </w:tc>
        <w:tc>
          <w:tcPr>
            <w:tcW w:w="1361" w:type="dxa"/>
            <w:noWrap/>
            <w:hideMark/>
          </w:tcPr>
          <w:p w14:paraId="4775DC9A" w14:textId="77777777" w:rsidR="00EE5BB8" w:rsidRPr="00C6052E" w:rsidRDefault="00EE5BB8" w:rsidP="0063097D">
            <w:pPr>
              <w:pStyle w:val="TableCopy"/>
              <w:jc w:val="right"/>
              <w:rPr>
                <w:lang w:val="en-AU"/>
              </w:rPr>
            </w:pPr>
            <w:r w:rsidRPr="00C6052E">
              <w:rPr>
                <w:lang w:val="en-AU"/>
              </w:rPr>
              <w:t>42.3%</w:t>
            </w:r>
          </w:p>
        </w:tc>
        <w:tc>
          <w:tcPr>
            <w:tcW w:w="795" w:type="dxa"/>
            <w:noWrap/>
            <w:hideMark/>
          </w:tcPr>
          <w:p w14:paraId="0F9CDF7B" w14:textId="77777777" w:rsidR="00EE5BB8" w:rsidRPr="00C6052E" w:rsidRDefault="00EE5BB8" w:rsidP="009952C1">
            <w:pPr>
              <w:pStyle w:val="TableCopy"/>
              <w:jc w:val="right"/>
              <w:rPr>
                <w:lang w:val="en-AU"/>
              </w:rPr>
            </w:pPr>
            <w:r w:rsidRPr="00C6052E">
              <w:rPr>
                <w:lang w:val="en-AU"/>
              </w:rPr>
              <w:t>1</w:t>
            </w:r>
          </w:p>
        </w:tc>
      </w:tr>
      <w:tr w:rsidR="00EE5BB8" w:rsidRPr="00C6052E" w14:paraId="2215D986" w14:textId="77777777" w:rsidTr="0063097D">
        <w:trPr>
          <w:cantSplit/>
        </w:trPr>
        <w:tc>
          <w:tcPr>
            <w:tcW w:w="4531" w:type="dxa"/>
            <w:hideMark/>
          </w:tcPr>
          <w:p w14:paraId="1D43AB5B" w14:textId="77777777" w:rsidR="00EE5BB8" w:rsidRDefault="00EE5BB8" w:rsidP="0063097D">
            <w:pPr>
              <w:pStyle w:val="TableCopy"/>
              <w:rPr>
                <w:lang w:val="en-AU"/>
              </w:rPr>
            </w:pPr>
            <w:r w:rsidRPr="00C6052E">
              <w:rPr>
                <w:lang w:val="en-AU"/>
              </w:rPr>
              <w:t>Attendances</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Library</w:t>
            </w:r>
            <w:r w:rsidR="00177848" w:rsidRPr="00C6052E">
              <w:rPr>
                <w:lang w:val="en-AU"/>
              </w:rPr>
              <w:t xml:space="preserve"> </w:t>
            </w:r>
            <w:r w:rsidRPr="00C6052E">
              <w:rPr>
                <w:lang w:val="en-AU"/>
              </w:rPr>
              <w:t>Victoria</w:t>
            </w:r>
          </w:p>
          <w:p w14:paraId="07A7B7F5" w14:textId="5AAB4BA9" w:rsidR="00C17A57" w:rsidRPr="00C6052E" w:rsidRDefault="00C17A57" w:rsidP="00C17A57">
            <w:pPr>
              <w:pStyle w:val="Tablenotes-indented"/>
              <w:ind w:left="227" w:firstLine="0"/>
              <w:rPr>
                <w:lang w:val="en-AU"/>
              </w:rPr>
            </w:pPr>
            <w:r w:rsidRPr="00C6052E">
              <w:rPr>
                <w:lang w:val="en-AU"/>
              </w:rPr>
              <w:t>Higher result due to increased demand for services, programming and exhibitions.</w:t>
            </w:r>
          </w:p>
        </w:tc>
        <w:tc>
          <w:tcPr>
            <w:tcW w:w="1020" w:type="dxa"/>
            <w:hideMark/>
          </w:tcPr>
          <w:p w14:paraId="4848D5BF" w14:textId="16AEADD4" w:rsidR="00EE5BB8" w:rsidRPr="00C6052E" w:rsidRDefault="00EE5BB8" w:rsidP="0063097D">
            <w:pPr>
              <w:pStyle w:val="TableCopy"/>
              <w:jc w:val="right"/>
              <w:rPr>
                <w:lang w:val="en-AU"/>
              </w:rPr>
            </w:pPr>
            <w:r w:rsidRPr="00C6052E">
              <w:rPr>
                <w:lang w:val="en-AU"/>
              </w:rPr>
              <w:t>number</w:t>
            </w:r>
            <w:r w:rsidR="00177848" w:rsidRPr="00C6052E">
              <w:rPr>
                <w:lang w:val="en-AU"/>
              </w:rPr>
              <w:t xml:space="preserve"> </w:t>
            </w:r>
            <w:r w:rsidRPr="00C6052E">
              <w:rPr>
                <w:lang w:val="en-AU"/>
              </w:rPr>
              <w:t>(000)</w:t>
            </w:r>
          </w:p>
        </w:tc>
        <w:tc>
          <w:tcPr>
            <w:tcW w:w="1020" w:type="dxa"/>
            <w:noWrap/>
            <w:hideMark/>
          </w:tcPr>
          <w:p w14:paraId="2D3CCC84" w14:textId="77777777" w:rsidR="00EE5BB8" w:rsidRPr="00C6052E" w:rsidRDefault="00EE5BB8" w:rsidP="0063097D">
            <w:pPr>
              <w:pStyle w:val="TableCopy"/>
              <w:jc w:val="right"/>
              <w:rPr>
                <w:lang w:val="en-AU"/>
              </w:rPr>
            </w:pPr>
            <w:r w:rsidRPr="00C6052E">
              <w:rPr>
                <w:lang w:val="en-AU"/>
              </w:rPr>
              <w:t>2,818</w:t>
            </w:r>
          </w:p>
        </w:tc>
        <w:tc>
          <w:tcPr>
            <w:tcW w:w="1020" w:type="dxa"/>
            <w:noWrap/>
            <w:hideMark/>
          </w:tcPr>
          <w:p w14:paraId="107EAC69" w14:textId="77777777" w:rsidR="00EE5BB8" w:rsidRPr="00C6052E" w:rsidRDefault="00EE5BB8" w:rsidP="0063097D">
            <w:pPr>
              <w:pStyle w:val="TableCopy"/>
              <w:jc w:val="right"/>
              <w:rPr>
                <w:lang w:val="en-AU"/>
              </w:rPr>
            </w:pPr>
            <w:r w:rsidRPr="00C6052E">
              <w:rPr>
                <w:lang w:val="en-AU"/>
              </w:rPr>
              <w:t>2,250</w:t>
            </w:r>
          </w:p>
        </w:tc>
        <w:tc>
          <w:tcPr>
            <w:tcW w:w="1361" w:type="dxa"/>
            <w:noWrap/>
            <w:hideMark/>
          </w:tcPr>
          <w:p w14:paraId="66A9046B" w14:textId="77777777" w:rsidR="00EE5BB8" w:rsidRPr="00C6052E" w:rsidRDefault="00EE5BB8" w:rsidP="0063097D">
            <w:pPr>
              <w:pStyle w:val="TableCopy"/>
              <w:jc w:val="right"/>
              <w:rPr>
                <w:lang w:val="en-AU"/>
              </w:rPr>
            </w:pPr>
            <w:r w:rsidRPr="00C6052E">
              <w:rPr>
                <w:lang w:val="en-AU"/>
              </w:rPr>
              <w:t>25.2%</w:t>
            </w:r>
          </w:p>
        </w:tc>
        <w:tc>
          <w:tcPr>
            <w:tcW w:w="795" w:type="dxa"/>
            <w:noWrap/>
            <w:hideMark/>
          </w:tcPr>
          <w:p w14:paraId="7D1B79A0" w14:textId="77777777" w:rsidR="00EE5BB8" w:rsidRPr="00C6052E" w:rsidRDefault="00EE5BB8" w:rsidP="009952C1">
            <w:pPr>
              <w:pStyle w:val="TableCopy"/>
              <w:jc w:val="right"/>
              <w:rPr>
                <w:lang w:val="en-AU"/>
              </w:rPr>
            </w:pPr>
            <w:r w:rsidRPr="00C6052E">
              <w:rPr>
                <w:lang w:val="en-AU"/>
              </w:rPr>
              <w:t>1</w:t>
            </w:r>
          </w:p>
        </w:tc>
      </w:tr>
      <w:tr w:rsidR="00EE5BB8" w:rsidRPr="00C6052E" w14:paraId="6B2A70C7" w14:textId="77777777" w:rsidTr="0063097D">
        <w:trPr>
          <w:cantSplit/>
        </w:trPr>
        <w:tc>
          <w:tcPr>
            <w:tcW w:w="4531" w:type="dxa"/>
            <w:hideMark/>
          </w:tcPr>
          <w:p w14:paraId="3E904AB1" w14:textId="77777777" w:rsidR="00EE5BB8" w:rsidRDefault="00EE5BB8" w:rsidP="0063097D">
            <w:pPr>
              <w:pStyle w:val="TableCopy"/>
              <w:keepNext/>
              <w:rPr>
                <w:lang w:val="en-AU"/>
              </w:rPr>
            </w:pPr>
            <w:r w:rsidRPr="00C6052E">
              <w:rPr>
                <w:lang w:val="en-AU"/>
              </w:rPr>
              <w:t>Direct</w:t>
            </w:r>
            <w:r w:rsidR="00177848" w:rsidRPr="00C6052E">
              <w:rPr>
                <w:lang w:val="en-AU"/>
              </w:rPr>
              <w:t xml:space="preserve"> </w:t>
            </w:r>
            <w:r w:rsidRPr="00C6052E">
              <w:rPr>
                <w:lang w:val="en-AU"/>
              </w:rPr>
              <w:t>Full-Time</w:t>
            </w:r>
            <w:r w:rsidR="00177848" w:rsidRPr="00C6052E">
              <w:rPr>
                <w:lang w:val="en-AU"/>
              </w:rPr>
              <w:t xml:space="preserve"> </w:t>
            </w:r>
            <w:r w:rsidRPr="00C6052E">
              <w:rPr>
                <w:lang w:val="en-AU"/>
              </w:rPr>
              <w:t>Equivalent</w:t>
            </w:r>
            <w:r w:rsidR="00177848" w:rsidRPr="00C6052E">
              <w:rPr>
                <w:lang w:val="en-AU"/>
              </w:rPr>
              <w:t xml:space="preserve"> </w:t>
            </w:r>
            <w:r w:rsidRPr="00C6052E">
              <w:rPr>
                <w:lang w:val="en-AU"/>
              </w:rPr>
              <w:t>(FTE)</w:t>
            </w:r>
            <w:r w:rsidR="00177848" w:rsidRPr="00C6052E">
              <w:rPr>
                <w:lang w:val="en-AU"/>
              </w:rPr>
              <w:t xml:space="preserve"> </w:t>
            </w:r>
            <w:r w:rsidRPr="00C6052E">
              <w:rPr>
                <w:lang w:val="en-AU"/>
              </w:rPr>
              <w:t>roles</w:t>
            </w:r>
            <w:r w:rsidR="00177848" w:rsidRPr="00C6052E">
              <w:rPr>
                <w:lang w:val="en-AU"/>
              </w:rPr>
              <w:t xml:space="preserve"> </w:t>
            </w:r>
            <w:r w:rsidRPr="00C6052E">
              <w:rPr>
                <w:lang w:val="en-AU"/>
              </w:rPr>
              <w:t>from</w:t>
            </w:r>
            <w:r w:rsidR="00177848" w:rsidRPr="00C6052E">
              <w:rPr>
                <w:lang w:val="en-AU"/>
              </w:rPr>
              <w:t xml:space="preserve"> </w:t>
            </w:r>
            <w:r w:rsidRPr="00C6052E">
              <w:rPr>
                <w:lang w:val="en-AU"/>
              </w:rPr>
              <w:t>production</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by</w:t>
            </w:r>
            <w:r w:rsidR="00177848" w:rsidRPr="00C6052E">
              <w:rPr>
                <w:lang w:val="en-AU"/>
              </w:rPr>
              <w:t xml:space="preserve"> </w:t>
            </w:r>
            <w:proofErr w:type="spellStart"/>
            <w:r w:rsidRPr="00C6052E">
              <w:rPr>
                <w:lang w:val="en-AU"/>
              </w:rPr>
              <w:t>VicScreen</w:t>
            </w:r>
            <w:proofErr w:type="spellEnd"/>
          </w:p>
          <w:p w14:paraId="0E5FF116" w14:textId="64145820" w:rsidR="00C17A57" w:rsidRPr="00C6052E" w:rsidRDefault="00C17A57" w:rsidP="00C17A57">
            <w:pPr>
              <w:pStyle w:val="Tablenotes-indented"/>
              <w:ind w:left="227" w:firstLine="0"/>
              <w:rPr>
                <w:lang w:val="en-AU"/>
              </w:rPr>
            </w:pPr>
            <w:r w:rsidRPr="00C6052E">
              <w:rPr>
                <w:lang w:val="en-AU"/>
              </w:rPr>
              <w:t>Higher result due to the return of international productions and strong sector recovery following the end of industrial action in the United States.</w:t>
            </w:r>
          </w:p>
        </w:tc>
        <w:tc>
          <w:tcPr>
            <w:tcW w:w="1020" w:type="dxa"/>
            <w:hideMark/>
          </w:tcPr>
          <w:p w14:paraId="11B0A25A" w14:textId="77777777" w:rsidR="00EE5BB8" w:rsidRPr="00C6052E" w:rsidRDefault="00EE5BB8" w:rsidP="0063097D">
            <w:pPr>
              <w:pStyle w:val="TableCopy"/>
              <w:keepNext/>
              <w:jc w:val="right"/>
              <w:rPr>
                <w:lang w:val="en-AU"/>
              </w:rPr>
            </w:pPr>
            <w:r w:rsidRPr="00C6052E">
              <w:rPr>
                <w:lang w:val="en-AU"/>
              </w:rPr>
              <w:t>number</w:t>
            </w:r>
          </w:p>
        </w:tc>
        <w:tc>
          <w:tcPr>
            <w:tcW w:w="1020" w:type="dxa"/>
            <w:noWrap/>
            <w:hideMark/>
          </w:tcPr>
          <w:p w14:paraId="40510381" w14:textId="77777777" w:rsidR="00EE5BB8" w:rsidRPr="00C6052E" w:rsidRDefault="00EE5BB8" w:rsidP="0063097D">
            <w:pPr>
              <w:pStyle w:val="TableCopy"/>
              <w:keepNext/>
              <w:jc w:val="right"/>
              <w:rPr>
                <w:lang w:val="en-AU"/>
              </w:rPr>
            </w:pPr>
            <w:r w:rsidRPr="00C6052E">
              <w:rPr>
                <w:lang w:val="en-AU"/>
              </w:rPr>
              <w:t>3,594</w:t>
            </w:r>
          </w:p>
        </w:tc>
        <w:tc>
          <w:tcPr>
            <w:tcW w:w="1020" w:type="dxa"/>
            <w:noWrap/>
            <w:hideMark/>
          </w:tcPr>
          <w:p w14:paraId="7F00372A" w14:textId="77777777" w:rsidR="00EE5BB8" w:rsidRPr="00C6052E" w:rsidRDefault="00EE5BB8" w:rsidP="0063097D">
            <w:pPr>
              <w:pStyle w:val="TableCopy"/>
              <w:keepNext/>
              <w:jc w:val="right"/>
              <w:rPr>
                <w:lang w:val="en-AU"/>
              </w:rPr>
            </w:pPr>
            <w:r w:rsidRPr="00C6052E">
              <w:rPr>
                <w:lang w:val="en-AU"/>
              </w:rPr>
              <w:t>1,625</w:t>
            </w:r>
          </w:p>
        </w:tc>
        <w:tc>
          <w:tcPr>
            <w:tcW w:w="1361" w:type="dxa"/>
            <w:noWrap/>
            <w:hideMark/>
          </w:tcPr>
          <w:p w14:paraId="46513527" w14:textId="77777777" w:rsidR="00EE5BB8" w:rsidRPr="00C6052E" w:rsidRDefault="00EE5BB8" w:rsidP="0063097D">
            <w:pPr>
              <w:pStyle w:val="TableCopy"/>
              <w:keepNext/>
              <w:jc w:val="right"/>
              <w:rPr>
                <w:lang w:val="en-AU"/>
              </w:rPr>
            </w:pPr>
            <w:r w:rsidRPr="00C6052E">
              <w:rPr>
                <w:lang w:val="en-AU"/>
              </w:rPr>
              <w:t>121.2%</w:t>
            </w:r>
          </w:p>
        </w:tc>
        <w:tc>
          <w:tcPr>
            <w:tcW w:w="795" w:type="dxa"/>
            <w:noWrap/>
            <w:hideMark/>
          </w:tcPr>
          <w:p w14:paraId="3470EC6A" w14:textId="77777777" w:rsidR="00EE5BB8" w:rsidRPr="00C6052E" w:rsidRDefault="00EE5BB8" w:rsidP="009952C1">
            <w:pPr>
              <w:pStyle w:val="TableCopy"/>
              <w:jc w:val="right"/>
              <w:rPr>
                <w:lang w:val="en-AU"/>
              </w:rPr>
            </w:pPr>
            <w:r w:rsidRPr="00C6052E">
              <w:rPr>
                <w:lang w:val="en-AU"/>
              </w:rPr>
              <w:t>1</w:t>
            </w:r>
          </w:p>
        </w:tc>
      </w:tr>
      <w:tr w:rsidR="00EE5BB8" w:rsidRPr="00C6052E" w14:paraId="3A259469" w14:textId="77777777" w:rsidTr="0063097D">
        <w:trPr>
          <w:cantSplit/>
        </w:trPr>
        <w:tc>
          <w:tcPr>
            <w:tcW w:w="4531" w:type="dxa"/>
            <w:hideMark/>
          </w:tcPr>
          <w:p w14:paraId="25AAA2F9" w14:textId="28BA5662" w:rsidR="00EE5BB8" w:rsidRPr="00C6052E" w:rsidRDefault="00EE5BB8" w:rsidP="0063097D">
            <w:pPr>
              <w:pStyle w:val="TableCopy"/>
              <w:rPr>
                <w:lang w:val="en-AU"/>
              </w:rPr>
            </w:pPr>
            <w:r w:rsidRPr="00C6052E">
              <w:rPr>
                <w:lang w:val="en-AU"/>
              </w:rPr>
              <w:t>Members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friends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agencies</w:t>
            </w:r>
          </w:p>
        </w:tc>
        <w:tc>
          <w:tcPr>
            <w:tcW w:w="1020" w:type="dxa"/>
            <w:hideMark/>
          </w:tcPr>
          <w:p w14:paraId="1E3AF10B"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563DEA84" w14:textId="77777777" w:rsidR="00EE5BB8" w:rsidRPr="00C6052E" w:rsidRDefault="00EE5BB8" w:rsidP="0063097D">
            <w:pPr>
              <w:pStyle w:val="TableCopy"/>
              <w:jc w:val="right"/>
              <w:rPr>
                <w:lang w:val="en-AU"/>
              </w:rPr>
            </w:pPr>
            <w:r w:rsidRPr="00C6052E">
              <w:rPr>
                <w:lang w:val="en-AU"/>
              </w:rPr>
              <w:t>54,614</w:t>
            </w:r>
          </w:p>
        </w:tc>
        <w:tc>
          <w:tcPr>
            <w:tcW w:w="1020" w:type="dxa"/>
            <w:noWrap/>
            <w:hideMark/>
          </w:tcPr>
          <w:p w14:paraId="205ABAA6" w14:textId="77777777" w:rsidR="00EE5BB8" w:rsidRPr="00C6052E" w:rsidRDefault="00EE5BB8" w:rsidP="0063097D">
            <w:pPr>
              <w:pStyle w:val="TableCopy"/>
              <w:jc w:val="right"/>
              <w:rPr>
                <w:lang w:val="en-AU"/>
              </w:rPr>
            </w:pPr>
            <w:r w:rsidRPr="00C6052E">
              <w:rPr>
                <w:lang w:val="en-AU"/>
              </w:rPr>
              <w:t>57,000</w:t>
            </w:r>
          </w:p>
        </w:tc>
        <w:tc>
          <w:tcPr>
            <w:tcW w:w="1361" w:type="dxa"/>
            <w:noWrap/>
            <w:hideMark/>
          </w:tcPr>
          <w:p w14:paraId="53B72CF9" w14:textId="77777777" w:rsidR="00EE5BB8" w:rsidRPr="00C6052E" w:rsidRDefault="00EE5BB8" w:rsidP="0063097D">
            <w:pPr>
              <w:pStyle w:val="TableCopy"/>
              <w:jc w:val="right"/>
              <w:rPr>
                <w:lang w:val="en-AU"/>
              </w:rPr>
            </w:pPr>
            <w:r w:rsidRPr="00C6052E">
              <w:rPr>
                <w:lang w:val="en-AU"/>
              </w:rPr>
              <w:t>-4.2%</w:t>
            </w:r>
          </w:p>
        </w:tc>
        <w:tc>
          <w:tcPr>
            <w:tcW w:w="795" w:type="dxa"/>
            <w:noWrap/>
            <w:hideMark/>
          </w:tcPr>
          <w:p w14:paraId="35452EEA" w14:textId="77777777" w:rsidR="00EE5BB8" w:rsidRPr="00C6052E" w:rsidRDefault="00EE5BB8" w:rsidP="009952C1">
            <w:pPr>
              <w:pStyle w:val="TableCopy"/>
              <w:jc w:val="right"/>
              <w:rPr>
                <w:lang w:val="en-AU"/>
              </w:rPr>
            </w:pPr>
            <w:r w:rsidRPr="00C6052E">
              <w:rPr>
                <w:lang w:val="en-AU"/>
              </w:rPr>
              <w:t>2</w:t>
            </w:r>
          </w:p>
        </w:tc>
      </w:tr>
      <w:tr w:rsidR="00EE5BB8" w:rsidRPr="00C6052E" w14:paraId="7B703167" w14:textId="77777777" w:rsidTr="0063097D">
        <w:trPr>
          <w:cantSplit/>
        </w:trPr>
        <w:tc>
          <w:tcPr>
            <w:tcW w:w="4531" w:type="dxa"/>
            <w:hideMark/>
          </w:tcPr>
          <w:p w14:paraId="55351382" w14:textId="77777777" w:rsidR="00EE5BB8" w:rsidRDefault="00EE5BB8" w:rsidP="0063097D">
            <w:pPr>
              <w:pStyle w:val="TableCopy"/>
              <w:rPr>
                <w:lang w:val="en-AU"/>
              </w:rPr>
            </w:pPr>
            <w:r w:rsidRPr="00C6052E">
              <w:rPr>
                <w:lang w:val="en-AU"/>
              </w:rPr>
              <w:lastRenderedPageBreak/>
              <w:t>Students</w:t>
            </w:r>
            <w:r w:rsidR="00177848" w:rsidRPr="00C6052E">
              <w:rPr>
                <w:lang w:val="en-AU"/>
              </w:rPr>
              <w:t xml:space="preserve"> </w:t>
            </w:r>
            <w:r w:rsidRPr="00C6052E">
              <w:rPr>
                <w:lang w:val="en-AU"/>
              </w:rPr>
              <w:t>participating</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agency</w:t>
            </w:r>
            <w:r w:rsidR="00177848" w:rsidRPr="00C6052E">
              <w:rPr>
                <w:lang w:val="en-AU"/>
              </w:rPr>
              <w:t xml:space="preserve"> </w:t>
            </w:r>
            <w:r w:rsidRPr="00C6052E">
              <w:rPr>
                <w:lang w:val="en-AU"/>
              </w:rPr>
              <w:t>education</w:t>
            </w:r>
            <w:r w:rsidR="00177848" w:rsidRPr="00C6052E">
              <w:rPr>
                <w:lang w:val="en-AU"/>
              </w:rPr>
              <w:t xml:space="preserve"> </w:t>
            </w:r>
            <w:r w:rsidRPr="00C6052E">
              <w:rPr>
                <w:lang w:val="en-AU"/>
              </w:rPr>
              <w:t>programs</w:t>
            </w:r>
          </w:p>
          <w:p w14:paraId="4EBB4BF9" w14:textId="64EF104E" w:rsidR="00C17A57" w:rsidRPr="00C6052E" w:rsidRDefault="00C17A57" w:rsidP="00C17A57">
            <w:pPr>
              <w:pStyle w:val="Tablenotes-indented"/>
              <w:ind w:left="227" w:firstLine="0"/>
              <w:rPr>
                <w:lang w:val="en-AU"/>
              </w:rPr>
            </w:pPr>
            <w:r w:rsidRPr="00C6052E">
              <w:rPr>
                <w:lang w:val="en-AU"/>
              </w:rPr>
              <w:t>Higher result due to strong participation in education programs delivered by State Library Victoria, Melbourne Recital Centre, ACMI and NGV.</w:t>
            </w:r>
          </w:p>
        </w:tc>
        <w:tc>
          <w:tcPr>
            <w:tcW w:w="1020" w:type="dxa"/>
            <w:hideMark/>
          </w:tcPr>
          <w:p w14:paraId="025E6268"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79F1E62D" w14:textId="77777777" w:rsidR="00EE5BB8" w:rsidRPr="00C6052E" w:rsidRDefault="00EE5BB8" w:rsidP="0063097D">
            <w:pPr>
              <w:pStyle w:val="TableCopy"/>
              <w:jc w:val="right"/>
              <w:rPr>
                <w:lang w:val="en-AU"/>
              </w:rPr>
            </w:pPr>
            <w:r w:rsidRPr="00C6052E">
              <w:rPr>
                <w:lang w:val="en-AU"/>
              </w:rPr>
              <w:t>670,071</w:t>
            </w:r>
          </w:p>
        </w:tc>
        <w:tc>
          <w:tcPr>
            <w:tcW w:w="1020" w:type="dxa"/>
            <w:noWrap/>
            <w:hideMark/>
          </w:tcPr>
          <w:p w14:paraId="5018479B" w14:textId="77777777" w:rsidR="00EE5BB8" w:rsidRPr="00C6052E" w:rsidRDefault="00EE5BB8" w:rsidP="0063097D">
            <w:pPr>
              <w:pStyle w:val="TableCopy"/>
              <w:jc w:val="right"/>
              <w:rPr>
                <w:lang w:val="en-AU"/>
              </w:rPr>
            </w:pPr>
            <w:r w:rsidRPr="00C6052E">
              <w:rPr>
                <w:lang w:val="en-AU"/>
              </w:rPr>
              <w:t>550,000</w:t>
            </w:r>
          </w:p>
        </w:tc>
        <w:tc>
          <w:tcPr>
            <w:tcW w:w="1361" w:type="dxa"/>
            <w:noWrap/>
            <w:hideMark/>
          </w:tcPr>
          <w:p w14:paraId="4E7FEE6F" w14:textId="77777777" w:rsidR="00EE5BB8" w:rsidRPr="00C6052E" w:rsidRDefault="00EE5BB8" w:rsidP="0063097D">
            <w:pPr>
              <w:pStyle w:val="TableCopy"/>
              <w:jc w:val="right"/>
              <w:rPr>
                <w:lang w:val="en-AU"/>
              </w:rPr>
            </w:pPr>
            <w:r w:rsidRPr="00C6052E">
              <w:rPr>
                <w:lang w:val="en-AU"/>
              </w:rPr>
              <w:t>21.8%</w:t>
            </w:r>
          </w:p>
        </w:tc>
        <w:tc>
          <w:tcPr>
            <w:tcW w:w="795" w:type="dxa"/>
            <w:noWrap/>
            <w:hideMark/>
          </w:tcPr>
          <w:p w14:paraId="1CEAEC19" w14:textId="77777777" w:rsidR="00EE5BB8" w:rsidRPr="00C6052E" w:rsidRDefault="00EE5BB8" w:rsidP="009952C1">
            <w:pPr>
              <w:pStyle w:val="TableCopy"/>
              <w:jc w:val="right"/>
              <w:rPr>
                <w:lang w:val="en-AU"/>
              </w:rPr>
            </w:pPr>
            <w:r w:rsidRPr="00C6052E">
              <w:rPr>
                <w:lang w:val="en-AU"/>
              </w:rPr>
              <w:t>1</w:t>
            </w:r>
          </w:p>
        </w:tc>
      </w:tr>
      <w:tr w:rsidR="00EE5BB8" w:rsidRPr="00C6052E" w14:paraId="79A29493" w14:textId="77777777" w:rsidTr="0063097D">
        <w:trPr>
          <w:cantSplit/>
        </w:trPr>
        <w:tc>
          <w:tcPr>
            <w:tcW w:w="4531" w:type="dxa"/>
            <w:hideMark/>
          </w:tcPr>
          <w:p w14:paraId="47BACDF9" w14:textId="77777777" w:rsidR="00EE5BB8" w:rsidRDefault="00EE5BB8" w:rsidP="0063097D">
            <w:pPr>
              <w:pStyle w:val="TableCopy"/>
              <w:rPr>
                <w:lang w:val="en-AU"/>
              </w:rPr>
            </w:pPr>
            <w:r w:rsidRPr="00C6052E">
              <w:rPr>
                <w:lang w:val="en-AU"/>
              </w:rPr>
              <w:t>Value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film,</w:t>
            </w:r>
            <w:r w:rsidR="00177848" w:rsidRPr="00C6052E">
              <w:rPr>
                <w:lang w:val="en-AU"/>
              </w:rPr>
              <w:t xml:space="preserve"> </w:t>
            </w:r>
            <w:r w:rsidRPr="00C6052E">
              <w:rPr>
                <w:lang w:val="en-AU"/>
              </w:rPr>
              <w:t>television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digital</w:t>
            </w:r>
            <w:r w:rsidR="00177848" w:rsidRPr="00C6052E">
              <w:rPr>
                <w:lang w:val="en-AU"/>
              </w:rPr>
              <w:t xml:space="preserve"> </w:t>
            </w:r>
            <w:r w:rsidRPr="00C6052E">
              <w:rPr>
                <w:lang w:val="en-AU"/>
              </w:rPr>
              <w:t>media</w:t>
            </w:r>
            <w:r w:rsidR="00177848" w:rsidRPr="00C6052E">
              <w:rPr>
                <w:lang w:val="en-AU"/>
              </w:rPr>
              <w:t xml:space="preserve"> </w:t>
            </w:r>
            <w:r w:rsidRPr="00C6052E">
              <w:rPr>
                <w:lang w:val="en-AU"/>
              </w:rPr>
              <w:t>production</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by</w:t>
            </w:r>
            <w:r w:rsidR="00177848" w:rsidRPr="00C6052E">
              <w:rPr>
                <w:lang w:val="en-AU"/>
              </w:rPr>
              <w:t xml:space="preserve"> </w:t>
            </w:r>
            <w:proofErr w:type="spellStart"/>
            <w:r w:rsidRPr="00C6052E">
              <w:rPr>
                <w:lang w:val="en-AU"/>
              </w:rPr>
              <w:t>VicScreen</w:t>
            </w:r>
            <w:proofErr w:type="spellEnd"/>
          </w:p>
          <w:p w14:paraId="65EFCF9D" w14:textId="03E5DE6C" w:rsidR="00C17A57" w:rsidRPr="00C6052E" w:rsidRDefault="00C17A57" w:rsidP="00C17A57">
            <w:pPr>
              <w:pStyle w:val="Tablenotes-indented"/>
              <w:ind w:left="227" w:firstLine="0"/>
              <w:rPr>
                <w:lang w:val="en-AU"/>
              </w:rPr>
            </w:pPr>
            <w:r w:rsidRPr="00C6052E">
              <w:rPr>
                <w:lang w:val="en-AU"/>
              </w:rPr>
              <w:t>Higher result due to the return of international productions and strong sector recovery following the end of industrial action in the United States.</w:t>
            </w:r>
          </w:p>
        </w:tc>
        <w:tc>
          <w:tcPr>
            <w:tcW w:w="1020" w:type="dxa"/>
            <w:hideMark/>
          </w:tcPr>
          <w:p w14:paraId="3BFCAFC0" w14:textId="169271C3" w:rsidR="00EE5BB8" w:rsidRPr="00C6052E" w:rsidRDefault="00EE5BB8" w:rsidP="0063097D">
            <w:pPr>
              <w:pStyle w:val="TableCopy"/>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67EF19EF" w14:textId="77777777" w:rsidR="00EE5BB8" w:rsidRPr="00C6052E" w:rsidRDefault="00EE5BB8" w:rsidP="0063097D">
            <w:pPr>
              <w:pStyle w:val="TableCopy"/>
              <w:jc w:val="right"/>
              <w:rPr>
                <w:lang w:val="en-AU"/>
              </w:rPr>
            </w:pPr>
            <w:r w:rsidRPr="00C6052E">
              <w:rPr>
                <w:lang w:val="en-AU"/>
              </w:rPr>
              <w:t>502</w:t>
            </w:r>
          </w:p>
        </w:tc>
        <w:tc>
          <w:tcPr>
            <w:tcW w:w="1020" w:type="dxa"/>
            <w:noWrap/>
            <w:hideMark/>
          </w:tcPr>
          <w:p w14:paraId="5AC2E713" w14:textId="77777777" w:rsidR="00EE5BB8" w:rsidRPr="00C6052E" w:rsidRDefault="00EE5BB8" w:rsidP="0063097D">
            <w:pPr>
              <w:pStyle w:val="TableCopy"/>
              <w:jc w:val="right"/>
              <w:rPr>
                <w:lang w:val="en-AU"/>
              </w:rPr>
            </w:pPr>
            <w:r w:rsidRPr="00C6052E">
              <w:rPr>
                <w:lang w:val="en-AU"/>
              </w:rPr>
              <w:t>278</w:t>
            </w:r>
          </w:p>
        </w:tc>
        <w:tc>
          <w:tcPr>
            <w:tcW w:w="1361" w:type="dxa"/>
            <w:noWrap/>
            <w:hideMark/>
          </w:tcPr>
          <w:p w14:paraId="0227AA69" w14:textId="77777777" w:rsidR="00EE5BB8" w:rsidRPr="00C6052E" w:rsidRDefault="00EE5BB8" w:rsidP="0063097D">
            <w:pPr>
              <w:pStyle w:val="TableCopy"/>
              <w:jc w:val="right"/>
              <w:rPr>
                <w:lang w:val="en-AU"/>
              </w:rPr>
            </w:pPr>
            <w:r w:rsidRPr="00C6052E">
              <w:rPr>
                <w:lang w:val="en-AU"/>
              </w:rPr>
              <w:t>80.6%</w:t>
            </w:r>
          </w:p>
        </w:tc>
        <w:tc>
          <w:tcPr>
            <w:tcW w:w="795" w:type="dxa"/>
            <w:noWrap/>
            <w:hideMark/>
          </w:tcPr>
          <w:p w14:paraId="46C11DD7" w14:textId="77777777" w:rsidR="00EE5BB8" w:rsidRPr="00C6052E" w:rsidRDefault="00EE5BB8" w:rsidP="009952C1">
            <w:pPr>
              <w:pStyle w:val="TableCopy"/>
              <w:jc w:val="right"/>
              <w:rPr>
                <w:lang w:val="en-AU"/>
              </w:rPr>
            </w:pPr>
            <w:r w:rsidRPr="00C6052E">
              <w:rPr>
                <w:lang w:val="en-AU"/>
              </w:rPr>
              <w:t>1</w:t>
            </w:r>
          </w:p>
        </w:tc>
      </w:tr>
      <w:tr w:rsidR="00EE5BB8" w:rsidRPr="00C6052E" w14:paraId="74ABB2E3" w14:textId="77777777" w:rsidTr="0063097D">
        <w:trPr>
          <w:cantSplit/>
        </w:trPr>
        <w:tc>
          <w:tcPr>
            <w:tcW w:w="4531" w:type="dxa"/>
            <w:hideMark/>
          </w:tcPr>
          <w:p w14:paraId="24098600" w14:textId="77777777" w:rsidR="00EE5BB8" w:rsidRDefault="00EE5BB8" w:rsidP="0063097D">
            <w:pPr>
              <w:pStyle w:val="TableCopy"/>
              <w:rPr>
                <w:lang w:val="en-AU"/>
              </w:rPr>
            </w:pPr>
            <w:r w:rsidRPr="00C6052E">
              <w:rPr>
                <w:lang w:val="en-AU"/>
              </w:rPr>
              <w:t>Volunteer</w:t>
            </w:r>
            <w:r w:rsidR="00177848" w:rsidRPr="00C6052E">
              <w:rPr>
                <w:lang w:val="en-AU"/>
              </w:rPr>
              <w:t xml:space="preserve"> </w:t>
            </w:r>
            <w:r w:rsidRPr="00C6052E">
              <w:rPr>
                <w:lang w:val="en-AU"/>
              </w:rPr>
              <w:t>hours</w:t>
            </w:r>
          </w:p>
          <w:p w14:paraId="08251C54" w14:textId="460340B2" w:rsidR="00C17A57" w:rsidRPr="00C6052E" w:rsidRDefault="00C17A57" w:rsidP="00C17A57">
            <w:pPr>
              <w:pStyle w:val="Tablenotes-indented"/>
              <w:ind w:left="227" w:firstLine="0"/>
              <w:rPr>
                <w:lang w:val="en-AU"/>
              </w:rPr>
            </w:pPr>
            <w:r w:rsidRPr="00C6052E">
              <w:rPr>
                <w:lang w:val="en-AU"/>
              </w:rPr>
              <w:t>Lower result due to volunteering recruitment challenges and changes to agency program delivery models.</w:t>
            </w:r>
          </w:p>
        </w:tc>
        <w:tc>
          <w:tcPr>
            <w:tcW w:w="1020" w:type="dxa"/>
            <w:hideMark/>
          </w:tcPr>
          <w:p w14:paraId="12BC7EE9"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645D738E" w14:textId="77777777" w:rsidR="00EE5BB8" w:rsidRPr="00C6052E" w:rsidRDefault="00EE5BB8" w:rsidP="0063097D">
            <w:pPr>
              <w:pStyle w:val="TableCopy"/>
              <w:jc w:val="right"/>
              <w:rPr>
                <w:lang w:val="en-AU"/>
              </w:rPr>
            </w:pPr>
            <w:r w:rsidRPr="00C6052E">
              <w:rPr>
                <w:lang w:val="en-AU"/>
              </w:rPr>
              <w:t>66,816</w:t>
            </w:r>
          </w:p>
        </w:tc>
        <w:tc>
          <w:tcPr>
            <w:tcW w:w="1020" w:type="dxa"/>
            <w:noWrap/>
            <w:hideMark/>
          </w:tcPr>
          <w:p w14:paraId="7026F04A" w14:textId="77777777" w:rsidR="00EE5BB8" w:rsidRPr="00C6052E" w:rsidRDefault="00EE5BB8" w:rsidP="0063097D">
            <w:pPr>
              <w:pStyle w:val="TableCopy"/>
              <w:jc w:val="right"/>
              <w:rPr>
                <w:lang w:val="en-AU"/>
              </w:rPr>
            </w:pPr>
            <w:r w:rsidRPr="00C6052E">
              <w:rPr>
                <w:lang w:val="en-AU"/>
              </w:rPr>
              <w:t>98,900</w:t>
            </w:r>
          </w:p>
        </w:tc>
        <w:tc>
          <w:tcPr>
            <w:tcW w:w="1361" w:type="dxa"/>
            <w:noWrap/>
            <w:hideMark/>
          </w:tcPr>
          <w:p w14:paraId="20DD41B1" w14:textId="77777777" w:rsidR="00EE5BB8" w:rsidRPr="00C6052E" w:rsidRDefault="00EE5BB8" w:rsidP="0063097D">
            <w:pPr>
              <w:pStyle w:val="TableCopy"/>
              <w:jc w:val="right"/>
              <w:rPr>
                <w:lang w:val="en-AU"/>
              </w:rPr>
            </w:pPr>
            <w:r w:rsidRPr="00C6052E">
              <w:rPr>
                <w:lang w:val="en-AU"/>
              </w:rPr>
              <w:t>-32.4%</w:t>
            </w:r>
          </w:p>
        </w:tc>
        <w:tc>
          <w:tcPr>
            <w:tcW w:w="795" w:type="dxa"/>
            <w:noWrap/>
            <w:hideMark/>
          </w:tcPr>
          <w:p w14:paraId="632DF20C" w14:textId="77777777" w:rsidR="00EE5BB8" w:rsidRPr="00C6052E" w:rsidRDefault="00EE5BB8" w:rsidP="009952C1">
            <w:pPr>
              <w:pStyle w:val="TableCopy"/>
              <w:jc w:val="right"/>
              <w:rPr>
                <w:lang w:val="en-AU"/>
              </w:rPr>
            </w:pPr>
            <w:r w:rsidRPr="00C6052E">
              <w:rPr>
                <w:lang w:val="en-AU"/>
              </w:rPr>
              <w:t>3</w:t>
            </w:r>
          </w:p>
        </w:tc>
      </w:tr>
      <w:tr w:rsidR="00EE5BB8" w:rsidRPr="00C6052E" w14:paraId="79765229" w14:textId="77777777" w:rsidTr="0063097D">
        <w:trPr>
          <w:cantSplit/>
        </w:trPr>
        <w:tc>
          <w:tcPr>
            <w:tcW w:w="4531" w:type="dxa"/>
          </w:tcPr>
          <w:p w14:paraId="31D51BF5" w14:textId="77777777" w:rsidR="00EE5BB8" w:rsidRPr="00C6052E" w:rsidRDefault="00EE5BB8" w:rsidP="0063097D">
            <w:pPr>
              <w:pStyle w:val="TableHeading"/>
              <w:rPr>
                <w:lang w:val="en-AU"/>
              </w:rPr>
            </w:pPr>
            <w:r w:rsidRPr="00C6052E">
              <w:rPr>
                <w:lang w:val="en-AU"/>
              </w:rPr>
              <w:t>Quality</w:t>
            </w:r>
          </w:p>
        </w:tc>
        <w:tc>
          <w:tcPr>
            <w:tcW w:w="1020" w:type="dxa"/>
          </w:tcPr>
          <w:p w14:paraId="579E42C5" w14:textId="77777777" w:rsidR="00EE5BB8" w:rsidRPr="00C6052E" w:rsidRDefault="00EE5BB8" w:rsidP="0063097D">
            <w:pPr>
              <w:pStyle w:val="TableHeading"/>
              <w:jc w:val="right"/>
              <w:rPr>
                <w:lang w:val="en-AU"/>
              </w:rPr>
            </w:pPr>
          </w:p>
        </w:tc>
        <w:tc>
          <w:tcPr>
            <w:tcW w:w="1020" w:type="dxa"/>
            <w:noWrap/>
          </w:tcPr>
          <w:p w14:paraId="6D746551" w14:textId="77777777" w:rsidR="00EE5BB8" w:rsidRPr="00C6052E" w:rsidRDefault="00EE5BB8" w:rsidP="0063097D">
            <w:pPr>
              <w:pStyle w:val="TableHeading"/>
              <w:jc w:val="right"/>
              <w:rPr>
                <w:lang w:val="en-AU"/>
              </w:rPr>
            </w:pPr>
          </w:p>
        </w:tc>
        <w:tc>
          <w:tcPr>
            <w:tcW w:w="1020" w:type="dxa"/>
            <w:noWrap/>
          </w:tcPr>
          <w:p w14:paraId="255FC7E4" w14:textId="77777777" w:rsidR="00EE5BB8" w:rsidRPr="00C6052E" w:rsidRDefault="00EE5BB8" w:rsidP="0063097D">
            <w:pPr>
              <w:pStyle w:val="TableHeading"/>
              <w:jc w:val="right"/>
              <w:rPr>
                <w:lang w:val="en-AU"/>
              </w:rPr>
            </w:pPr>
          </w:p>
        </w:tc>
        <w:tc>
          <w:tcPr>
            <w:tcW w:w="1361" w:type="dxa"/>
            <w:noWrap/>
          </w:tcPr>
          <w:p w14:paraId="66844C38" w14:textId="77777777" w:rsidR="00EE5BB8" w:rsidRPr="00C6052E" w:rsidRDefault="00EE5BB8" w:rsidP="0063097D">
            <w:pPr>
              <w:pStyle w:val="TableHeading"/>
              <w:jc w:val="right"/>
              <w:rPr>
                <w:lang w:val="en-AU"/>
              </w:rPr>
            </w:pPr>
          </w:p>
        </w:tc>
        <w:tc>
          <w:tcPr>
            <w:tcW w:w="795" w:type="dxa"/>
            <w:noWrap/>
          </w:tcPr>
          <w:p w14:paraId="7C6CEABD" w14:textId="77777777" w:rsidR="00EE5BB8" w:rsidRPr="00C6052E" w:rsidRDefault="00EE5BB8" w:rsidP="009952C1">
            <w:pPr>
              <w:pStyle w:val="TableHeading"/>
              <w:rPr>
                <w:lang w:val="en-AU"/>
              </w:rPr>
            </w:pPr>
          </w:p>
        </w:tc>
      </w:tr>
      <w:tr w:rsidR="00EE5BB8" w:rsidRPr="00C6052E" w14:paraId="4BE27241" w14:textId="77777777" w:rsidTr="0063097D">
        <w:trPr>
          <w:cantSplit/>
        </w:trPr>
        <w:tc>
          <w:tcPr>
            <w:tcW w:w="4531" w:type="dxa"/>
            <w:hideMark/>
          </w:tcPr>
          <w:p w14:paraId="4B3AF8B0" w14:textId="7F1B9E4E" w:rsidR="00EE5BB8" w:rsidRPr="00C6052E" w:rsidRDefault="00EE5BB8" w:rsidP="0063097D">
            <w:pPr>
              <w:pStyle w:val="TableCopy"/>
              <w:rPr>
                <w:lang w:val="en-AU"/>
              </w:rPr>
            </w:pPr>
            <w:r w:rsidRPr="00C6052E">
              <w:rPr>
                <w:lang w:val="en-AU"/>
              </w:rPr>
              <w:t>Agency</w:t>
            </w:r>
            <w:r w:rsidR="00177848" w:rsidRPr="00C6052E">
              <w:rPr>
                <w:lang w:val="en-AU"/>
              </w:rPr>
              <w:t xml:space="preserve"> </w:t>
            </w:r>
            <w:r w:rsidRPr="00C6052E">
              <w:rPr>
                <w:lang w:val="en-AU"/>
              </w:rPr>
              <w:t>collections</w:t>
            </w:r>
            <w:r w:rsidR="00177848" w:rsidRPr="00C6052E">
              <w:rPr>
                <w:lang w:val="en-AU"/>
              </w:rPr>
              <w:t xml:space="preserve"> </w:t>
            </w:r>
            <w:r w:rsidRPr="00C6052E">
              <w:rPr>
                <w:lang w:val="en-AU"/>
              </w:rPr>
              <w:t>storage</w:t>
            </w:r>
            <w:r w:rsidR="00177848" w:rsidRPr="00C6052E">
              <w:rPr>
                <w:lang w:val="en-AU"/>
              </w:rPr>
              <w:t xml:space="preserve"> </w:t>
            </w:r>
            <w:r w:rsidRPr="00C6052E">
              <w:rPr>
                <w:lang w:val="en-AU"/>
              </w:rPr>
              <w:t>meeting</w:t>
            </w:r>
            <w:r w:rsidR="00177848" w:rsidRPr="00C6052E">
              <w:rPr>
                <w:lang w:val="en-AU"/>
              </w:rPr>
              <w:t xml:space="preserve"> </w:t>
            </w:r>
            <w:r w:rsidRPr="00C6052E">
              <w:rPr>
                <w:lang w:val="en-AU"/>
              </w:rPr>
              <w:t>industry</w:t>
            </w:r>
            <w:r w:rsidR="00177848" w:rsidRPr="00C6052E">
              <w:rPr>
                <w:lang w:val="en-AU"/>
              </w:rPr>
              <w:t xml:space="preserve"> </w:t>
            </w:r>
            <w:r w:rsidRPr="00C6052E">
              <w:rPr>
                <w:lang w:val="en-AU"/>
              </w:rPr>
              <w:t>standard</w:t>
            </w:r>
          </w:p>
        </w:tc>
        <w:tc>
          <w:tcPr>
            <w:tcW w:w="1020" w:type="dxa"/>
            <w:hideMark/>
          </w:tcPr>
          <w:p w14:paraId="30635347" w14:textId="2D3898C8"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6D7E8E60" w14:textId="77777777" w:rsidR="00EE5BB8" w:rsidRPr="00C6052E" w:rsidRDefault="00EE5BB8" w:rsidP="0063097D">
            <w:pPr>
              <w:pStyle w:val="TableCopy"/>
              <w:jc w:val="right"/>
              <w:rPr>
                <w:lang w:val="en-AU"/>
              </w:rPr>
            </w:pPr>
            <w:r w:rsidRPr="00C6052E">
              <w:rPr>
                <w:lang w:val="en-AU"/>
              </w:rPr>
              <w:t>82</w:t>
            </w:r>
          </w:p>
        </w:tc>
        <w:tc>
          <w:tcPr>
            <w:tcW w:w="1020" w:type="dxa"/>
            <w:noWrap/>
            <w:hideMark/>
          </w:tcPr>
          <w:p w14:paraId="2B28F2EF" w14:textId="77777777" w:rsidR="00EE5BB8" w:rsidRPr="00C6052E" w:rsidRDefault="00EE5BB8" w:rsidP="0063097D">
            <w:pPr>
              <w:pStyle w:val="TableCopy"/>
              <w:jc w:val="right"/>
              <w:rPr>
                <w:lang w:val="en-AU"/>
              </w:rPr>
            </w:pPr>
            <w:r w:rsidRPr="00C6052E">
              <w:rPr>
                <w:lang w:val="en-AU"/>
              </w:rPr>
              <w:t>86</w:t>
            </w:r>
          </w:p>
        </w:tc>
        <w:tc>
          <w:tcPr>
            <w:tcW w:w="1361" w:type="dxa"/>
            <w:noWrap/>
            <w:hideMark/>
          </w:tcPr>
          <w:p w14:paraId="5CFC909E" w14:textId="77777777" w:rsidR="00EE5BB8" w:rsidRPr="00C6052E" w:rsidRDefault="00EE5BB8" w:rsidP="0063097D">
            <w:pPr>
              <w:pStyle w:val="TableCopy"/>
              <w:jc w:val="right"/>
              <w:rPr>
                <w:lang w:val="en-AU"/>
              </w:rPr>
            </w:pPr>
            <w:r w:rsidRPr="00C6052E">
              <w:rPr>
                <w:lang w:val="en-AU"/>
              </w:rPr>
              <w:t>-4.7%</w:t>
            </w:r>
          </w:p>
        </w:tc>
        <w:tc>
          <w:tcPr>
            <w:tcW w:w="795" w:type="dxa"/>
            <w:noWrap/>
            <w:hideMark/>
          </w:tcPr>
          <w:p w14:paraId="6044D669" w14:textId="77777777" w:rsidR="00EE5BB8" w:rsidRPr="00C6052E" w:rsidRDefault="00EE5BB8" w:rsidP="009952C1">
            <w:pPr>
              <w:pStyle w:val="TableCopy"/>
              <w:jc w:val="right"/>
              <w:rPr>
                <w:lang w:val="en-AU"/>
              </w:rPr>
            </w:pPr>
            <w:r w:rsidRPr="00C6052E">
              <w:rPr>
                <w:lang w:val="en-AU"/>
              </w:rPr>
              <w:t>2</w:t>
            </w:r>
          </w:p>
        </w:tc>
      </w:tr>
      <w:tr w:rsidR="00EE5BB8" w:rsidRPr="00C6052E" w14:paraId="3A28BA03" w14:textId="77777777" w:rsidTr="0063097D">
        <w:trPr>
          <w:cantSplit/>
        </w:trPr>
        <w:tc>
          <w:tcPr>
            <w:tcW w:w="4531" w:type="dxa"/>
            <w:hideMark/>
          </w:tcPr>
          <w:p w14:paraId="494607F9" w14:textId="29F54942" w:rsidR="00EE5BB8" w:rsidRPr="00C6052E"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Arts</w:t>
            </w:r>
            <w:r w:rsidR="00177848" w:rsidRPr="00C6052E">
              <w:rPr>
                <w:lang w:val="en-AU"/>
              </w:rPr>
              <w:t xml:space="preserve"> </w:t>
            </w:r>
            <w:r w:rsidRPr="00C6052E">
              <w:rPr>
                <w:lang w:val="en-AU"/>
              </w:rPr>
              <w:t>Centre</w:t>
            </w:r>
            <w:r w:rsidR="00177848" w:rsidRPr="00C6052E">
              <w:rPr>
                <w:lang w:val="en-AU"/>
              </w:rPr>
              <w:t xml:space="preserve"> </w:t>
            </w:r>
            <w:r w:rsidRPr="00C6052E">
              <w:rPr>
                <w:lang w:val="en-AU"/>
              </w:rPr>
              <w:t>Melbourne</w:t>
            </w:r>
          </w:p>
        </w:tc>
        <w:tc>
          <w:tcPr>
            <w:tcW w:w="1020" w:type="dxa"/>
            <w:hideMark/>
          </w:tcPr>
          <w:p w14:paraId="1EACA590" w14:textId="50461120"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60585170" w14:textId="77777777" w:rsidR="00EE5BB8" w:rsidRPr="00C6052E" w:rsidRDefault="00EE5BB8" w:rsidP="0063097D">
            <w:pPr>
              <w:pStyle w:val="TableCopy"/>
              <w:jc w:val="right"/>
              <w:rPr>
                <w:lang w:val="en-AU"/>
              </w:rPr>
            </w:pPr>
            <w:r w:rsidRPr="00C6052E">
              <w:rPr>
                <w:lang w:val="en-AU"/>
              </w:rPr>
              <w:t>91</w:t>
            </w:r>
          </w:p>
        </w:tc>
        <w:tc>
          <w:tcPr>
            <w:tcW w:w="1020" w:type="dxa"/>
            <w:noWrap/>
            <w:hideMark/>
          </w:tcPr>
          <w:p w14:paraId="37392482" w14:textId="77777777" w:rsidR="00EE5BB8" w:rsidRPr="00C6052E" w:rsidRDefault="00EE5BB8" w:rsidP="0063097D">
            <w:pPr>
              <w:pStyle w:val="TableCopy"/>
              <w:jc w:val="right"/>
              <w:rPr>
                <w:lang w:val="en-AU"/>
              </w:rPr>
            </w:pPr>
            <w:r w:rsidRPr="00C6052E">
              <w:rPr>
                <w:lang w:val="en-AU"/>
              </w:rPr>
              <w:t>90</w:t>
            </w:r>
          </w:p>
        </w:tc>
        <w:tc>
          <w:tcPr>
            <w:tcW w:w="1361" w:type="dxa"/>
            <w:noWrap/>
            <w:hideMark/>
          </w:tcPr>
          <w:p w14:paraId="263A5B81" w14:textId="77777777" w:rsidR="00EE5BB8" w:rsidRPr="00C6052E" w:rsidRDefault="00EE5BB8" w:rsidP="0063097D">
            <w:pPr>
              <w:pStyle w:val="TableCopy"/>
              <w:jc w:val="right"/>
              <w:rPr>
                <w:lang w:val="en-AU"/>
              </w:rPr>
            </w:pPr>
            <w:r w:rsidRPr="00C6052E">
              <w:rPr>
                <w:lang w:val="en-AU"/>
              </w:rPr>
              <w:t>1.1%</w:t>
            </w:r>
          </w:p>
        </w:tc>
        <w:tc>
          <w:tcPr>
            <w:tcW w:w="795" w:type="dxa"/>
            <w:noWrap/>
            <w:hideMark/>
          </w:tcPr>
          <w:p w14:paraId="27D53A42" w14:textId="77777777" w:rsidR="00EE5BB8" w:rsidRPr="00C6052E" w:rsidRDefault="00EE5BB8" w:rsidP="009952C1">
            <w:pPr>
              <w:pStyle w:val="TableCopy"/>
              <w:jc w:val="right"/>
              <w:rPr>
                <w:lang w:val="en-AU"/>
              </w:rPr>
            </w:pPr>
            <w:r w:rsidRPr="00C6052E">
              <w:rPr>
                <w:lang w:val="en-AU"/>
              </w:rPr>
              <w:t>1</w:t>
            </w:r>
          </w:p>
        </w:tc>
      </w:tr>
      <w:tr w:rsidR="00EE5BB8" w:rsidRPr="00C6052E" w14:paraId="461C07CC" w14:textId="77777777" w:rsidTr="0063097D">
        <w:trPr>
          <w:cantSplit/>
        </w:trPr>
        <w:tc>
          <w:tcPr>
            <w:tcW w:w="4531" w:type="dxa"/>
            <w:hideMark/>
          </w:tcPr>
          <w:p w14:paraId="4774DC3B" w14:textId="7D92AB99" w:rsidR="00EE5BB8" w:rsidRPr="00C6052E"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Centre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Moving</w:t>
            </w:r>
            <w:r w:rsidR="00177848" w:rsidRPr="00C6052E">
              <w:rPr>
                <w:lang w:val="en-AU"/>
              </w:rPr>
              <w:t xml:space="preserve"> </w:t>
            </w:r>
            <w:r w:rsidRPr="00C6052E">
              <w:rPr>
                <w:lang w:val="en-AU"/>
              </w:rPr>
              <w:t>Image</w:t>
            </w:r>
          </w:p>
        </w:tc>
        <w:tc>
          <w:tcPr>
            <w:tcW w:w="1020" w:type="dxa"/>
            <w:hideMark/>
          </w:tcPr>
          <w:p w14:paraId="6931A6C9" w14:textId="43B0370A"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0D867AE" w14:textId="77777777" w:rsidR="00EE5BB8" w:rsidRPr="00C6052E" w:rsidRDefault="00EE5BB8" w:rsidP="0063097D">
            <w:pPr>
              <w:pStyle w:val="TableCopy"/>
              <w:jc w:val="right"/>
              <w:rPr>
                <w:lang w:val="en-AU"/>
              </w:rPr>
            </w:pPr>
            <w:r w:rsidRPr="00C6052E">
              <w:rPr>
                <w:lang w:val="en-AU"/>
              </w:rPr>
              <w:t>98</w:t>
            </w:r>
          </w:p>
        </w:tc>
        <w:tc>
          <w:tcPr>
            <w:tcW w:w="1020" w:type="dxa"/>
            <w:noWrap/>
            <w:hideMark/>
          </w:tcPr>
          <w:p w14:paraId="790E3EF2" w14:textId="77777777" w:rsidR="00EE5BB8" w:rsidRPr="00C6052E" w:rsidRDefault="00EE5BB8" w:rsidP="0063097D">
            <w:pPr>
              <w:pStyle w:val="TableCopy"/>
              <w:jc w:val="right"/>
              <w:rPr>
                <w:lang w:val="en-AU"/>
              </w:rPr>
            </w:pPr>
            <w:r w:rsidRPr="00C6052E">
              <w:rPr>
                <w:lang w:val="en-AU"/>
              </w:rPr>
              <w:t>95</w:t>
            </w:r>
          </w:p>
        </w:tc>
        <w:tc>
          <w:tcPr>
            <w:tcW w:w="1361" w:type="dxa"/>
            <w:noWrap/>
            <w:hideMark/>
          </w:tcPr>
          <w:p w14:paraId="3291C7B8" w14:textId="77777777" w:rsidR="00EE5BB8" w:rsidRPr="00C6052E" w:rsidRDefault="00EE5BB8" w:rsidP="0063097D">
            <w:pPr>
              <w:pStyle w:val="TableCopy"/>
              <w:jc w:val="right"/>
              <w:rPr>
                <w:lang w:val="en-AU"/>
              </w:rPr>
            </w:pPr>
            <w:r w:rsidRPr="00C6052E">
              <w:rPr>
                <w:lang w:val="en-AU"/>
              </w:rPr>
              <w:t>3.2%</w:t>
            </w:r>
          </w:p>
        </w:tc>
        <w:tc>
          <w:tcPr>
            <w:tcW w:w="795" w:type="dxa"/>
            <w:noWrap/>
            <w:hideMark/>
          </w:tcPr>
          <w:p w14:paraId="1DA7B6C9" w14:textId="77777777" w:rsidR="00EE5BB8" w:rsidRPr="00C6052E" w:rsidRDefault="00EE5BB8" w:rsidP="009952C1">
            <w:pPr>
              <w:pStyle w:val="TableCopy"/>
              <w:jc w:val="right"/>
              <w:rPr>
                <w:lang w:val="en-AU"/>
              </w:rPr>
            </w:pPr>
            <w:r w:rsidRPr="00C6052E">
              <w:rPr>
                <w:lang w:val="en-AU"/>
              </w:rPr>
              <w:t>1</w:t>
            </w:r>
          </w:p>
        </w:tc>
      </w:tr>
      <w:tr w:rsidR="00EE5BB8" w:rsidRPr="00C6052E" w14:paraId="7FFD2BE8" w14:textId="77777777" w:rsidTr="0063097D">
        <w:trPr>
          <w:cantSplit/>
        </w:trPr>
        <w:tc>
          <w:tcPr>
            <w:tcW w:w="4531" w:type="dxa"/>
            <w:hideMark/>
          </w:tcPr>
          <w:p w14:paraId="3C640197" w14:textId="6F579F83" w:rsidR="00EE5BB8" w:rsidRPr="00C6052E"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Geelong</w:t>
            </w:r>
            <w:r w:rsidR="00177848" w:rsidRPr="00C6052E">
              <w:rPr>
                <w:lang w:val="en-AU"/>
              </w:rPr>
              <w:t xml:space="preserve"> </w:t>
            </w:r>
            <w:r w:rsidRPr="00C6052E">
              <w:rPr>
                <w:lang w:val="en-AU"/>
              </w:rPr>
              <w:t>Arts</w:t>
            </w:r>
            <w:r w:rsidR="00177848" w:rsidRPr="00C6052E">
              <w:rPr>
                <w:lang w:val="en-AU"/>
              </w:rPr>
              <w:t xml:space="preserve"> </w:t>
            </w:r>
            <w:r w:rsidRPr="00C6052E">
              <w:rPr>
                <w:lang w:val="en-AU"/>
              </w:rPr>
              <w:t>Centre</w:t>
            </w:r>
          </w:p>
        </w:tc>
        <w:tc>
          <w:tcPr>
            <w:tcW w:w="1020" w:type="dxa"/>
            <w:hideMark/>
          </w:tcPr>
          <w:p w14:paraId="639DC795" w14:textId="076E9BB6"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6FE9524" w14:textId="77777777" w:rsidR="00EE5BB8" w:rsidRPr="00C6052E" w:rsidRDefault="00EE5BB8" w:rsidP="0063097D">
            <w:pPr>
              <w:pStyle w:val="TableCopy"/>
              <w:jc w:val="right"/>
              <w:rPr>
                <w:lang w:val="en-AU"/>
              </w:rPr>
            </w:pPr>
            <w:r w:rsidRPr="00C6052E">
              <w:rPr>
                <w:lang w:val="en-AU"/>
              </w:rPr>
              <w:t>96</w:t>
            </w:r>
          </w:p>
        </w:tc>
        <w:tc>
          <w:tcPr>
            <w:tcW w:w="1020" w:type="dxa"/>
            <w:noWrap/>
            <w:hideMark/>
          </w:tcPr>
          <w:p w14:paraId="5FAC6323" w14:textId="77777777" w:rsidR="00EE5BB8" w:rsidRPr="00C6052E" w:rsidRDefault="00EE5BB8" w:rsidP="0063097D">
            <w:pPr>
              <w:pStyle w:val="TableCopy"/>
              <w:jc w:val="right"/>
              <w:rPr>
                <w:lang w:val="en-AU"/>
              </w:rPr>
            </w:pPr>
            <w:r w:rsidRPr="00C6052E">
              <w:rPr>
                <w:lang w:val="en-AU"/>
              </w:rPr>
              <w:t>98</w:t>
            </w:r>
          </w:p>
        </w:tc>
        <w:tc>
          <w:tcPr>
            <w:tcW w:w="1361" w:type="dxa"/>
            <w:noWrap/>
            <w:hideMark/>
          </w:tcPr>
          <w:p w14:paraId="7364267B" w14:textId="77777777" w:rsidR="00EE5BB8" w:rsidRPr="00C6052E" w:rsidRDefault="00EE5BB8" w:rsidP="0063097D">
            <w:pPr>
              <w:pStyle w:val="TableCopy"/>
              <w:jc w:val="right"/>
              <w:rPr>
                <w:lang w:val="en-AU"/>
              </w:rPr>
            </w:pPr>
            <w:r w:rsidRPr="00C6052E">
              <w:rPr>
                <w:lang w:val="en-AU"/>
              </w:rPr>
              <w:t>-2.0%</w:t>
            </w:r>
          </w:p>
        </w:tc>
        <w:tc>
          <w:tcPr>
            <w:tcW w:w="795" w:type="dxa"/>
            <w:noWrap/>
            <w:hideMark/>
          </w:tcPr>
          <w:p w14:paraId="642524AF" w14:textId="77777777" w:rsidR="00EE5BB8" w:rsidRPr="00C6052E" w:rsidRDefault="00EE5BB8" w:rsidP="009952C1">
            <w:pPr>
              <w:pStyle w:val="TableCopy"/>
              <w:jc w:val="right"/>
              <w:rPr>
                <w:lang w:val="en-AU"/>
              </w:rPr>
            </w:pPr>
            <w:r w:rsidRPr="00C6052E">
              <w:rPr>
                <w:lang w:val="en-AU"/>
              </w:rPr>
              <w:t>2</w:t>
            </w:r>
          </w:p>
        </w:tc>
      </w:tr>
      <w:tr w:rsidR="00EE5BB8" w:rsidRPr="00C6052E" w14:paraId="50572C60" w14:textId="77777777" w:rsidTr="0063097D">
        <w:trPr>
          <w:cantSplit/>
        </w:trPr>
        <w:tc>
          <w:tcPr>
            <w:tcW w:w="4531" w:type="dxa"/>
            <w:hideMark/>
          </w:tcPr>
          <w:p w14:paraId="2E8A576C" w14:textId="42D7970A" w:rsidR="00EE5BB8" w:rsidRPr="00C6052E"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Melbourne</w:t>
            </w:r>
            <w:r w:rsidR="00177848" w:rsidRPr="00C6052E">
              <w:rPr>
                <w:lang w:val="en-AU"/>
              </w:rPr>
              <w:t xml:space="preserve"> </w:t>
            </w:r>
            <w:r w:rsidRPr="00C6052E">
              <w:rPr>
                <w:lang w:val="en-AU"/>
              </w:rPr>
              <w:t>Recital</w:t>
            </w:r>
            <w:r w:rsidR="00177848" w:rsidRPr="00C6052E">
              <w:rPr>
                <w:lang w:val="en-AU"/>
              </w:rPr>
              <w:t xml:space="preserve"> </w:t>
            </w:r>
            <w:r w:rsidRPr="00C6052E">
              <w:rPr>
                <w:lang w:val="en-AU"/>
              </w:rPr>
              <w:t>Centre</w:t>
            </w:r>
          </w:p>
        </w:tc>
        <w:tc>
          <w:tcPr>
            <w:tcW w:w="1020" w:type="dxa"/>
            <w:hideMark/>
          </w:tcPr>
          <w:p w14:paraId="0C4892B2" w14:textId="5E20E514"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57305C94" w14:textId="77777777" w:rsidR="00EE5BB8" w:rsidRPr="00C6052E" w:rsidRDefault="00EE5BB8" w:rsidP="0063097D">
            <w:pPr>
              <w:pStyle w:val="TableCopy"/>
              <w:jc w:val="right"/>
              <w:rPr>
                <w:lang w:val="en-AU"/>
              </w:rPr>
            </w:pPr>
            <w:r w:rsidRPr="00C6052E">
              <w:rPr>
                <w:lang w:val="en-AU"/>
              </w:rPr>
              <w:t>96</w:t>
            </w:r>
          </w:p>
        </w:tc>
        <w:tc>
          <w:tcPr>
            <w:tcW w:w="1020" w:type="dxa"/>
            <w:noWrap/>
            <w:hideMark/>
          </w:tcPr>
          <w:p w14:paraId="755C7028" w14:textId="77777777" w:rsidR="00EE5BB8" w:rsidRPr="00C6052E" w:rsidRDefault="00EE5BB8" w:rsidP="0063097D">
            <w:pPr>
              <w:pStyle w:val="TableCopy"/>
              <w:jc w:val="right"/>
              <w:rPr>
                <w:lang w:val="en-AU"/>
              </w:rPr>
            </w:pPr>
            <w:r w:rsidRPr="00C6052E">
              <w:rPr>
                <w:lang w:val="en-AU"/>
              </w:rPr>
              <w:t>95</w:t>
            </w:r>
          </w:p>
        </w:tc>
        <w:tc>
          <w:tcPr>
            <w:tcW w:w="1361" w:type="dxa"/>
            <w:noWrap/>
            <w:hideMark/>
          </w:tcPr>
          <w:p w14:paraId="764798ED" w14:textId="77777777" w:rsidR="00EE5BB8" w:rsidRPr="00C6052E" w:rsidRDefault="00EE5BB8" w:rsidP="0063097D">
            <w:pPr>
              <w:pStyle w:val="TableCopy"/>
              <w:jc w:val="right"/>
              <w:rPr>
                <w:lang w:val="en-AU"/>
              </w:rPr>
            </w:pPr>
            <w:r w:rsidRPr="00C6052E">
              <w:rPr>
                <w:lang w:val="en-AU"/>
              </w:rPr>
              <w:t>1.1%</w:t>
            </w:r>
          </w:p>
        </w:tc>
        <w:tc>
          <w:tcPr>
            <w:tcW w:w="795" w:type="dxa"/>
            <w:noWrap/>
            <w:hideMark/>
          </w:tcPr>
          <w:p w14:paraId="33C2B99B" w14:textId="77777777" w:rsidR="00EE5BB8" w:rsidRPr="00C6052E" w:rsidRDefault="00EE5BB8" w:rsidP="009952C1">
            <w:pPr>
              <w:pStyle w:val="TableCopy"/>
              <w:jc w:val="right"/>
              <w:rPr>
                <w:lang w:val="en-AU"/>
              </w:rPr>
            </w:pPr>
            <w:r w:rsidRPr="00C6052E">
              <w:rPr>
                <w:lang w:val="en-AU"/>
              </w:rPr>
              <w:t>1</w:t>
            </w:r>
          </w:p>
        </w:tc>
      </w:tr>
      <w:tr w:rsidR="00EE5BB8" w:rsidRPr="00C6052E" w14:paraId="7228850C" w14:textId="77777777" w:rsidTr="0063097D">
        <w:trPr>
          <w:cantSplit/>
        </w:trPr>
        <w:tc>
          <w:tcPr>
            <w:tcW w:w="4531" w:type="dxa"/>
            <w:hideMark/>
          </w:tcPr>
          <w:p w14:paraId="3B4E3A23" w14:textId="4270CAEB" w:rsidR="00EE5BB8" w:rsidRPr="00C6052E"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Museums</w:t>
            </w:r>
            <w:r w:rsidR="00177848" w:rsidRPr="00C6052E">
              <w:rPr>
                <w:lang w:val="en-AU"/>
              </w:rPr>
              <w:t xml:space="preserve"> </w:t>
            </w:r>
            <w:r w:rsidRPr="00C6052E">
              <w:rPr>
                <w:lang w:val="en-AU"/>
              </w:rPr>
              <w:t>Victoria</w:t>
            </w:r>
          </w:p>
        </w:tc>
        <w:tc>
          <w:tcPr>
            <w:tcW w:w="1020" w:type="dxa"/>
            <w:hideMark/>
          </w:tcPr>
          <w:p w14:paraId="431933B2" w14:textId="43C77008"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8E10B7B" w14:textId="77777777" w:rsidR="00EE5BB8" w:rsidRPr="00C6052E" w:rsidRDefault="00EE5BB8" w:rsidP="0063097D">
            <w:pPr>
              <w:pStyle w:val="TableCopy"/>
              <w:jc w:val="right"/>
              <w:rPr>
                <w:lang w:val="en-AU"/>
              </w:rPr>
            </w:pPr>
            <w:r w:rsidRPr="00C6052E">
              <w:rPr>
                <w:lang w:val="en-AU"/>
              </w:rPr>
              <w:t>93</w:t>
            </w:r>
          </w:p>
        </w:tc>
        <w:tc>
          <w:tcPr>
            <w:tcW w:w="1020" w:type="dxa"/>
            <w:noWrap/>
            <w:hideMark/>
          </w:tcPr>
          <w:p w14:paraId="2C824307" w14:textId="77777777" w:rsidR="00EE5BB8" w:rsidRPr="00C6052E" w:rsidRDefault="00EE5BB8" w:rsidP="0063097D">
            <w:pPr>
              <w:pStyle w:val="TableCopy"/>
              <w:jc w:val="right"/>
              <w:rPr>
                <w:lang w:val="en-AU"/>
              </w:rPr>
            </w:pPr>
            <w:r w:rsidRPr="00C6052E">
              <w:rPr>
                <w:lang w:val="en-AU"/>
              </w:rPr>
              <w:t>96</w:t>
            </w:r>
          </w:p>
        </w:tc>
        <w:tc>
          <w:tcPr>
            <w:tcW w:w="1361" w:type="dxa"/>
            <w:noWrap/>
            <w:hideMark/>
          </w:tcPr>
          <w:p w14:paraId="1C52391D" w14:textId="77777777" w:rsidR="00EE5BB8" w:rsidRPr="00C6052E" w:rsidRDefault="00EE5BB8" w:rsidP="0063097D">
            <w:pPr>
              <w:pStyle w:val="TableCopy"/>
              <w:jc w:val="right"/>
              <w:rPr>
                <w:lang w:val="en-AU"/>
              </w:rPr>
            </w:pPr>
            <w:r w:rsidRPr="00C6052E">
              <w:rPr>
                <w:lang w:val="en-AU"/>
              </w:rPr>
              <w:t>-3.1%</w:t>
            </w:r>
          </w:p>
        </w:tc>
        <w:tc>
          <w:tcPr>
            <w:tcW w:w="795" w:type="dxa"/>
            <w:noWrap/>
            <w:hideMark/>
          </w:tcPr>
          <w:p w14:paraId="1965D1A6" w14:textId="77777777" w:rsidR="00EE5BB8" w:rsidRPr="00C6052E" w:rsidRDefault="00EE5BB8" w:rsidP="009952C1">
            <w:pPr>
              <w:pStyle w:val="TableCopy"/>
              <w:jc w:val="right"/>
              <w:rPr>
                <w:lang w:val="en-AU"/>
              </w:rPr>
            </w:pPr>
            <w:r w:rsidRPr="00C6052E">
              <w:rPr>
                <w:lang w:val="en-AU"/>
              </w:rPr>
              <w:t>2</w:t>
            </w:r>
          </w:p>
        </w:tc>
      </w:tr>
      <w:tr w:rsidR="00EE5BB8" w:rsidRPr="00C6052E" w14:paraId="102AA33B" w14:textId="77777777" w:rsidTr="0063097D">
        <w:trPr>
          <w:cantSplit/>
        </w:trPr>
        <w:tc>
          <w:tcPr>
            <w:tcW w:w="4531" w:type="dxa"/>
            <w:hideMark/>
          </w:tcPr>
          <w:p w14:paraId="178522F6" w14:textId="7EFD342B" w:rsidR="00EE5BB8" w:rsidRPr="00C6052E"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National</w:t>
            </w:r>
            <w:r w:rsidR="00177848" w:rsidRPr="00C6052E">
              <w:rPr>
                <w:lang w:val="en-AU"/>
              </w:rPr>
              <w:t xml:space="preserve"> </w:t>
            </w:r>
            <w:r w:rsidRPr="00C6052E">
              <w:rPr>
                <w:lang w:val="en-AU"/>
              </w:rPr>
              <w:t>Gallery</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Victoria</w:t>
            </w:r>
          </w:p>
        </w:tc>
        <w:tc>
          <w:tcPr>
            <w:tcW w:w="1020" w:type="dxa"/>
            <w:hideMark/>
          </w:tcPr>
          <w:p w14:paraId="699AE5BF" w14:textId="44A74C3A"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766CBAEF" w14:textId="77777777" w:rsidR="00EE5BB8" w:rsidRPr="00C6052E" w:rsidRDefault="00EE5BB8" w:rsidP="0063097D">
            <w:pPr>
              <w:pStyle w:val="TableCopy"/>
              <w:jc w:val="right"/>
              <w:rPr>
                <w:lang w:val="en-AU"/>
              </w:rPr>
            </w:pPr>
            <w:r w:rsidRPr="00C6052E">
              <w:rPr>
                <w:lang w:val="en-AU"/>
              </w:rPr>
              <w:t>97</w:t>
            </w:r>
          </w:p>
        </w:tc>
        <w:tc>
          <w:tcPr>
            <w:tcW w:w="1020" w:type="dxa"/>
            <w:noWrap/>
            <w:hideMark/>
          </w:tcPr>
          <w:p w14:paraId="444C47E7" w14:textId="77777777" w:rsidR="00EE5BB8" w:rsidRPr="00C6052E" w:rsidRDefault="00EE5BB8" w:rsidP="0063097D">
            <w:pPr>
              <w:pStyle w:val="TableCopy"/>
              <w:jc w:val="right"/>
              <w:rPr>
                <w:lang w:val="en-AU"/>
              </w:rPr>
            </w:pPr>
            <w:r w:rsidRPr="00C6052E">
              <w:rPr>
                <w:lang w:val="en-AU"/>
              </w:rPr>
              <w:t>95</w:t>
            </w:r>
          </w:p>
        </w:tc>
        <w:tc>
          <w:tcPr>
            <w:tcW w:w="1361" w:type="dxa"/>
            <w:noWrap/>
            <w:hideMark/>
          </w:tcPr>
          <w:p w14:paraId="3D6F441B" w14:textId="77777777" w:rsidR="00EE5BB8" w:rsidRPr="00C6052E" w:rsidRDefault="00EE5BB8" w:rsidP="0063097D">
            <w:pPr>
              <w:pStyle w:val="TableCopy"/>
              <w:jc w:val="right"/>
              <w:rPr>
                <w:lang w:val="en-AU"/>
              </w:rPr>
            </w:pPr>
            <w:r w:rsidRPr="00C6052E">
              <w:rPr>
                <w:lang w:val="en-AU"/>
              </w:rPr>
              <w:t>2.1%</w:t>
            </w:r>
          </w:p>
        </w:tc>
        <w:tc>
          <w:tcPr>
            <w:tcW w:w="795" w:type="dxa"/>
            <w:noWrap/>
            <w:hideMark/>
          </w:tcPr>
          <w:p w14:paraId="70949BD1" w14:textId="77777777" w:rsidR="00EE5BB8" w:rsidRPr="00C6052E" w:rsidRDefault="00EE5BB8" w:rsidP="009952C1">
            <w:pPr>
              <w:pStyle w:val="TableCopy"/>
              <w:jc w:val="right"/>
              <w:rPr>
                <w:lang w:val="en-AU"/>
              </w:rPr>
            </w:pPr>
            <w:r w:rsidRPr="00C6052E">
              <w:rPr>
                <w:lang w:val="en-AU"/>
              </w:rPr>
              <w:t>1</w:t>
            </w:r>
          </w:p>
        </w:tc>
      </w:tr>
      <w:tr w:rsidR="00EE5BB8" w:rsidRPr="00C6052E" w14:paraId="62C08E64" w14:textId="77777777" w:rsidTr="0063097D">
        <w:trPr>
          <w:cantSplit/>
        </w:trPr>
        <w:tc>
          <w:tcPr>
            <w:tcW w:w="4531" w:type="dxa"/>
            <w:hideMark/>
          </w:tcPr>
          <w:p w14:paraId="4EC4BD1D" w14:textId="0E4FA251" w:rsidR="00EE5BB8" w:rsidRPr="00C6052E"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visit:</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Library</w:t>
            </w:r>
            <w:r w:rsidR="00177848" w:rsidRPr="00C6052E">
              <w:rPr>
                <w:lang w:val="en-AU"/>
              </w:rPr>
              <w:t xml:space="preserve"> </w:t>
            </w:r>
            <w:r w:rsidRPr="00C6052E">
              <w:rPr>
                <w:lang w:val="en-AU"/>
              </w:rPr>
              <w:t>Victoria</w:t>
            </w:r>
          </w:p>
        </w:tc>
        <w:tc>
          <w:tcPr>
            <w:tcW w:w="1020" w:type="dxa"/>
            <w:hideMark/>
          </w:tcPr>
          <w:p w14:paraId="6C97E197" w14:textId="097AEFB0"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19B658D1" w14:textId="77777777" w:rsidR="00EE5BB8" w:rsidRPr="00C6052E" w:rsidRDefault="00EE5BB8" w:rsidP="0063097D">
            <w:pPr>
              <w:pStyle w:val="TableCopy"/>
              <w:jc w:val="right"/>
              <w:rPr>
                <w:lang w:val="en-AU"/>
              </w:rPr>
            </w:pPr>
            <w:r w:rsidRPr="00C6052E">
              <w:rPr>
                <w:lang w:val="en-AU"/>
              </w:rPr>
              <w:t>90</w:t>
            </w:r>
          </w:p>
        </w:tc>
        <w:tc>
          <w:tcPr>
            <w:tcW w:w="1020" w:type="dxa"/>
            <w:noWrap/>
            <w:hideMark/>
          </w:tcPr>
          <w:p w14:paraId="037A0041" w14:textId="77777777" w:rsidR="00EE5BB8" w:rsidRPr="00C6052E" w:rsidRDefault="00EE5BB8" w:rsidP="0063097D">
            <w:pPr>
              <w:pStyle w:val="TableCopy"/>
              <w:jc w:val="right"/>
              <w:rPr>
                <w:lang w:val="en-AU"/>
              </w:rPr>
            </w:pPr>
            <w:r w:rsidRPr="00C6052E">
              <w:rPr>
                <w:lang w:val="en-AU"/>
              </w:rPr>
              <w:t>90</w:t>
            </w:r>
          </w:p>
        </w:tc>
        <w:tc>
          <w:tcPr>
            <w:tcW w:w="1361" w:type="dxa"/>
            <w:noWrap/>
            <w:hideMark/>
          </w:tcPr>
          <w:p w14:paraId="7A68652C" w14:textId="77777777" w:rsidR="00EE5BB8" w:rsidRPr="00C6052E" w:rsidRDefault="00EE5BB8" w:rsidP="0063097D">
            <w:pPr>
              <w:pStyle w:val="TableCopy"/>
              <w:jc w:val="right"/>
              <w:rPr>
                <w:lang w:val="en-AU"/>
              </w:rPr>
            </w:pPr>
            <w:r w:rsidRPr="00C6052E">
              <w:rPr>
                <w:lang w:val="en-AU"/>
              </w:rPr>
              <w:t>0.0%</w:t>
            </w:r>
          </w:p>
        </w:tc>
        <w:tc>
          <w:tcPr>
            <w:tcW w:w="795" w:type="dxa"/>
            <w:noWrap/>
            <w:hideMark/>
          </w:tcPr>
          <w:p w14:paraId="11FE4598" w14:textId="77777777" w:rsidR="00EE5BB8" w:rsidRPr="00C6052E" w:rsidRDefault="00EE5BB8" w:rsidP="009952C1">
            <w:pPr>
              <w:pStyle w:val="TableCopy"/>
              <w:jc w:val="right"/>
              <w:rPr>
                <w:lang w:val="en-AU"/>
              </w:rPr>
            </w:pPr>
            <w:r w:rsidRPr="00C6052E">
              <w:rPr>
                <w:lang w:val="en-AU"/>
              </w:rPr>
              <w:t>1</w:t>
            </w:r>
          </w:p>
        </w:tc>
      </w:tr>
      <w:tr w:rsidR="00EE5BB8" w:rsidRPr="00C6052E" w14:paraId="480BE23D" w14:textId="77777777" w:rsidTr="0063097D">
        <w:trPr>
          <w:cantSplit/>
        </w:trPr>
        <w:tc>
          <w:tcPr>
            <w:tcW w:w="4531" w:type="dxa"/>
          </w:tcPr>
          <w:p w14:paraId="102378AF" w14:textId="77777777" w:rsidR="00EE5BB8" w:rsidRPr="00C6052E" w:rsidRDefault="00EE5BB8" w:rsidP="0063097D">
            <w:pPr>
              <w:pStyle w:val="TableHeading"/>
              <w:rPr>
                <w:lang w:val="en-AU"/>
              </w:rPr>
            </w:pPr>
            <w:r w:rsidRPr="00C6052E">
              <w:rPr>
                <w:lang w:val="en-AU"/>
              </w:rPr>
              <w:t>Cost</w:t>
            </w:r>
          </w:p>
        </w:tc>
        <w:tc>
          <w:tcPr>
            <w:tcW w:w="1020" w:type="dxa"/>
          </w:tcPr>
          <w:p w14:paraId="3BD989B2" w14:textId="77777777" w:rsidR="00EE5BB8" w:rsidRPr="00C6052E" w:rsidRDefault="00EE5BB8" w:rsidP="0063097D">
            <w:pPr>
              <w:pStyle w:val="TableHeading"/>
              <w:jc w:val="right"/>
              <w:rPr>
                <w:lang w:val="en-AU"/>
              </w:rPr>
            </w:pPr>
          </w:p>
        </w:tc>
        <w:tc>
          <w:tcPr>
            <w:tcW w:w="1020" w:type="dxa"/>
            <w:noWrap/>
          </w:tcPr>
          <w:p w14:paraId="23844D61" w14:textId="77777777" w:rsidR="00EE5BB8" w:rsidRPr="00C6052E" w:rsidRDefault="00EE5BB8" w:rsidP="0063097D">
            <w:pPr>
              <w:pStyle w:val="TableHeading"/>
              <w:jc w:val="right"/>
              <w:rPr>
                <w:lang w:val="en-AU"/>
              </w:rPr>
            </w:pPr>
          </w:p>
        </w:tc>
        <w:tc>
          <w:tcPr>
            <w:tcW w:w="1020" w:type="dxa"/>
            <w:noWrap/>
          </w:tcPr>
          <w:p w14:paraId="2599424E" w14:textId="77777777" w:rsidR="00EE5BB8" w:rsidRPr="00C6052E" w:rsidRDefault="00EE5BB8" w:rsidP="0063097D">
            <w:pPr>
              <w:pStyle w:val="TableHeading"/>
              <w:jc w:val="right"/>
              <w:rPr>
                <w:lang w:val="en-AU"/>
              </w:rPr>
            </w:pPr>
          </w:p>
        </w:tc>
        <w:tc>
          <w:tcPr>
            <w:tcW w:w="1361" w:type="dxa"/>
            <w:noWrap/>
          </w:tcPr>
          <w:p w14:paraId="0391696E" w14:textId="77777777" w:rsidR="00EE5BB8" w:rsidRPr="00C6052E" w:rsidRDefault="00EE5BB8" w:rsidP="0063097D">
            <w:pPr>
              <w:pStyle w:val="TableHeading"/>
              <w:jc w:val="right"/>
              <w:rPr>
                <w:lang w:val="en-AU"/>
              </w:rPr>
            </w:pPr>
          </w:p>
        </w:tc>
        <w:tc>
          <w:tcPr>
            <w:tcW w:w="795" w:type="dxa"/>
            <w:noWrap/>
          </w:tcPr>
          <w:p w14:paraId="7C86522F" w14:textId="77777777" w:rsidR="00EE5BB8" w:rsidRPr="00C6052E" w:rsidRDefault="00EE5BB8" w:rsidP="009952C1">
            <w:pPr>
              <w:pStyle w:val="TableHeading"/>
              <w:rPr>
                <w:lang w:val="en-AU"/>
              </w:rPr>
            </w:pPr>
          </w:p>
        </w:tc>
      </w:tr>
      <w:tr w:rsidR="00EE5BB8" w:rsidRPr="00C6052E" w14:paraId="25D170EE" w14:textId="77777777" w:rsidTr="0063097D">
        <w:trPr>
          <w:cantSplit/>
        </w:trPr>
        <w:tc>
          <w:tcPr>
            <w:tcW w:w="4531" w:type="dxa"/>
            <w:hideMark/>
          </w:tcPr>
          <w:p w14:paraId="75CB2D6B" w14:textId="77777777" w:rsidR="00EE5BB8"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p w14:paraId="0AF32018" w14:textId="7BA70C7D" w:rsidR="00C17A57" w:rsidRPr="00C6052E" w:rsidRDefault="00C17A57" w:rsidP="00C17A57">
            <w:pPr>
              <w:pStyle w:val="Tablenotes-indented"/>
              <w:ind w:left="227" w:firstLine="0"/>
              <w:rPr>
                <w:lang w:val="en-AU"/>
              </w:rPr>
            </w:pPr>
            <w:r w:rsidRPr="00C6052E">
              <w:rPr>
                <w:lang w:val="en-AU"/>
              </w:rPr>
              <w:t>The 2024-25 result is higher than the 2024-25 budget primarily due to additional funding for Creative Industries portfolio agencies.</w:t>
            </w:r>
          </w:p>
        </w:tc>
        <w:tc>
          <w:tcPr>
            <w:tcW w:w="1020" w:type="dxa"/>
            <w:hideMark/>
          </w:tcPr>
          <w:p w14:paraId="2C22FBB5" w14:textId="43180EE6" w:rsidR="00EE5BB8" w:rsidRPr="00C6052E" w:rsidRDefault="00EE5BB8" w:rsidP="00B53837">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551F1111" w14:textId="77777777" w:rsidR="00EE5BB8" w:rsidRPr="00C6052E" w:rsidRDefault="00EE5BB8" w:rsidP="00B53837">
            <w:pPr>
              <w:pStyle w:val="Tabletotal"/>
              <w:jc w:val="right"/>
              <w:rPr>
                <w:lang w:val="en-AU"/>
              </w:rPr>
            </w:pPr>
            <w:r w:rsidRPr="00C6052E">
              <w:rPr>
                <w:lang w:val="en-AU"/>
              </w:rPr>
              <w:t>530.0</w:t>
            </w:r>
          </w:p>
        </w:tc>
        <w:tc>
          <w:tcPr>
            <w:tcW w:w="1020" w:type="dxa"/>
            <w:noWrap/>
            <w:hideMark/>
          </w:tcPr>
          <w:p w14:paraId="23DE8980" w14:textId="77777777" w:rsidR="00EE5BB8" w:rsidRPr="00C6052E" w:rsidRDefault="00EE5BB8" w:rsidP="00B53837">
            <w:pPr>
              <w:pStyle w:val="Tabletotal"/>
              <w:jc w:val="right"/>
              <w:rPr>
                <w:lang w:val="en-AU"/>
              </w:rPr>
            </w:pPr>
            <w:r w:rsidRPr="00C6052E">
              <w:rPr>
                <w:lang w:val="en-AU"/>
              </w:rPr>
              <w:t>410.6</w:t>
            </w:r>
          </w:p>
        </w:tc>
        <w:tc>
          <w:tcPr>
            <w:tcW w:w="1361" w:type="dxa"/>
            <w:noWrap/>
            <w:hideMark/>
          </w:tcPr>
          <w:p w14:paraId="2B4DC28D" w14:textId="77777777" w:rsidR="00EE5BB8" w:rsidRPr="00C6052E" w:rsidRDefault="00EE5BB8" w:rsidP="00B53837">
            <w:pPr>
              <w:pStyle w:val="Tabletotal"/>
              <w:jc w:val="right"/>
              <w:rPr>
                <w:lang w:val="en-AU"/>
              </w:rPr>
            </w:pPr>
            <w:r w:rsidRPr="00C6052E">
              <w:rPr>
                <w:lang w:val="en-AU"/>
              </w:rPr>
              <w:t>29.1%</w:t>
            </w:r>
          </w:p>
        </w:tc>
        <w:tc>
          <w:tcPr>
            <w:tcW w:w="795" w:type="dxa"/>
            <w:noWrap/>
            <w:hideMark/>
          </w:tcPr>
          <w:p w14:paraId="612D66E6" w14:textId="77777777" w:rsidR="00EE5BB8" w:rsidRPr="00C6052E" w:rsidRDefault="00EE5BB8" w:rsidP="00B53837">
            <w:pPr>
              <w:pStyle w:val="Tabletotal"/>
              <w:jc w:val="right"/>
              <w:rPr>
                <w:lang w:val="en-AU"/>
              </w:rPr>
            </w:pPr>
            <w:r w:rsidRPr="00C6052E">
              <w:rPr>
                <w:lang w:val="en-AU"/>
              </w:rPr>
              <w:t>3</w:t>
            </w:r>
          </w:p>
        </w:tc>
      </w:tr>
    </w:tbl>
    <w:p w14:paraId="51A24A8B" w14:textId="2DC4B5F3" w:rsidR="00EE5BB8" w:rsidRPr="00C6052E" w:rsidRDefault="00EE5BB8" w:rsidP="00EE5BB8">
      <w:pPr>
        <w:pStyle w:val="Tablenotes"/>
        <w:spacing w:after="240"/>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5A128864" w14:textId="6F9621A2" w:rsidR="00EE5BB8" w:rsidRPr="00C6052E" w:rsidRDefault="00EE5BB8" w:rsidP="00EE5BB8">
      <w:r w:rsidRPr="00C6052E">
        <w:lastRenderedPageBreak/>
        <w:t>Table</w:t>
      </w:r>
      <w:r w:rsidR="00177848" w:rsidRPr="00C6052E">
        <w:t xml:space="preserve"> </w:t>
      </w:r>
      <w:r w:rsidRPr="00C6052E">
        <w:t>24</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Cultural</w:t>
      </w:r>
      <w:r w:rsidR="00177848" w:rsidRPr="00C6052E">
        <w:t xml:space="preserve"> </w:t>
      </w:r>
      <w:r w:rsidRPr="00C6052E">
        <w:t>Infrastructure</w:t>
      </w:r>
      <w:r w:rsidR="00177848" w:rsidRPr="00C6052E">
        <w:t xml:space="preserve"> </w:t>
      </w:r>
      <w:r w:rsidRPr="00C6052E">
        <w:t>and</w:t>
      </w:r>
      <w:r w:rsidR="00177848" w:rsidRPr="00C6052E">
        <w:t xml:space="preserve"> </w:t>
      </w:r>
      <w:r w:rsidRPr="00C6052E">
        <w:t>Facilities</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supports</w:t>
      </w:r>
      <w:r w:rsidR="00177848" w:rsidRPr="00C6052E">
        <w:t xml:space="preserve"> </w:t>
      </w:r>
      <w:r w:rsidRPr="00C6052E">
        <w:t>Victorian</w:t>
      </w:r>
      <w:r w:rsidR="00177848" w:rsidRPr="00C6052E">
        <w:t xml:space="preserve"> </w:t>
      </w:r>
      <w:r w:rsidRPr="00C6052E">
        <w:t>cultural</w:t>
      </w:r>
      <w:r w:rsidR="00177848" w:rsidRPr="00C6052E">
        <w:t xml:space="preserve"> </w:t>
      </w:r>
      <w:r w:rsidRPr="00C6052E">
        <w:t>venues</w:t>
      </w:r>
      <w:r w:rsidR="00177848" w:rsidRPr="00C6052E">
        <w:t xml:space="preserve"> </w:t>
      </w:r>
      <w:r w:rsidRPr="00C6052E">
        <w:t>and</w:t>
      </w:r>
      <w:r w:rsidR="00177848" w:rsidRPr="00C6052E">
        <w:t xml:space="preserve"> </w:t>
      </w:r>
      <w:r w:rsidRPr="00C6052E">
        <w:t>State-owned</w:t>
      </w:r>
      <w:r w:rsidR="00177848" w:rsidRPr="00C6052E">
        <w:t xml:space="preserve"> </w:t>
      </w:r>
      <w:r w:rsidRPr="00C6052E">
        <w:t>facilities</w:t>
      </w:r>
      <w:r w:rsidR="00177848" w:rsidRPr="00C6052E">
        <w:t xml:space="preserve"> </w:t>
      </w:r>
      <w:r w:rsidRPr="00C6052E">
        <w:t>through</w:t>
      </w:r>
      <w:r w:rsidR="00177848" w:rsidRPr="00C6052E">
        <w:t xml:space="preserve"> </w:t>
      </w:r>
      <w:r w:rsidRPr="00C6052E">
        <w:t>strategic</w:t>
      </w:r>
      <w:r w:rsidR="00177848" w:rsidRPr="00C6052E">
        <w:t xml:space="preserve"> </w:t>
      </w:r>
      <w:r w:rsidRPr="00C6052E">
        <w:t>assessment</w:t>
      </w:r>
      <w:r w:rsidR="00177848" w:rsidRPr="00C6052E">
        <w:t xml:space="preserve"> </w:t>
      </w:r>
      <w:r w:rsidRPr="00C6052E">
        <w:t>and</w:t>
      </w:r>
      <w:r w:rsidR="00177848" w:rsidRPr="00C6052E">
        <w:t xml:space="preserve"> </w:t>
      </w:r>
      <w:r w:rsidRPr="00C6052E">
        <w:t>provision</w:t>
      </w:r>
      <w:r w:rsidR="00177848" w:rsidRPr="00C6052E">
        <w:t xml:space="preserve"> </w:t>
      </w:r>
      <w:r w:rsidRPr="00C6052E">
        <w:t>of</w:t>
      </w:r>
      <w:r w:rsidR="00177848" w:rsidRPr="00C6052E">
        <w:t xml:space="preserve"> </w:t>
      </w:r>
      <w:r w:rsidRPr="00C6052E">
        <w:t>advice</w:t>
      </w:r>
      <w:r w:rsidR="00177848" w:rsidRPr="00C6052E">
        <w:t xml:space="preserve"> </w:t>
      </w:r>
      <w:r w:rsidRPr="00C6052E">
        <w:t>on</w:t>
      </w:r>
      <w:r w:rsidR="00177848" w:rsidRPr="00C6052E">
        <w:t xml:space="preserve"> </w:t>
      </w:r>
      <w:r w:rsidRPr="00C6052E">
        <w:t>portfolio</w:t>
      </w:r>
      <w:r w:rsidR="00177848" w:rsidRPr="00C6052E">
        <w:t xml:space="preserve"> </w:t>
      </w:r>
      <w:r w:rsidRPr="00C6052E">
        <w:t>infrastructure</w:t>
      </w:r>
      <w:r w:rsidR="00177848" w:rsidRPr="00C6052E">
        <w:t xml:space="preserve"> </w:t>
      </w:r>
      <w:r w:rsidRPr="00C6052E">
        <w:t>proposals</w:t>
      </w:r>
      <w:r w:rsidR="00177848" w:rsidRPr="00C6052E">
        <w:t xml:space="preserve"> </w:t>
      </w:r>
      <w:r w:rsidRPr="00C6052E">
        <w:t>and</w:t>
      </w:r>
      <w:r w:rsidR="00177848" w:rsidRPr="00C6052E">
        <w:t xml:space="preserve"> </w:t>
      </w:r>
      <w:r w:rsidRPr="00C6052E">
        <w:t>projects.</w:t>
      </w:r>
      <w:r w:rsidR="00177848" w:rsidRPr="00C6052E">
        <w:t xml:space="preserve"> </w:t>
      </w:r>
      <w:r w:rsidRPr="00C6052E">
        <w:t>The</w:t>
      </w:r>
      <w:r w:rsidR="00177848" w:rsidRPr="00C6052E">
        <w:t xml:space="preserve"> </w:t>
      </w:r>
      <w:r w:rsidRPr="00C6052E">
        <w:t>output</w:t>
      </w:r>
      <w:r w:rsidR="00177848" w:rsidRPr="00C6052E">
        <w:t xml:space="preserve"> </w:t>
      </w:r>
      <w:r w:rsidRPr="00C6052E">
        <w:t>includes</w:t>
      </w:r>
      <w:r w:rsidR="00177848" w:rsidRPr="00C6052E">
        <w:t xml:space="preserve"> </w:t>
      </w:r>
      <w:r w:rsidRPr="00C6052E">
        <w:t>consolidation</w:t>
      </w:r>
      <w:r w:rsidR="00177848" w:rsidRPr="00C6052E">
        <w:t xml:space="preserve"> </w:t>
      </w:r>
      <w:r w:rsidRPr="00C6052E">
        <w:t>of</w:t>
      </w:r>
      <w:r w:rsidR="00177848" w:rsidRPr="00C6052E">
        <w:t xml:space="preserve"> </w:t>
      </w:r>
      <w:r w:rsidRPr="00C6052E">
        <w:t>portfolio</w:t>
      </w:r>
      <w:r w:rsidR="00177848" w:rsidRPr="00C6052E">
        <w:t xml:space="preserve"> </w:t>
      </w:r>
      <w:r w:rsidRPr="00C6052E">
        <w:t>asset</w:t>
      </w:r>
      <w:r w:rsidR="00177848" w:rsidRPr="00C6052E">
        <w:t xml:space="preserve"> </w:t>
      </w:r>
      <w:r w:rsidRPr="00C6052E">
        <w:t>management</w:t>
      </w:r>
      <w:r w:rsidR="00177848" w:rsidRPr="00C6052E">
        <w:t xml:space="preserve"> </w:t>
      </w:r>
      <w:r w:rsidRPr="00C6052E">
        <w:t>plans</w:t>
      </w:r>
      <w:r w:rsidR="00177848" w:rsidRPr="00C6052E">
        <w:t xml:space="preserve"> </w:t>
      </w:r>
      <w:r w:rsidRPr="00C6052E">
        <w:t>and</w:t>
      </w:r>
      <w:r w:rsidR="00177848" w:rsidRPr="00C6052E">
        <w:t xml:space="preserve"> </w:t>
      </w:r>
      <w:r w:rsidRPr="00C6052E">
        <w:t>management</w:t>
      </w:r>
      <w:r w:rsidR="00177848" w:rsidRPr="00C6052E">
        <w:t xml:space="preserve"> </w:t>
      </w:r>
      <w:r w:rsidRPr="00C6052E">
        <w:t>of</w:t>
      </w:r>
      <w:r w:rsidR="00177848" w:rsidRPr="00C6052E">
        <w:t xml:space="preserve"> </w:t>
      </w:r>
      <w:r w:rsidRPr="00C6052E">
        <w:t>funding</w:t>
      </w:r>
      <w:r w:rsidR="00177848" w:rsidRPr="00C6052E">
        <w:t xml:space="preserve"> </w:t>
      </w:r>
      <w:r w:rsidRPr="00C6052E">
        <w:t>programs</w:t>
      </w:r>
      <w:r w:rsidR="00177848" w:rsidRPr="00C6052E">
        <w:t xml:space="preserve"> </w:t>
      </w:r>
      <w:r w:rsidRPr="00C6052E">
        <w:t>for</w:t>
      </w:r>
      <w:r w:rsidR="00177848" w:rsidRPr="00C6052E">
        <w:t xml:space="preserve"> </w:t>
      </w:r>
      <w:r w:rsidRPr="00C6052E">
        <w:t>maintenance</w:t>
      </w:r>
      <w:r w:rsidR="00177848" w:rsidRPr="00C6052E">
        <w:t xml:space="preserve"> </w:t>
      </w:r>
      <w:r w:rsidRPr="00C6052E">
        <w:t>and</w:t>
      </w:r>
      <w:r w:rsidR="00177848" w:rsidRPr="00C6052E">
        <w:t xml:space="preserve"> </w:t>
      </w:r>
      <w:r w:rsidRPr="00C6052E">
        <w:t>minor</w:t>
      </w:r>
      <w:r w:rsidR="00177848" w:rsidRPr="00C6052E">
        <w:t xml:space="preserve"> </w:t>
      </w:r>
      <w:r w:rsidRPr="00C6052E">
        <w:t>capital</w:t>
      </w:r>
      <w:r w:rsidR="00177848" w:rsidRPr="00C6052E">
        <w:t xml:space="preserve"> </w:t>
      </w:r>
      <w:r w:rsidRPr="00C6052E">
        <w:t>works.</w:t>
      </w:r>
    </w:p>
    <w:p w14:paraId="140752A0" w14:textId="7835DC44" w:rsidR="00EE5BB8" w:rsidRPr="00C6052E" w:rsidRDefault="00EE5BB8" w:rsidP="00EE5BB8">
      <w:pPr>
        <w:pStyle w:val="TableHeading"/>
      </w:pPr>
      <w:r w:rsidRPr="00C6052E">
        <w:t>Table</w:t>
      </w:r>
      <w:r w:rsidR="00177848" w:rsidRPr="00C6052E">
        <w:t xml:space="preserve"> </w:t>
      </w:r>
      <w:r w:rsidRPr="00C6052E">
        <w:t>24:</w:t>
      </w:r>
      <w:r w:rsidR="00177848" w:rsidRPr="00C6052E">
        <w:t xml:space="preserve"> </w:t>
      </w:r>
      <w:r w:rsidRPr="00C6052E">
        <w:t>Output</w:t>
      </w:r>
      <w:r w:rsidR="00177848" w:rsidRPr="00C6052E">
        <w:t xml:space="preserve"> </w:t>
      </w:r>
      <w:r w:rsidRPr="00C6052E">
        <w:t>–</w:t>
      </w:r>
      <w:r w:rsidR="00177848" w:rsidRPr="00C6052E">
        <w:t xml:space="preserve"> </w:t>
      </w:r>
      <w:r w:rsidRPr="00C6052E">
        <w:t>Cultural</w:t>
      </w:r>
      <w:r w:rsidR="00177848" w:rsidRPr="00C6052E">
        <w:t xml:space="preserve"> </w:t>
      </w:r>
      <w:r w:rsidRPr="00C6052E">
        <w:t>Infrastructure</w:t>
      </w:r>
      <w:r w:rsidR="00177848" w:rsidRPr="00C6052E">
        <w:t xml:space="preserve"> </w:t>
      </w:r>
      <w:r w:rsidRPr="00C6052E">
        <w:t>and</w:t>
      </w:r>
      <w:r w:rsidR="00177848" w:rsidRPr="00C6052E">
        <w:t xml:space="preserve"> </w:t>
      </w:r>
      <w:r w:rsidRPr="00C6052E">
        <w:t>Facilities</w:t>
      </w:r>
    </w:p>
    <w:tbl>
      <w:tblPr>
        <w:tblStyle w:val="TableGrid"/>
        <w:tblW w:w="9743" w:type="dxa"/>
        <w:tblLook w:val="04A0" w:firstRow="1" w:lastRow="0" w:firstColumn="1" w:lastColumn="0" w:noHBand="0" w:noVBand="1"/>
      </w:tblPr>
      <w:tblGrid>
        <w:gridCol w:w="4531"/>
        <w:gridCol w:w="1020"/>
        <w:gridCol w:w="1020"/>
        <w:gridCol w:w="1020"/>
        <w:gridCol w:w="1361"/>
        <w:gridCol w:w="791"/>
      </w:tblGrid>
      <w:tr w:rsidR="00EE5BB8" w:rsidRPr="00C6052E" w14:paraId="4C30A2AE" w14:textId="77777777" w:rsidTr="00D966F0">
        <w:trPr>
          <w:tblHeader/>
        </w:trPr>
        <w:tc>
          <w:tcPr>
            <w:tcW w:w="4531" w:type="dxa"/>
            <w:hideMark/>
          </w:tcPr>
          <w:p w14:paraId="77F985FC" w14:textId="2EED30F5" w:rsidR="00EE5BB8" w:rsidRPr="00C6052E" w:rsidRDefault="00EE5BB8" w:rsidP="0063097D">
            <w:pPr>
              <w:pStyle w:val="TableColumnHeading"/>
              <w:rPr>
                <w:lang w:val="en-AU"/>
              </w:rPr>
            </w:pPr>
            <w:bookmarkStart w:id="46" w:name="TableColumnHeadings_32"/>
            <w:bookmarkEnd w:id="46"/>
            <w:r w:rsidRPr="00C6052E">
              <w:rPr>
                <w:lang w:val="en-AU"/>
              </w:rPr>
              <w:t>Performance</w:t>
            </w:r>
            <w:r w:rsidR="00177848" w:rsidRPr="00C6052E">
              <w:rPr>
                <w:lang w:val="en-AU"/>
              </w:rPr>
              <w:t xml:space="preserve"> </w:t>
            </w:r>
            <w:r w:rsidRPr="00C6052E">
              <w:rPr>
                <w:lang w:val="en-AU"/>
              </w:rPr>
              <w:t>measures</w:t>
            </w:r>
          </w:p>
        </w:tc>
        <w:tc>
          <w:tcPr>
            <w:tcW w:w="1020" w:type="dxa"/>
            <w:hideMark/>
          </w:tcPr>
          <w:p w14:paraId="3A9607CA" w14:textId="46CC6ECE" w:rsidR="00EE5BB8" w:rsidRPr="00C6052E" w:rsidRDefault="00EE5BB8" w:rsidP="0063097D">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28B591F2" w14:textId="77777777" w:rsidR="00EE5BB8" w:rsidRPr="00C6052E" w:rsidRDefault="00EE5BB8" w:rsidP="0063097D">
            <w:pPr>
              <w:pStyle w:val="TableColumnHeading"/>
              <w:jc w:val="right"/>
              <w:rPr>
                <w:lang w:val="en-AU"/>
              </w:rPr>
            </w:pPr>
            <w:r w:rsidRPr="00C6052E">
              <w:rPr>
                <w:lang w:val="en-AU"/>
              </w:rPr>
              <w:t>2024–25</w:t>
            </w:r>
            <w:r w:rsidRPr="00C6052E">
              <w:rPr>
                <w:lang w:val="en-AU"/>
              </w:rPr>
              <w:br/>
              <w:t>Actual</w:t>
            </w:r>
          </w:p>
        </w:tc>
        <w:tc>
          <w:tcPr>
            <w:tcW w:w="1020" w:type="dxa"/>
            <w:hideMark/>
          </w:tcPr>
          <w:p w14:paraId="58ACC847" w14:textId="0D980E72" w:rsidR="00EE5BB8" w:rsidRPr="00C6052E" w:rsidRDefault="00EE5BB8" w:rsidP="0063097D">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778C440D" w14:textId="0727FFC5" w:rsidR="00EE5BB8" w:rsidRPr="00C6052E" w:rsidRDefault="00EE5BB8" w:rsidP="0063097D">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91" w:type="dxa"/>
            <w:hideMark/>
          </w:tcPr>
          <w:p w14:paraId="5B1B9504" w14:textId="77777777" w:rsidR="00EE5BB8" w:rsidRPr="00C6052E" w:rsidRDefault="00EE5BB8" w:rsidP="0063097D">
            <w:pPr>
              <w:pStyle w:val="TableColumnHeading"/>
              <w:jc w:val="right"/>
              <w:rPr>
                <w:lang w:val="en-AU"/>
              </w:rPr>
            </w:pPr>
            <w:r w:rsidRPr="00C6052E">
              <w:rPr>
                <w:lang w:val="en-AU"/>
              </w:rPr>
              <w:t>Result</w:t>
            </w:r>
          </w:p>
        </w:tc>
      </w:tr>
      <w:tr w:rsidR="00EE5BB8" w:rsidRPr="00C6052E" w14:paraId="048D1CD2" w14:textId="77777777" w:rsidTr="0063097D">
        <w:tc>
          <w:tcPr>
            <w:tcW w:w="4531" w:type="dxa"/>
          </w:tcPr>
          <w:p w14:paraId="00DDBA17" w14:textId="77777777" w:rsidR="00EE5BB8" w:rsidRPr="00C6052E" w:rsidRDefault="00EE5BB8" w:rsidP="0063097D">
            <w:pPr>
              <w:pStyle w:val="TableHeading"/>
              <w:rPr>
                <w:lang w:val="en-AU"/>
              </w:rPr>
            </w:pPr>
            <w:r w:rsidRPr="00C6052E">
              <w:rPr>
                <w:lang w:val="en-AU"/>
              </w:rPr>
              <w:t>Quantity</w:t>
            </w:r>
          </w:p>
        </w:tc>
        <w:tc>
          <w:tcPr>
            <w:tcW w:w="1020" w:type="dxa"/>
          </w:tcPr>
          <w:p w14:paraId="5538C5C4" w14:textId="77777777" w:rsidR="00EE5BB8" w:rsidRPr="00C6052E" w:rsidRDefault="00EE5BB8" w:rsidP="0063097D">
            <w:pPr>
              <w:pStyle w:val="TableHeading"/>
              <w:jc w:val="right"/>
              <w:rPr>
                <w:lang w:val="en-AU"/>
              </w:rPr>
            </w:pPr>
          </w:p>
        </w:tc>
        <w:tc>
          <w:tcPr>
            <w:tcW w:w="1020" w:type="dxa"/>
            <w:noWrap/>
          </w:tcPr>
          <w:p w14:paraId="7E07DFFE" w14:textId="77777777" w:rsidR="00EE5BB8" w:rsidRPr="00C6052E" w:rsidRDefault="00EE5BB8" w:rsidP="0063097D">
            <w:pPr>
              <w:pStyle w:val="TableHeading"/>
              <w:jc w:val="right"/>
              <w:rPr>
                <w:lang w:val="en-AU"/>
              </w:rPr>
            </w:pPr>
          </w:p>
        </w:tc>
        <w:tc>
          <w:tcPr>
            <w:tcW w:w="1020" w:type="dxa"/>
            <w:noWrap/>
          </w:tcPr>
          <w:p w14:paraId="0F291F3E" w14:textId="77777777" w:rsidR="00EE5BB8" w:rsidRPr="00C6052E" w:rsidRDefault="00EE5BB8" w:rsidP="0063097D">
            <w:pPr>
              <w:pStyle w:val="TableHeading"/>
              <w:jc w:val="right"/>
              <w:rPr>
                <w:lang w:val="en-AU"/>
              </w:rPr>
            </w:pPr>
          </w:p>
        </w:tc>
        <w:tc>
          <w:tcPr>
            <w:tcW w:w="1361" w:type="dxa"/>
            <w:noWrap/>
          </w:tcPr>
          <w:p w14:paraId="37A04CB0" w14:textId="77777777" w:rsidR="00EE5BB8" w:rsidRPr="00C6052E" w:rsidRDefault="00EE5BB8" w:rsidP="0063097D">
            <w:pPr>
              <w:pStyle w:val="TableHeading"/>
              <w:jc w:val="right"/>
              <w:rPr>
                <w:lang w:val="en-AU"/>
              </w:rPr>
            </w:pPr>
          </w:p>
        </w:tc>
        <w:tc>
          <w:tcPr>
            <w:tcW w:w="791" w:type="dxa"/>
            <w:noWrap/>
          </w:tcPr>
          <w:p w14:paraId="1BAADA80" w14:textId="77777777" w:rsidR="00EE5BB8" w:rsidRPr="00C6052E" w:rsidRDefault="00EE5BB8" w:rsidP="009952C1">
            <w:pPr>
              <w:pStyle w:val="TableHeading"/>
              <w:rPr>
                <w:lang w:val="en-AU"/>
              </w:rPr>
            </w:pPr>
          </w:p>
        </w:tc>
      </w:tr>
      <w:tr w:rsidR="00EE5BB8" w:rsidRPr="00C6052E" w14:paraId="62E6ABD7" w14:textId="77777777" w:rsidTr="0063097D">
        <w:tc>
          <w:tcPr>
            <w:tcW w:w="4531" w:type="dxa"/>
            <w:hideMark/>
          </w:tcPr>
          <w:p w14:paraId="3497603C" w14:textId="20D11D79" w:rsidR="00EE5BB8" w:rsidRPr="00C6052E" w:rsidRDefault="00EE5BB8" w:rsidP="0063097D">
            <w:pPr>
              <w:pStyle w:val="TableCopy"/>
              <w:rPr>
                <w:lang w:val="en-AU"/>
              </w:rPr>
            </w:pPr>
            <w:r w:rsidRPr="00C6052E">
              <w:rPr>
                <w:lang w:val="en-AU"/>
              </w:rPr>
              <w:t>All</w:t>
            </w:r>
            <w:r w:rsidR="00177848" w:rsidRPr="00C6052E">
              <w:rPr>
                <w:lang w:val="en-AU"/>
              </w:rPr>
              <w:t xml:space="preserve"> </w:t>
            </w:r>
            <w:r w:rsidRPr="00C6052E">
              <w:rPr>
                <w:lang w:val="en-AU"/>
              </w:rPr>
              <w:t>facility</w:t>
            </w:r>
            <w:r w:rsidR="00177848" w:rsidRPr="00C6052E">
              <w:rPr>
                <w:lang w:val="en-AU"/>
              </w:rPr>
              <w:t xml:space="preserve"> </w:t>
            </w:r>
            <w:r w:rsidRPr="00C6052E">
              <w:rPr>
                <w:lang w:val="en-AU"/>
              </w:rPr>
              <w:t>safety</w:t>
            </w:r>
            <w:r w:rsidR="00177848" w:rsidRPr="00C6052E">
              <w:rPr>
                <w:lang w:val="en-AU"/>
              </w:rPr>
              <w:t xml:space="preserve"> </w:t>
            </w:r>
            <w:r w:rsidRPr="00C6052E">
              <w:rPr>
                <w:lang w:val="en-AU"/>
              </w:rPr>
              <w:t>audits</w:t>
            </w:r>
            <w:r w:rsidR="00177848" w:rsidRPr="00C6052E">
              <w:rPr>
                <w:lang w:val="en-AU"/>
              </w:rPr>
              <w:t xml:space="preserve"> </w:t>
            </w:r>
            <w:r w:rsidRPr="00C6052E">
              <w:rPr>
                <w:lang w:val="en-AU"/>
              </w:rPr>
              <w:t>conducted</w:t>
            </w:r>
          </w:p>
        </w:tc>
        <w:tc>
          <w:tcPr>
            <w:tcW w:w="1020" w:type="dxa"/>
            <w:hideMark/>
          </w:tcPr>
          <w:p w14:paraId="2E539D43"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58C4E768" w14:textId="77777777" w:rsidR="00EE5BB8" w:rsidRPr="00C6052E" w:rsidRDefault="00EE5BB8" w:rsidP="0063097D">
            <w:pPr>
              <w:pStyle w:val="TableCopy"/>
              <w:jc w:val="right"/>
              <w:rPr>
                <w:lang w:val="en-AU"/>
              </w:rPr>
            </w:pPr>
            <w:r w:rsidRPr="00C6052E">
              <w:rPr>
                <w:lang w:val="en-AU"/>
              </w:rPr>
              <w:t>16</w:t>
            </w:r>
          </w:p>
        </w:tc>
        <w:tc>
          <w:tcPr>
            <w:tcW w:w="1020" w:type="dxa"/>
            <w:noWrap/>
            <w:hideMark/>
          </w:tcPr>
          <w:p w14:paraId="14EE7958" w14:textId="77777777" w:rsidR="00EE5BB8" w:rsidRPr="00C6052E" w:rsidRDefault="00EE5BB8" w:rsidP="0063097D">
            <w:pPr>
              <w:pStyle w:val="TableCopy"/>
              <w:jc w:val="right"/>
              <w:rPr>
                <w:lang w:val="en-AU"/>
              </w:rPr>
            </w:pPr>
            <w:r w:rsidRPr="00C6052E">
              <w:rPr>
                <w:lang w:val="en-AU"/>
              </w:rPr>
              <w:t>16</w:t>
            </w:r>
          </w:p>
        </w:tc>
        <w:tc>
          <w:tcPr>
            <w:tcW w:w="1361" w:type="dxa"/>
            <w:noWrap/>
            <w:hideMark/>
          </w:tcPr>
          <w:p w14:paraId="1BB1E26A" w14:textId="77777777" w:rsidR="00EE5BB8" w:rsidRPr="00C6052E" w:rsidRDefault="00EE5BB8" w:rsidP="0063097D">
            <w:pPr>
              <w:pStyle w:val="TableCopy"/>
              <w:jc w:val="right"/>
              <w:rPr>
                <w:lang w:val="en-AU"/>
              </w:rPr>
            </w:pPr>
            <w:r w:rsidRPr="00C6052E">
              <w:rPr>
                <w:lang w:val="en-AU"/>
              </w:rPr>
              <w:t>0.0%</w:t>
            </w:r>
          </w:p>
        </w:tc>
        <w:tc>
          <w:tcPr>
            <w:tcW w:w="791" w:type="dxa"/>
            <w:noWrap/>
            <w:hideMark/>
          </w:tcPr>
          <w:p w14:paraId="1247ADE4" w14:textId="77777777" w:rsidR="00EE5BB8" w:rsidRPr="00C6052E" w:rsidRDefault="00EE5BB8" w:rsidP="009952C1">
            <w:pPr>
              <w:pStyle w:val="TableCopy"/>
              <w:jc w:val="right"/>
              <w:rPr>
                <w:lang w:val="en-AU"/>
              </w:rPr>
            </w:pPr>
            <w:r w:rsidRPr="00C6052E">
              <w:rPr>
                <w:lang w:val="en-AU"/>
              </w:rPr>
              <w:t>1</w:t>
            </w:r>
          </w:p>
        </w:tc>
      </w:tr>
      <w:tr w:rsidR="00EE5BB8" w:rsidRPr="00C6052E" w14:paraId="720FEF91" w14:textId="77777777" w:rsidTr="0063097D">
        <w:tc>
          <w:tcPr>
            <w:tcW w:w="4531" w:type="dxa"/>
            <w:hideMark/>
          </w:tcPr>
          <w:p w14:paraId="465B30CB" w14:textId="2517C00B" w:rsidR="00EE5BB8" w:rsidRPr="00C6052E" w:rsidRDefault="00EE5BB8" w:rsidP="0063097D">
            <w:pPr>
              <w:pStyle w:val="TableCopy"/>
              <w:rPr>
                <w:lang w:val="en-AU"/>
              </w:rPr>
            </w:pPr>
            <w:r w:rsidRPr="00C6052E">
              <w:rPr>
                <w:lang w:val="en-AU"/>
              </w:rPr>
              <w:t>Infrastructure</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underway</w:t>
            </w:r>
          </w:p>
        </w:tc>
        <w:tc>
          <w:tcPr>
            <w:tcW w:w="1020" w:type="dxa"/>
            <w:hideMark/>
          </w:tcPr>
          <w:p w14:paraId="336BC5D8" w14:textId="77777777" w:rsidR="00EE5BB8" w:rsidRPr="00C6052E" w:rsidRDefault="00EE5BB8" w:rsidP="0063097D">
            <w:pPr>
              <w:pStyle w:val="TableCopy"/>
              <w:jc w:val="right"/>
              <w:rPr>
                <w:lang w:val="en-AU"/>
              </w:rPr>
            </w:pPr>
            <w:r w:rsidRPr="00C6052E">
              <w:rPr>
                <w:lang w:val="en-AU"/>
              </w:rPr>
              <w:t>number</w:t>
            </w:r>
          </w:p>
        </w:tc>
        <w:tc>
          <w:tcPr>
            <w:tcW w:w="1020" w:type="dxa"/>
            <w:noWrap/>
            <w:hideMark/>
          </w:tcPr>
          <w:p w14:paraId="4891D11A" w14:textId="77777777" w:rsidR="00EE5BB8" w:rsidRPr="00C6052E" w:rsidRDefault="00EE5BB8" w:rsidP="0063097D">
            <w:pPr>
              <w:pStyle w:val="TableCopy"/>
              <w:jc w:val="right"/>
              <w:rPr>
                <w:lang w:val="en-AU"/>
              </w:rPr>
            </w:pPr>
            <w:r w:rsidRPr="00C6052E">
              <w:rPr>
                <w:lang w:val="en-AU"/>
              </w:rPr>
              <w:t>7</w:t>
            </w:r>
          </w:p>
        </w:tc>
        <w:tc>
          <w:tcPr>
            <w:tcW w:w="1020" w:type="dxa"/>
            <w:noWrap/>
            <w:hideMark/>
          </w:tcPr>
          <w:p w14:paraId="1D0F9FEC" w14:textId="77777777" w:rsidR="00EE5BB8" w:rsidRPr="00C6052E" w:rsidRDefault="00EE5BB8" w:rsidP="0063097D">
            <w:pPr>
              <w:pStyle w:val="TableCopy"/>
              <w:jc w:val="right"/>
              <w:rPr>
                <w:lang w:val="en-AU"/>
              </w:rPr>
            </w:pPr>
            <w:r w:rsidRPr="00C6052E">
              <w:rPr>
                <w:lang w:val="en-AU"/>
              </w:rPr>
              <w:t>7</w:t>
            </w:r>
          </w:p>
        </w:tc>
        <w:tc>
          <w:tcPr>
            <w:tcW w:w="1361" w:type="dxa"/>
            <w:noWrap/>
            <w:hideMark/>
          </w:tcPr>
          <w:p w14:paraId="7B76F387" w14:textId="77777777" w:rsidR="00EE5BB8" w:rsidRPr="00C6052E" w:rsidRDefault="00EE5BB8" w:rsidP="0063097D">
            <w:pPr>
              <w:pStyle w:val="TableCopy"/>
              <w:jc w:val="right"/>
              <w:rPr>
                <w:lang w:val="en-AU"/>
              </w:rPr>
            </w:pPr>
            <w:r w:rsidRPr="00C6052E">
              <w:rPr>
                <w:lang w:val="en-AU"/>
              </w:rPr>
              <w:t>0.0%</w:t>
            </w:r>
          </w:p>
        </w:tc>
        <w:tc>
          <w:tcPr>
            <w:tcW w:w="791" w:type="dxa"/>
            <w:noWrap/>
            <w:hideMark/>
          </w:tcPr>
          <w:p w14:paraId="1D69773C" w14:textId="77777777" w:rsidR="00EE5BB8" w:rsidRPr="00C6052E" w:rsidRDefault="00EE5BB8" w:rsidP="009952C1">
            <w:pPr>
              <w:pStyle w:val="TableCopy"/>
              <w:jc w:val="right"/>
              <w:rPr>
                <w:lang w:val="en-AU"/>
              </w:rPr>
            </w:pPr>
            <w:r w:rsidRPr="00C6052E">
              <w:rPr>
                <w:lang w:val="en-AU"/>
              </w:rPr>
              <w:t>1</w:t>
            </w:r>
          </w:p>
        </w:tc>
      </w:tr>
      <w:tr w:rsidR="00EE5BB8" w:rsidRPr="00C6052E" w14:paraId="6FA667A6" w14:textId="77777777" w:rsidTr="0063097D">
        <w:tc>
          <w:tcPr>
            <w:tcW w:w="4531" w:type="dxa"/>
          </w:tcPr>
          <w:p w14:paraId="68668569" w14:textId="77777777" w:rsidR="00EE5BB8" w:rsidRPr="00C6052E" w:rsidRDefault="00EE5BB8" w:rsidP="0063097D">
            <w:pPr>
              <w:pStyle w:val="TableHeading"/>
              <w:rPr>
                <w:lang w:val="en-AU"/>
              </w:rPr>
            </w:pPr>
            <w:r w:rsidRPr="00C6052E">
              <w:rPr>
                <w:lang w:val="en-AU"/>
              </w:rPr>
              <w:t>Quality</w:t>
            </w:r>
          </w:p>
        </w:tc>
        <w:tc>
          <w:tcPr>
            <w:tcW w:w="1020" w:type="dxa"/>
          </w:tcPr>
          <w:p w14:paraId="4018F12D" w14:textId="77777777" w:rsidR="00EE5BB8" w:rsidRPr="00C6052E" w:rsidRDefault="00EE5BB8" w:rsidP="0063097D">
            <w:pPr>
              <w:pStyle w:val="TableHeading"/>
              <w:jc w:val="right"/>
              <w:rPr>
                <w:lang w:val="en-AU"/>
              </w:rPr>
            </w:pPr>
          </w:p>
        </w:tc>
        <w:tc>
          <w:tcPr>
            <w:tcW w:w="1020" w:type="dxa"/>
            <w:noWrap/>
          </w:tcPr>
          <w:p w14:paraId="17E911A2" w14:textId="77777777" w:rsidR="00EE5BB8" w:rsidRPr="00C6052E" w:rsidRDefault="00EE5BB8" w:rsidP="0063097D">
            <w:pPr>
              <w:pStyle w:val="TableHeading"/>
              <w:jc w:val="right"/>
              <w:rPr>
                <w:lang w:val="en-AU"/>
              </w:rPr>
            </w:pPr>
          </w:p>
        </w:tc>
        <w:tc>
          <w:tcPr>
            <w:tcW w:w="1020" w:type="dxa"/>
            <w:noWrap/>
          </w:tcPr>
          <w:p w14:paraId="635635DD" w14:textId="77777777" w:rsidR="00EE5BB8" w:rsidRPr="00C6052E" w:rsidRDefault="00EE5BB8" w:rsidP="0063097D">
            <w:pPr>
              <w:pStyle w:val="TableHeading"/>
              <w:jc w:val="right"/>
              <w:rPr>
                <w:lang w:val="en-AU"/>
              </w:rPr>
            </w:pPr>
          </w:p>
        </w:tc>
        <w:tc>
          <w:tcPr>
            <w:tcW w:w="1361" w:type="dxa"/>
            <w:noWrap/>
          </w:tcPr>
          <w:p w14:paraId="7D5D3A18" w14:textId="77777777" w:rsidR="00EE5BB8" w:rsidRPr="00C6052E" w:rsidRDefault="00EE5BB8" w:rsidP="0063097D">
            <w:pPr>
              <w:pStyle w:val="TableHeading"/>
              <w:jc w:val="right"/>
              <w:rPr>
                <w:lang w:val="en-AU"/>
              </w:rPr>
            </w:pPr>
          </w:p>
        </w:tc>
        <w:tc>
          <w:tcPr>
            <w:tcW w:w="791" w:type="dxa"/>
            <w:noWrap/>
          </w:tcPr>
          <w:p w14:paraId="7C8AB09D" w14:textId="77777777" w:rsidR="00EE5BB8" w:rsidRPr="00C6052E" w:rsidRDefault="00EE5BB8" w:rsidP="009952C1">
            <w:pPr>
              <w:pStyle w:val="TableHeading"/>
              <w:rPr>
                <w:lang w:val="en-AU"/>
              </w:rPr>
            </w:pPr>
          </w:p>
        </w:tc>
      </w:tr>
      <w:tr w:rsidR="00EE5BB8" w:rsidRPr="00C6052E" w14:paraId="008155C4" w14:textId="77777777" w:rsidTr="0063097D">
        <w:tc>
          <w:tcPr>
            <w:tcW w:w="4531" w:type="dxa"/>
            <w:hideMark/>
          </w:tcPr>
          <w:p w14:paraId="5DE34BCE" w14:textId="34BF7D75" w:rsidR="00EE5BB8" w:rsidRPr="00C6052E" w:rsidRDefault="00EE5BB8" w:rsidP="0063097D">
            <w:pPr>
              <w:pStyle w:val="TableCopy"/>
              <w:rPr>
                <w:lang w:val="en-AU"/>
              </w:rPr>
            </w:pPr>
            <w:r w:rsidRPr="00C6052E">
              <w:rPr>
                <w:lang w:val="en-AU"/>
              </w:rPr>
              <w:t>State-owned</w:t>
            </w:r>
            <w:r w:rsidR="00177848" w:rsidRPr="00C6052E">
              <w:rPr>
                <w:lang w:val="en-AU"/>
              </w:rPr>
              <w:t xml:space="preserve"> </w:t>
            </w:r>
            <w:r w:rsidRPr="00C6052E">
              <w:rPr>
                <w:lang w:val="en-AU"/>
              </w:rPr>
              <w:t>tenanted</w:t>
            </w:r>
            <w:r w:rsidR="00177848" w:rsidRPr="00C6052E">
              <w:rPr>
                <w:lang w:val="en-AU"/>
              </w:rPr>
              <w:t xml:space="preserve"> </w:t>
            </w:r>
            <w:r w:rsidRPr="00C6052E">
              <w:rPr>
                <w:lang w:val="en-AU"/>
              </w:rPr>
              <w:t>cultural</w:t>
            </w:r>
            <w:r w:rsidR="00177848" w:rsidRPr="00C6052E">
              <w:rPr>
                <w:lang w:val="en-AU"/>
              </w:rPr>
              <w:t xml:space="preserve"> </w:t>
            </w:r>
            <w:r w:rsidRPr="00C6052E">
              <w:rPr>
                <w:lang w:val="en-AU"/>
              </w:rPr>
              <w:t>facilities</w:t>
            </w:r>
            <w:r w:rsidR="00177848" w:rsidRPr="00C6052E">
              <w:rPr>
                <w:lang w:val="en-AU"/>
              </w:rPr>
              <w:t xml:space="preserve"> </w:t>
            </w:r>
            <w:r w:rsidRPr="00C6052E">
              <w:rPr>
                <w:lang w:val="en-AU"/>
              </w:rPr>
              <w:t>maintained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agreed</w:t>
            </w:r>
            <w:r w:rsidR="00177848" w:rsidRPr="00C6052E">
              <w:rPr>
                <w:lang w:val="en-AU"/>
              </w:rPr>
              <w:t xml:space="preserve"> </w:t>
            </w:r>
            <w:r w:rsidRPr="00C6052E">
              <w:rPr>
                <w:lang w:val="en-AU"/>
              </w:rPr>
              <w:t>service</w:t>
            </w:r>
            <w:r w:rsidR="00177848" w:rsidRPr="00C6052E">
              <w:rPr>
                <w:lang w:val="en-AU"/>
              </w:rPr>
              <w:t xml:space="preserve"> </w:t>
            </w:r>
            <w:r w:rsidRPr="00C6052E">
              <w:rPr>
                <w:lang w:val="en-AU"/>
              </w:rPr>
              <w:t>standards</w:t>
            </w:r>
          </w:p>
        </w:tc>
        <w:tc>
          <w:tcPr>
            <w:tcW w:w="1020" w:type="dxa"/>
            <w:hideMark/>
          </w:tcPr>
          <w:p w14:paraId="73E00B74" w14:textId="045D4021"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75245760" w14:textId="77777777" w:rsidR="00EE5BB8" w:rsidRPr="00C6052E" w:rsidRDefault="00EE5BB8" w:rsidP="0063097D">
            <w:pPr>
              <w:pStyle w:val="TableCopy"/>
              <w:jc w:val="right"/>
              <w:rPr>
                <w:lang w:val="en-AU"/>
              </w:rPr>
            </w:pPr>
            <w:r w:rsidRPr="00C6052E">
              <w:rPr>
                <w:lang w:val="en-AU"/>
              </w:rPr>
              <w:t>78</w:t>
            </w:r>
          </w:p>
        </w:tc>
        <w:tc>
          <w:tcPr>
            <w:tcW w:w="1020" w:type="dxa"/>
            <w:noWrap/>
            <w:hideMark/>
          </w:tcPr>
          <w:p w14:paraId="0E38EFFF" w14:textId="77777777" w:rsidR="00EE5BB8" w:rsidRPr="00C6052E" w:rsidRDefault="00EE5BB8" w:rsidP="0063097D">
            <w:pPr>
              <w:pStyle w:val="TableCopy"/>
              <w:jc w:val="right"/>
              <w:rPr>
                <w:lang w:val="en-AU"/>
              </w:rPr>
            </w:pPr>
            <w:r w:rsidRPr="00C6052E">
              <w:rPr>
                <w:lang w:val="en-AU"/>
              </w:rPr>
              <w:t>75</w:t>
            </w:r>
          </w:p>
        </w:tc>
        <w:tc>
          <w:tcPr>
            <w:tcW w:w="1361" w:type="dxa"/>
            <w:noWrap/>
            <w:hideMark/>
          </w:tcPr>
          <w:p w14:paraId="395BAF54" w14:textId="77777777" w:rsidR="00EE5BB8" w:rsidRPr="00C6052E" w:rsidRDefault="00EE5BB8" w:rsidP="0063097D">
            <w:pPr>
              <w:pStyle w:val="TableCopy"/>
              <w:jc w:val="right"/>
              <w:rPr>
                <w:lang w:val="en-AU"/>
              </w:rPr>
            </w:pPr>
            <w:r w:rsidRPr="00C6052E">
              <w:rPr>
                <w:lang w:val="en-AU"/>
              </w:rPr>
              <w:t>4.0%</w:t>
            </w:r>
          </w:p>
        </w:tc>
        <w:tc>
          <w:tcPr>
            <w:tcW w:w="791" w:type="dxa"/>
            <w:noWrap/>
            <w:hideMark/>
          </w:tcPr>
          <w:p w14:paraId="0D61EB02" w14:textId="77777777" w:rsidR="00EE5BB8" w:rsidRPr="00C6052E" w:rsidRDefault="00EE5BB8" w:rsidP="009952C1">
            <w:pPr>
              <w:pStyle w:val="TableCopy"/>
              <w:jc w:val="right"/>
              <w:rPr>
                <w:lang w:val="en-AU"/>
              </w:rPr>
            </w:pPr>
            <w:r w:rsidRPr="00C6052E">
              <w:rPr>
                <w:lang w:val="en-AU"/>
              </w:rPr>
              <w:t>1</w:t>
            </w:r>
          </w:p>
        </w:tc>
      </w:tr>
      <w:tr w:rsidR="00EE5BB8" w:rsidRPr="00C6052E" w14:paraId="5099528E" w14:textId="77777777" w:rsidTr="0063097D">
        <w:tc>
          <w:tcPr>
            <w:tcW w:w="4531" w:type="dxa"/>
            <w:hideMark/>
          </w:tcPr>
          <w:p w14:paraId="078629D3" w14:textId="77777777" w:rsidR="00EE5BB8" w:rsidRDefault="00EE5BB8" w:rsidP="0063097D">
            <w:pPr>
              <w:pStyle w:val="TableCopy"/>
              <w:rPr>
                <w:lang w:val="en-AU"/>
              </w:rPr>
            </w:pPr>
            <w:r w:rsidRPr="00C6052E">
              <w:rPr>
                <w:lang w:val="en-AU"/>
              </w:rPr>
              <w:t>Success</w:t>
            </w:r>
            <w:r w:rsidR="00177848" w:rsidRPr="00C6052E">
              <w:rPr>
                <w:lang w:val="en-AU"/>
              </w:rPr>
              <w:t xml:space="preserve"> </w:t>
            </w:r>
            <w:r w:rsidRPr="00C6052E">
              <w:rPr>
                <w:lang w:val="en-AU"/>
              </w:rPr>
              <w:t>measures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achieved</w:t>
            </w:r>
          </w:p>
          <w:p w14:paraId="7CC3EFDB" w14:textId="5F5594AE" w:rsidR="00C17A57" w:rsidRPr="00C6052E" w:rsidRDefault="00C17A57" w:rsidP="00C17A57">
            <w:pPr>
              <w:pStyle w:val="Tablenotes-indented"/>
              <w:ind w:left="227" w:firstLine="0"/>
              <w:rPr>
                <w:lang w:val="en-AU"/>
              </w:rPr>
            </w:pPr>
            <w:r w:rsidRPr="00C6052E">
              <w:rPr>
                <w:lang w:val="en-AU"/>
              </w:rPr>
              <w:t>Higher result due to project delivery success in accordance with objectives.</w:t>
            </w:r>
          </w:p>
        </w:tc>
        <w:tc>
          <w:tcPr>
            <w:tcW w:w="1020" w:type="dxa"/>
            <w:hideMark/>
          </w:tcPr>
          <w:p w14:paraId="03D5927C" w14:textId="3A524415"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36149AF" w14:textId="77777777" w:rsidR="00EE5BB8" w:rsidRPr="00C6052E" w:rsidRDefault="00EE5BB8" w:rsidP="0063097D">
            <w:pPr>
              <w:pStyle w:val="TableCopy"/>
              <w:jc w:val="right"/>
              <w:rPr>
                <w:lang w:val="en-AU"/>
              </w:rPr>
            </w:pPr>
            <w:r w:rsidRPr="00C6052E">
              <w:rPr>
                <w:lang w:val="en-AU"/>
              </w:rPr>
              <w:t>100</w:t>
            </w:r>
          </w:p>
        </w:tc>
        <w:tc>
          <w:tcPr>
            <w:tcW w:w="1020" w:type="dxa"/>
            <w:noWrap/>
            <w:hideMark/>
          </w:tcPr>
          <w:p w14:paraId="36547F9D" w14:textId="77777777" w:rsidR="00EE5BB8" w:rsidRPr="00C6052E" w:rsidRDefault="00EE5BB8" w:rsidP="0063097D">
            <w:pPr>
              <w:pStyle w:val="TableCopy"/>
              <w:jc w:val="right"/>
              <w:rPr>
                <w:lang w:val="en-AU"/>
              </w:rPr>
            </w:pPr>
            <w:r w:rsidRPr="00C6052E">
              <w:rPr>
                <w:lang w:val="en-AU"/>
              </w:rPr>
              <w:t>90</w:t>
            </w:r>
          </w:p>
        </w:tc>
        <w:tc>
          <w:tcPr>
            <w:tcW w:w="1361" w:type="dxa"/>
            <w:noWrap/>
            <w:hideMark/>
          </w:tcPr>
          <w:p w14:paraId="62B076FC" w14:textId="77777777" w:rsidR="00EE5BB8" w:rsidRPr="00C6052E" w:rsidRDefault="00EE5BB8" w:rsidP="0063097D">
            <w:pPr>
              <w:pStyle w:val="TableCopy"/>
              <w:jc w:val="right"/>
              <w:rPr>
                <w:lang w:val="en-AU"/>
              </w:rPr>
            </w:pPr>
            <w:r w:rsidRPr="00C6052E">
              <w:rPr>
                <w:lang w:val="en-AU"/>
              </w:rPr>
              <w:t>11.1%</w:t>
            </w:r>
          </w:p>
        </w:tc>
        <w:tc>
          <w:tcPr>
            <w:tcW w:w="791" w:type="dxa"/>
            <w:noWrap/>
            <w:hideMark/>
          </w:tcPr>
          <w:p w14:paraId="26D1904B" w14:textId="77777777" w:rsidR="00EE5BB8" w:rsidRPr="00C6052E" w:rsidRDefault="00EE5BB8" w:rsidP="009952C1">
            <w:pPr>
              <w:pStyle w:val="TableCopy"/>
              <w:jc w:val="right"/>
              <w:rPr>
                <w:lang w:val="en-AU"/>
              </w:rPr>
            </w:pPr>
            <w:r w:rsidRPr="00C6052E">
              <w:rPr>
                <w:lang w:val="en-AU"/>
              </w:rPr>
              <w:t>1</w:t>
            </w:r>
          </w:p>
        </w:tc>
      </w:tr>
      <w:tr w:rsidR="00EE5BB8" w:rsidRPr="00C6052E" w14:paraId="23A54222" w14:textId="77777777" w:rsidTr="0063097D">
        <w:tc>
          <w:tcPr>
            <w:tcW w:w="4531" w:type="dxa"/>
          </w:tcPr>
          <w:p w14:paraId="7AB734A7" w14:textId="77777777" w:rsidR="00EE5BB8" w:rsidRPr="00C6052E" w:rsidRDefault="00EE5BB8" w:rsidP="0063097D">
            <w:pPr>
              <w:pStyle w:val="TableHeading"/>
              <w:rPr>
                <w:lang w:val="en-AU"/>
              </w:rPr>
            </w:pPr>
            <w:r w:rsidRPr="00C6052E">
              <w:rPr>
                <w:lang w:val="en-AU"/>
              </w:rPr>
              <w:t>Timeliness</w:t>
            </w:r>
          </w:p>
        </w:tc>
        <w:tc>
          <w:tcPr>
            <w:tcW w:w="1020" w:type="dxa"/>
          </w:tcPr>
          <w:p w14:paraId="616BE027" w14:textId="77777777" w:rsidR="00EE5BB8" w:rsidRPr="00C6052E" w:rsidRDefault="00EE5BB8" w:rsidP="0063097D">
            <w:pPr>
              <w:pStyle w:val="TableHeading"/>
              <w:jc w:val="right"/>
              <w:rPr>
                <w:lang w:val="en-AU"/>
              </w:rPr>
            </w:pPr>
          </w:p>
        </w:tc>
        <w:tc>
          <w:tcPr>
            <w:tcW w:w="1020" w:type="dxa"/>
            <w:noWrap/>
          </w:tcPr>
          <w:p w14:paraId="0283312E" w14:textId="77777777" w:rsidR="00EE5BB8" w:rsidRPr="00C6052E" w:rsidRDefault="00EE5BB8" w:rsidP="0063097D">
            <w:pPr>
              <w:pStyle w:val="TableHeading"/>
              <w:jc w:val="right"/>
              <w:rPr>
                <w:lang w:val="en-AU"/>
              </w:rPr>
            </w:pPr>
          </w:p>
        </w:tc>
        <w:tc>
          <w:tcPr>
            <w:tcW w:w="1020" w:type="dxa"/>
            <w:noWrap/>
          </w:tcPr>
          <w:p w14:paraId="7E027298" w14:textId="77777777" w:rsidR="00EE5BB8" w:rsidRPr="00C6052E" w:rsidRDefault="00EE5BB8" w:rsidP="0063097D">
            <w:pPr>
              <w:pStyle w:val="TableHeading"/>
              <w:jc w:val="right"/>
              <w:rPr>
                <w:lang w:val="en-AU"/>
              </w:rPr>
            </w:pPr>
          </w:p>
        </w:tc>
        <w:tc>
          <w:tcPr>
            <w:tcW w:w="1361" w:type="dxa"/>
            <w:noWrap/>
          </w:tcPr>
          <w:p w14:paraId="3EF33CF6" w14:textId="77777777" w:rsidR="00EE5BB8" w:rsidRPr="00C6052E" w:rsidRDefault="00EE5BB8" w:rsidP="0063097D">
            <w:pPr>
              <w:pStyle w:val="TableHeading"/>
              <w:jc w:val="right"/>
              <w:rPr>
                <w:lang w:val="en-AU"/>
              </w:rPr>
            </w:pPr>
          </w:p>
        </w:tc>
        <w:tc>
          <w:tcPr>
            <w:tcW w:w="791" w:type="dxa"/>
            <w:noWrap/>
          </w:tcPr>
          <w:p w14:paraId="147690FF" w14:textId="77777777" w:rsidR="00EE5BB8" w:rsidRPr="00C6052E" w:rsidRDefault="00EE5BB8" w:rsidP="009952C1">
            <w:pPr>
              <w:pStyle w:val="TableHeading"/>
              <w:rPr>
                <w:lang w:val="en-AU"/>
              </w:rPr>
            </w:pPr>
          </w:p>
        </w:tc>
      </w:tr>
      <w:tr w:rsidR="00EE5BB8" w:rsidRPr="00C6052E" w14:paraId="567A2B8E" w14:textId="77777777" w:rsidTr="0063097D">
        <w:tc>
          <w:tcPr>
            <w:tcW w:w="4531" w:type="dxa"/>
            <w:hideMark/>
          </w:tcPr>
          <w:p w14:paraId="15E6CE5F" w14:textId="202D5991" w:rsidR="00EE5BB8" w:rsidRPr="00C6052E" w:rsidRDefault="00EE5BB8" w:rsidP="0063097D">
            <w:pPr>
              <w:pStyle w:val="TableCopy"/>
              <w:rPr>
                <w:lang w:val="en-AU"/>
              </w:rPr>
            </w:pPr>
            <w:r w:rsidRPr="00C6052E">
              <w:rPr>
                <w:lang w:val="en-AU"/>
              </w:rPr>
              <w:t>Cultural</w:t>
            </w:r>
            <w:r w:rsidR="00177848" w:rsidRPr="00C6052E">
              <w:rPr>
                <w:lang w:val="en-AU"/>
              </w:rPr>
              <w:t xml:space="preserve"> </w:t>
            </w:r>
            <w:r w:rsidRPr="00C6052E">
              <w:rPr>
                <w:lang w:val="en-AU"/>
              </w:rPr>
              <w:t>Facilities</w:t>
            </w:r>
            <w:r w:rsidR="00177848" w:rsidRPr="00C6052E">
              <w:rPr>
                <w:lang w:val="en-AU"/>
              </w:rPr>
              <w:t xml:space="preserve"> </w:t>
            </w:r>
            <w:r w:rsidRPr="00C6052E">
              <w:rPr>
                <w:lang w:val="en-AU"/>
              </w:rPr>
              <w:t>Maintenance</w:t>
            </w:r>
            <w:r w:rsidR="00177848" w:rsidRPr="00C6052E">
              <w:rPr>
                <w:lang w:val="en-AU"/>
              </w:rPr>
              <w:t xml:space="preserve"> </w:t>
            </w:r>
            <w:r w:rsidRPr="00C6052E">
              <w:rPr>
                <w:lang w:val="en-AU"/>
              </w:rPr>
              <w:t>Fund</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delivered</w:t>
            </w:r>
            <w:r w:rsidR="00177848" w:rsidRPr="00C6052E">
              <w:rPr>
                <w:lang w:val="en-AU"/>
              </w:rPr>
              <w:t xml:space="preserve"> </w:t>
            </w:r>
            <w:r w:rsidRPr="00C6052E">
              <w:rPr>
                <w:lang w:val="en-AU"/>
              </w:rPr>
              <w:t>within</w:t>
            </w:r>
            <w:r w:rsidR="00177848" w:rsidRPr="00C6052E">
              <w:rPr>
                <w:lang w:val="en-AU"/>
              </w:rPr>
              <w:t xml:space="preserve"> </w:t>
            </w:r>
            <w:r w:rsidRPr="00C6052E">
              <w:rPr>
                <w:lang w:val="en-AU"/>
              </w:rPr>
              <w:t>agreed</w:t>
            </w:r>
            <w:r w:rsidR="00177848" w:rsidRPr="00C6052E">
              <w:rPr>
                <w:lang w:val="en-AU"/>
              </w:rPr>
              <w:t xml:space="preserve"> </w:t>
            </w:r>
            <w:r w:rsidRPr="00C6052E">
              <w:rPr>
                <w:lang w:val="en-AU"/>
              </w:rPr>
              <w:t>timeframes</w:t>
            </w:r>
          </w:p>
        </w:tc>
        <w:tc>
          <w:tcPr>
            <w:tcW w:w="1020" w:type="dxa"/>
            <w:hideMark/>
          </w:tcPr>
          <w:p w14:paraId="5287D8F2" w14:textId="3A212ADB" w:rsidR="00EE5BB8" w:rsidRPr="00C6052E" w:rsidRDefault="00EE5BB8" w:rsidP="0063097D">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409A8BDD" w14:textId="77777777" w:rsidR="00EE5BB8" w:rsidRPr="00C6052E" w:rsidRDefault="00EE5BB8" w:rsidP="0063097D">
            <w:pPr>
              <w:pStyle w:val="TableCopy"/>
              <w:jc w:val="right"/>
              <w:rPr>
                <w:lang w:val="en-AU"/>
              </w:rPr>
            </w:pPr>
            <w:r w:rsidRPr="00C6052E">
              <w:rPr>
                <w:lang w:val="en-AU"/>
              </w:rPr>
              <w:t>85.7</w:t>
            </w:r>
          </w:p>
        </w:tc>
        <w:tc>
          <w:tcPr>
            <w:tcW w:w="1020" w:type="dxa"/>
            <w:noWrap/>
            <w:hideMark/>
          </w:tcPr>
          <w:p w14:paraId="03F46FDC" w14:textId="77777777" w:rsidR="00EE5BB8" w:rsidRPr="00C6052E" w:rsidRDefault="00EE5BB8" w:rsidP="0063097D">
            <w:pPr>
              <w:pStyle w:val="TableCopy"/>
              <w:jc w:val="right"/>
              <w:rPr>
                <w:lang w:val="en-AU"/>
              </w:rPr>
            </w:pPr>
            <w:r w:rsidRPr="00C6052E">
              <w:rPr>
                <w:lang w:val="en-AU"/>
              </w:rPr>
              <w:t>90</w:t>
            </w:r>
          </w:p>
        </w:tc>
        <w:tc>
          <w:tcPr>
            <w:tcW w:w="1361" w:type="dxa"/>
            <w:noWrap/>
            <w:hideMark/>
          </w:tcPr>
          <w:p w14:paraId="537404D7" w14:textId="77777777" w:rsidR="00EE5BB8" w:rsidRPr="00C6052E" w:rsidRDefault="00EE5BB8" w:rsidP="0063097D">
            <w:pPr>
              <w:pStyle w:val="TableCopy"/>
              <w:jc w:val="right"/>
              <w:rPr>
                <w:lang w:val="en-AU"/>
              </w:rPr>
            </w:pPr>
            <w:r w:rsidRPr="00C6052E">
              <w:rPr>
                <w:lang w:val="en-AU"/>
              </w:rPr>
              <w:t>-4.8%</w:t>
            </w:r>
          </w:p>
        </w:tc>
        <w:tc>
          <w:tcPr>
            <w:tcW w:w="791" w:type="dxa"/>
            <w:noWrap/>
            <w:hideMark/>
          </w:tcPr>
          <w:p w14:paraId="24EA959B" w14:textId="77777777" w:rsidR="00EE5BB8" w:rsidRPr="00C6052E" w:rsidRDefault="00EE5BB8" w:rsidP="009952C1">
            <w:pPr>
              <w:pStyle w:val="TableCopy"/>
              <w:jc w:val="right"/>
              <w:rPr>
                <w:lang w:val="en-AU"/>
              </w:rPr>
            </w:pPr>
            <w:r w:rsidRPr="00C6052E">
              <w:rPr>
                <w:lang w:val="en-AU"/>
              </w:rPr>
              <w:t>2</w:t>
            </w:r>
          </w:p>
        </w:tc>
      </w:tr>
      <w:tr w:rsidR="00EE5BB8" w:rsidRPr="00C6052E" w14:paraId="37CD3742" w14:textId="77777777" w:rsidTr="0063097D">
        <w:tc>
          <w:tcPr>
            <w:tcW w:w="4531" w:type="dxa"/>
          </w:tcPr>
          <w:p w14:paraId="27E5D508" w14:textId="77777777" w:rsidR="00EE5BB8" w:rsidRPr="00C6052E" w:rsidRDefault="00EE5BB8" w:rsidP="0063097D">
            <w:pPr>
              <w:pStyle w:val="TableHeading"/>
              <w:rPr>
                <w:lang w:val="en-AU"/>
              </w:rPr>
            </w:pPr>
            <w:r w:rsidRPr="00C6052E">
              <w:rPr>
                <w:lang w:val="en-AU"/>
              </w:rPr>
              <w:t>Cost</w:t>
            </w:r>
          </w:p>
        </w:tc>
        <w:tc>
          <w:tcPr>
            <w:tcW w:w="1020" w:type="dxa"/>
          </w:tcPr>
          <w:p w14:paraId="372A63B5" w14:textId="77777777" w:rsidR="00EE5BB8" w:rsidRPr="00C6052E" w:rsidRDefault="00EE5BB8" w:rsidP="0063097D">
            <w:pPr>
              <w:pStyle w:val="TableHeading"/>
              <w:jc w:val="right"/>
              <w:rPr>
                <w:lang w:val="en-AU"/>
              </w:rPr>
            </w:pPr>
          </w:p>
        </w:tc>
        <w:tc>
          <w:tcPr>
            <w:tcW w:w="1020" w:type="dxa"/>
            <w:noWrap/>
          </w:tcPr>
          <w:p w14:paraId="703FDB63" w14:textId="77777777" w:rsidR="00EE5BB8" w:rsidRPr="00C6052E" w:rsidRDefault="00EE5BB8" w:rsidP="0063097D">
            <w:pPr>
              <w:pStyle w:val="TableHeading"/>
              <w:jc w:val="right"/>
              <w:rPr>
                <w:lang w:val="en-AU"/>
              </w:rPr>
            </w:pPr>
          </w:p>
        </w:tc>
        <w:tc>
          <w:tcPr>
            <w:tcW w:w="1020" w:type="dxa"/>
            <w:noWrap/>
          </w:tcPr>
          <w:p w14:paraId="5CD04D7D" w14:textId="77777777" w:rsidR="00EE5BB8" w:rsidRPr="00C6052E" w:rsidRDefault="00EE5BB8" w:rsidP="0063097D">
            <w:pPr>
              <w:pStyle w:val="TableHeading"/>
              <w:jc w:val="right"/>
              <w:rPr>
                <w:lang w:val="en-AU"/>
              </w:rPr>
            </w:pPr>
          </w:p>
        </w:tc>
        <w:tc>
          <w:tcPr>
            <w:tcW w:w="1361" w:type="dxa"/>
            <w:noWrap/>
          </w:tcPr>
          <w:p w14:paraId="3E399D3C" w14:textId="77777777" w:rsidR="00EE5BB8" w:rsidRPr="00C6052E" w:rsidRDefault="00EE5BB8" w:rsidP="0063097D">
            <w:pPr>
              <w:pStyle w:val="TableHeading"/>
              <w:jc w:val="right"/>
              <w:rPr>
                <w:lang w:val="en-AU"/>
              </w:rPr>
            </w:pPr>
          </w:p>
        </w:tc>
        <w:tc>
          <w:tcPr>
            <w:tcW w:w="791" w:type="dxa"/>
            <w:noWrap/>
          </w:tcPr>
          <w:p w14:paraId="4351E50F" w14:textId="77777777" w:rsidR="00EE5BB8" w:rsidRPr="00C6052E" w:rsidRDefault="00EE5BB8" w:rsidP="009952C1">
            <w:pPr>
              <w:pStyle w:val="TableHeading"/>
              <w:rPr>
                <w:lang w:val="en-AU"/>
              </w:rPr>
            </w:pPr>
          </w:p>
        </w:tc>
      </w:tr>
      <w:tr w:rsidR="00EE5BB8" w:rsidRPr="00C6052E" w14:paraId="4D268902" w14:textId="77777777" w:rsidTr="0063097D">
        <w:tc>
          <w:tcPr>
            <w:tcW w:w="4531" w:type="dxa"/>
            <w:hideMark/>
          </w:tcPr>
          <w:p w14:paraId="36F24D92" w14:textId="77777777" w:rsidR="00EE5BB8" w:rsidRDefault="00EE5BB8" w:rsidP="00B53837">
            <w:pPr>
              <w:pStyle w:val="Tabletotal"/>
              <w:keepNext/>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p w14:paraId="56CDAB67" w14:textId="7CDD3A41" w:rsidR="00C17A57" w:rsidRPr="00C6052E" w:rsidRDefault="00C17A57" w:rsidP="00C17A57">
            <w:pPr>
              <w:pStyle w:val="Tablenotes-indented"/>
              <w:keepNext/>
              <w:ind w:left="227" w:firstLine="0"/>
              <w:rPr>
                <w:lang w:val="en-AU"/>
              </w:rPr>
            </w:pPr>
            <w:r w:rsidRPr="00C6052E">
              <w:rPr>
                <w:lang w:val="en-AU"/>
              </w:rPr>
              <w:t>The 2024–25 result is higher than the 2024–25 target primarily due to an administrative realignment of depreciation expense into this output and the expenditure profile for the Creative Infrastructure Program.</w:t>
            </w:r>
          </w:p>
        </w:tc>
        <w:tc>
          <w:tcPr>
            <w:tcW w:w="1020" w:type="dxa"/>
            <w:hideMark/>
          </w:tcPr>
          <w:p w14:paraId="2B3572C0" w14:textId="4F470D88" w:rsidR="00EE5BB8" w:rsidRPr="00C6052E" w:rsidRDefault="00EE5BB8" w:rsidP="00B53837">
            <w:pPr>
              <w:pStyle w:val="Tabletotal"/>
              <w:keepNext/>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3C7FEB8B" w14:textId="4D524F48" w:rsidR="00EE5BB8" w:rsidRPr="00C6052E" w:rsidRDefault="00EE5BB8" w:rsidP="00B53837">
            <w:pPr>
              <w:pStyle w:val="Tabletotal"/>
              <w:keepNext/>
              <w:jc w:val="right"/>
              <w:rPr>
                <w:lang w:val="en-AU"/>
              </w:rPr>
            </w:pPr>
            <w:r w:rsidRPr="00C6052E">
              <w:rPr>
                <w:lang w:val="en-AU"/>
              </w:rPr>
              <w:t>70.3</w:t>
            </w:r>
            <w:r w:rsidR="00177848" w:rsidRPr="00C6052E">
              <w:rPr>
                <w:lang w:val="en-AU"/>
              </w:rPr>
              <w:t xml:space="preserve"> </w:t>
            </w:r>
          </w:p>
        </w:tc>
        <w:tc>
          <w:tcPr>
            <w:tcW w:w="1020" w:type="dxa"/>
            <w:noWrap/>
            <w:hideMark/>
          </w:tcPr>
          <w:p w14:paraId="127C0B64" w14:textId="77777777" w:rsidR="00EE5BB8" w:rsidRPr="00C6052E" w:rsidRDefault="00EE5BB8" w:rsidP="00B53837">
            <w:pPr>
              <w:pStyle w:val="Tabletotal"/>
              <w:keepNext/>
              <w:jc w:val="right"/>
              <w:rPr>
                <w:lang w:val="en-AU"/>
              </w:rPr>
            </w:pPr>
            <w:r w:rsidRPr="00C6052E">
              <w:rPr>
                <w:lang w:val="en-AU"/>
              </w:rPr>
              <w:t>52.8</w:t>
            </w:r>
          </w:p>
        </w:tc>
        <w:tc>
          <w:tcPr>
            <w:tcW w:w="1361" w:type="dxa"/>
            <w:noWrap/>
            <w:hideMark/>
          </w:tcPr>
          <w:p w14:paraId="3BCDB147" w14:textId="77777777" w:rsidR="00EE5BB8" w:rsidRPr="00C6052E" w:rsidRDefault="00EE5BB8" w:rsidP="00B53837">
            <w:pPr>
              <w:pStyle w:val="Tabletotal"/>
              <w:keepNext/>
              <w:jc w:val="right"/>
              <w:rPr>
                <w:lang w:val="en-AU"/>
              </w:rPr>
            </w:pPr>
            <w:r w:rsidRPr="00C6052E">
              <w:rPr>
                <w:lang w:val="en-AU"/>
              </w:rPr>
              <w:t>33.1%</w:t>
            </w:r>
          </w:p>
        </w:tc>
        <w:tc>
          <w:tcPr>
            <w:tcW w:w="791" w:type="dxa"/>
            <w:noWrap/>
            <w:hideMark/>
          </w:tcPr>
          <w:p w14:paraId="5D16C23D" w14:textId="77777777" w:rsidR="00EE5BB8" w:rsidRPr="00C6052E" w:rsidRDefault="00EE5BB8" w:rsidP="00B53837">
            <w:pPr>
              <w:pStyle w:val="Tabletotal"/>
              <w:keepNext/>
              <w:jc w:val="right"/>
              <w:rPr>
                <w:lang w:val="en-AU"/>
              </w:rPr>
            </w:pPr>
            <w:r w:rsidRPr="00C6052E">
              <w:rPr>
                <w:lang w:val="en-AU"/>
              </w:rPr>
              <w:t>3</w:t>
            </w:r>
          </w:p>
        </w:tc>
      </w:tr>
    </w:tbl>
    <w:p w14:paraId="29226A6C" w14:textId="1BEBA61C" w:rsidR="00EE5BB8" w:rsidRPr="00C6052E" w:rsidRDefault="00EE5BB8" w:rsidP="00EE5BB8">
      <w:pPr>
        <w:pStyle w:val="Tablenotes"/>
        <w:spacing w:after="240"/>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28598CCC" w14:textId="6610F293" w:rsidR="00EE5BB8" w:rsidRPr="00C6052E" w:rsidRDefault="00EE5BB8" w:rsidP="00EE5BB8">
      <w:pPr>
        <w:keepLines/>
      </w:pPr>
      <w:r w:rsidRPr="00C6052E">
        <w:t>Table</w:t>
      </w:r>
      <w:r w:rsidR="00177848" w:rsidRPr="00C6052E">
        <w:t xml:space="preserve"> </w:t>
      </w:r>
      <w:r w:rsidRPr="00C6052E">
        <w:t>25</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provides</w:t>
      </w:r>
      <w:r w:rsidR="00177848" w:rsidRPr="00C6052E">
        <w:t xml:space="preserve"> </w:t>
      </w:r>
      <w:r w:rsidRPr="00C6052E">
        <w:t>strategic</w:t>
      </w:r>
      <w:r w:rsidR="00177848" w:rsidRPr="00C6052E">
        <w:t xml:space="preserve"> </w:t>
      </w:r>
      <w:r w:rsidRPr="00C6052E">
        <w:t>leadership</w:t>
      </w:r>
      <w:r w:rsidR="00177848" w:rsidRPr="00C6052E">
        <w:t xml:space="preserve"> </w:t>
      </w:r>
      <w:r w:rsidRPr="00C6052E">
        <w:t>and</w:t>
      </w:r>
      <w:r w:rsidR="00177848" w:rsidRPr="00C6052E">
        <w:t xml:space="preserve"> </w:t>
      </w:r>
      <w:r w:rsidRPr="00C6052E">
        <w:t>investment</w:t>
      </w:r>
      <w:r w:rsidR="00177848" w:rsidRPr="00C6052E">
        <w:t xml:space="preserve"> </w:t>
      </w:r>
      <w:r w:rsidRPr="00C6052E">
        <w:t>in</w:t>
      </w:r>
      <w:r w:rsidR="00177848" w:rsidRPr="00C6052E">
        <w:t xml:space="preserve"> </w:t>
      </w:r>
      <w:r w:rsidRPr="00C6052E">
        <w:t>the</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industry</w:t>
      </w:r>
      <w:r w:rsidR="00177848" w:rsidRPr="00C6052E">
        <w:t xml:space="preserve"> </w:t>
      </w:r>
      <w:r w:rsidRPr="00C6052E">
        <w:t>through</w:t>
      </w:r>
      <w:r w:rsidR="00177848" w:rsidRPr="00C6052E">
        <w:t xml:space="preserve"> </w:t>
      </w:r>
      <w:r w:rsidRPr="00C6052E">
        <w:t>innovation,</w:t>
      </w:r>
      <w:r w:rsidR="00177848" w:rsidRPr="00C6052E">
        <w:t xml:space="preserve"> </w:t>
      </w:r>
      <w:r w:rsidRPr="00C6052E">
        <w:t>sector</w:t>
      </w:r>
      <w:r w:rsidR="00177848" w:rsidRPr="00C6052E">
        <w:t xml:space="preserve"> </w:t>
      </w:r>
      <w:r w:rsidRPr="00C6052E">
        <w:t>and</w:t>
      </w:r>
      <w:r w:rsidR="00177848" w:rsidRPr="00C6052E">
        <w:t xml:space="preserve"> </w:t>
      </w:r>
      <w:r w:rsidRPr="00C6052E">
        <w:t>industry</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funding</w:t>
      </w:r>
      <w:r w:rsidR="00177848" w:rsidRPr="00C6052E">
        <w:t xml:space="preserve"> </w:t>
      </w:r>
      <w:r w:rsidRPr="00C6052E">
        <w:t>support.</w:t>
      </w:r>
      <w:r w:rsidR="00177848" w:rsidRPr="00C6052E">
        <w:t xml:space="preserve"> </w:t>
      </w:r>
      <w:r w:rsidRPr="00C6052E">
        <w:t>It</w:t>
      </w:r>
      <w:r w:rsidR="00177848" w:rsidRPr="00C6052E">
        <w:t xml:space="preserve"> </w:t>
      </w:r>
      <w:r w:rsidRPr="00C6052E">
        <w:t>supports</w:t>
      </w:r>
      <w:r w:rsidR="00177848" w:rsidRPr="00C6052E">
        <w:t xml:space="preserve"> </w:t>
      </w:r>
      <w:r w:rsidRPr="00C6052E">
        <w:t>community</w:t>
      </w:r>
      <w:r w:rsidR="00177848" w:rsidRPr="00C6052E">
        <w:t xml:space="preserve"> </w:t>
      </w:r>
      <w:r w:rsidRPr="00C6052E">
        <w:t>participation</w:t>
      </w:r>
      <w:r w:rsidR="00177848" w:rsidRPr="00C6052E">
        <w:t xml:space="preserve"> </w:t>
      </w:r>
      <w:r w:rsidRPr="00C6052E">
        <w:t>and</w:t>
      </w:r>
      <w:r w:rsidR="00177848" w:rsidRPr="00C6052E">
        <w:t xml:space="preserve"> </w:t>
      </w:r>
      <w:r w:rsidRPr="00C6052E">
        <w:t>inclusion</w:t>
      </w:r>
      <w:r w:rsidR="00177848" w:rsidRPr="00C6052E">
        <w:t xml:space="preserve"> </w:t>
      </w:r>
      <w:r w:rsidRPr="00C6052E">
        <w:t>in</w:t>
      </w:r>
      <w:r w:rsidR="00177848" w:rsidRPr="00C6052E">
        <w:t xml:space="preserve"> </w:t>
      </w:r>
      <w:r w:rsidRPr="00C6052E">
        <w:t>the</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sector</w:t>
      </w:r>
      <w:r w:rsidR="00177848" w:rsidRPr="00C6052E">
        <w:t xml:space="preserve"> </w:t>
      </w:r>
      <w:r w:rsidRPr="00C6052E">
        <w:t>by</w:t>
      </w:r>
      <w:r w:rsidR="00177848" w:rsidRPr="00C6052E">
        <w:t xml:space="preserve"> </w:t>
      </w:r>
      <w:r w:rsidRPr="00C6052E">
        <w:t>strengthening</w:t>
      </w:r>
      <w:r w:rsidR="00177848" w:rsidRPr="00C6052E">
        <w:t xml:space="preserve"> </w:t>
      </w:r>
      <w:r w:rsidRPr="00C6052E">
        <w:t>the</w:t>
      </w:r>
      <w:r w:rsidR="00177848" w:rsidRPr="00C6052E">
        <w:t xml:space="preserve"> </w:t>
      </w:r>
      <w:r w:rsidRPr="00C6052E">
        <w:t>capacity</w:t>
      </w:r>
      <w:r w:rsidR="00177848" w:rsidRPr="00C6052E">
        <w:t xml:space="preserve"> </w:t>
      </w:r>
      <w:r w:rsidRPr="00C6052E">
        <w:t>of</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organisations</w:t>
      </w:r>
      <w:r w:rsidR="00177848" w:rsidRPr="00C6052E">
        <w:t xml:space="preserve"> </w:t>
      </w:r>
      <w:r w:rsidRPr="00C6052E">
        <w:t>to</w:t>
      </w:r>
      <w:r w:rsidR="00177848" w:rsidRPr="00C6052E">
        <w:t xml:space="preserve"> </w:t>
      </w:r>
      <w:r w:rsidRPr="00C6052E">
        <w:t>deliver</w:t>
      </w:r>
      <w:r w:rsidR="00177848" w:rsidRPr="00C6052E">
        <w:t xml:space="preserve"> </w:t>
      </w:r>
      <w:r w:rsidRPr="00C6052E">
        <w:t>participation</w:t>
      </w:r>
      <w:r w:rsidR="00177848" w:rsidRPr="00C6052E">
        <w:t xml:space="preserve"> </w:t>
      </w:r>
      <w:r w:rsidRPr="00C6052E">
        <w:t>opportunities,</w:t>
      </w:r>
      <w:r w:rsidR="00177848" w:rsidRPr="00C6052E">
        <w:t xml:space="preserve"> </w:t>
      </w:r>
      <w:r w:rsidRPr="00C6052E">
        <w:t>improving</w:t>
      </w:r>
      <w:r w:rsidR="00177848" w:rsidRPr="00C6052E">
        <w:t xml:space="preserve"> </w:t>
      </w:r>
      <w:r w:rsidRPr="00C6052E">
        <w:t>community</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r w:rsidR="00177848" w:rsidRPr="00C6052E">
        <w:t xml:space="preserve"> </w:t>
      </w:r>
      <w:r w:rsidRPr="00C6052E">
        <w:t>facilities</w:t>
      </w:r>
      <w:r w:rsidR="00177848" w:rsidRPr="00C6052E">
        <w:t xml:space="preserve"> </w:t>
      </w:r>
      <w:r w:rsidRPr="00C6052E">
        <w:t>across</w:t>
      </w:r>
      <w:r w:rsidR="00177848" w:rsidRPr="00C6052E">
        <w:t xml:space="preserve"> </w:t>
      </w:r>
      <w:r w:rsidRPr="00C6052E">
        <w:t>the</w:t>
      </w:r>
      <w:r w:rsidR="00177848" w:rsidRPr="00C6052E">
        <w:t xml:space="preserve"> </w:t>
      </w:r>
      <w:r w:rsidRPr="00C6052E">
        <w:t>state</w:t>
      </w:r>
      <w:r w:rsidR="00177848" w:rsidRPr="00C6052E">
        <w:t xml:space="preserve"> </w:t>
      </w:r>
      <w:r w:rsidRPr="00C6052E">
        <w:t>and</w:t>
      </w:r>
      <w:r w:rsidR="00177848" w:rsidRPr="00C6052E">
        <w:t xml:space="preserve"> </w:t>
      </w:r>
      <w:r w:rsidRPr="00C6052E">
        <w:t>guiding</w:t>
      </w:r>
      <w:r w:rsidR="00177848" w:rsidRPr="00C6052E">
        <w:t xml:space="preserve"> </w:t>
      </w:r>
      <w:r w:rsidRPr="00C6052E">
        <w:t>the</w:t>
      </w:r>
      <w:r w:rsidR="00177848" w:rsidRPr="00C6052E">
        <w:t xml:space="preserve"> </w:t>
      </w:r>
      <w:r w:rsidRPr="00C6052E">
        <w:t>development</w:t>
      </w:r>
      <w:r w:rsidR="00177848" w:rsidRPr="00C6052E">
        <w:t xml:space="preserve"> </w:t>
      </w:r>
      <w:r w:rsidRPr="00C6052E">
        <w:t>and</w:t>
      </w:r>
      <w:r w:rsidR="00177848" w:rsidRPr="00C6052E">
        <w:t xml:space="preserve"> </w:t>
      </w:r>
      <w:r w:rsidRPr="00C6052E">
        <w:t>management</w:t>
      </w:r>
      <w:r w:rsidR="00177848" w:rsidRPr="00C6052E">
        <w:t xml:space="preserve"> </w:t>
      </w:r>
      <w:r w:rsidRPr="00C6052E">
        <w:t>of</w:t>
      </w:r>
      <w:r w:rsidR="00177848" w:rsidRPr="00C6052E">
        <w:t xml:space="preserve"> </w:t>
      </w:r>
      <w:r w:rsidRPr="00C6052E">
        <w:t>State-level</w:t>
      </w:r>
      <w:r w:rsidR="00177848" w:rsidRPr="00C6052E">
        <w:t xml:space="preserve"> </w:t>
      </w:r>
      <w:r w:rsidRPr="00C6052E">
        <w:t>sporting</w:t>
      </w:r>
      <w:r w:rsidR="00177848" w:rsidRPr="00C6052E">
        <w:t xml:space="preserve"> </w:t>
      </w:r>
      <w:r w:rsidRPr="00C6052E">
        <w:t>facilities</w:t>
      </w:r>
      <w:r w:rsidR="00177848" w:rsidRPr="00C6052E">
        <w:t xml:space="preserve"> </w:t>
      </w:r>
      <w:r w:rsidRPr="00C6052E">
        <w:t>and</w:t>
      </w:r>
      <w:r w:rsidR="00177848" w:rsidRPr="00C6052E">
        <w:t xml:space="preserve"> </w:t>
      </w:r>
      <w:r w:rsidRPr="00C6052E">
        <w:t>events,</w:t>
      </w:r>
      <w:r w:rsidR="00177848" w:rsidRPr="00C6052E">
        <w:t xml:space="preserve"> </w:t>
      </w:r>
      <w:r w:rsidRPr="00C6052E">
        <w:t>to</w:t>
      </w:r>
      <w:r w:rsidR="00177848" w:rsidRPr="00C6052E">
        <w:t xml:space="preserve"> </w:t>
      </w:r>
      <w:r w:rsidRPr="00C6052E">
        <w:t>encourage</w:t>
      </w:r>
      <w:r w:rsidR="00177848" w:rsidRPr="00C6052E">
        <w:t xml:space="preserve"> </w:t>
      </w:r>
      <w:r w:rsidRPr="00C6052E">
        <w:t>participation</w:t>
      </w:r>
      <w:r w:rsidR="00177848" w:rsidRPr="00C6052E">
        <w:t xml:space="preserve"> </w:t>
      </w:r>
      <w:r w:rsidRPr="00C6052E">
        <w:t>by</w:t>
      </w:r>
      <w:r w:rsidR="00177848" w:rsidRPr="00C6052E">
        <w:t xml:space="preserve"> </w:t>
      </w:r>
      <w:r w:rsidRPr="00C6052E">
        <w:t>all</w:t>
      </w:r>
      <w:r w:rsidR="00177848" w:rsidRPr="00C6052E">
        <w:t xml:space="preserve"> </w:t>
      </w:r>
      <w:r w:rsidRPr="00C6052E">
        <w:t>Victorians.</w:t>
      </w:r>
    </w:p>
    <w:p w14:paraId="0E7B469A" w14:textId="5E528EDA" w:rsidR="00EE5BB8" w:rsidRPr="00C6052E" w:rsidRDefault="00EE5BB8" w:rsidP="00EE5BB8">
      <w:pPr>
        <w:pStyle w:val="TableHeading"/>
      </w:pPr>
      <w:r w:rsidRPr="00C6052E">
        <w:lastRenderedPageBreak/>
        <w:t>Table</w:t>
      </w:r>
      <w:r w:rsidR="00177848" w:rsidRPr="00C6052E">
        <w:t xml:space="preserve"> </w:t>
      </w:r>
      <w:r w:rsidRPr="00C6052E">
        <w:t>25:</w:t>
      </w:r>
      <w:r w:rsidR="00177848" w:rsidRPr="00C6052E">
        <w:t xml:space="preserve"> </w:t>
      </w:r>
      <w:r w:rsidRPr="00C6052E">
        <w:t>Output</w:t>
      </w:r>
      <w:r w:rsidR="00177848" w:rsidRPr="00C6052E">
        <w:t xml:space="preserve"> </w:t>
      </w:r>
      <w:r w:rsidRPr="00C6052E">
        <w:t>–</w:t>
      </w:r>
      <w:r w:rsidR="00177848" w:rsidRPr="00C6052E">
        <w:t xml:space="preserve"> </w:t>
      </w:r>
      <w:r w:rsidRPr="00C6052E">
        <w:t>Sport</w:t>
      </w:r>
      <w:r w:rsidR="00177848" w:rsidRPr="00C6052E">
        <w:t xml:space="preserve"> </w:t>
      </w:r>
      <w:r w:rsidRPr="00C6052E">
        <w:t>and</w:t>
      </w:r>
      <w:r w:rsidR="00177848" w:rsidRPr="00C6052E">
        <w:t xml:space="preserve"> </w:t>
      </w:r>
      <w:r w:rsidRPr="00C6052E">
        <w:t>Recreation</w:t>
      </w:r>
    </w:p>
    <w:tbl>
      <w:tblPr>
        <w:tblStyle w:val="TableGrid"/>
        <w:tblW w:w="9776" w:type="dxa"/>
        <w:tblLayout w:type="fixed"/>
        <w:tblLook w:val="04A0" w:firstRow="1" w:lastRow="0" w:firstColumn="1" w:lastColumn="0" w:noHBand="0" w:noVBand="1"/>
      </w:tblPr>
      <w:tblGrid>
        <w:gridCol w:w="4531"/>
        <w:gridCol w:w="1020"/>
        <w:gridCol w:w="1020"/>
        <w:gridCol w:w="1020"/>
        <w:gridCol w:w="1361"/>
        <w:gridCol w:w="824"/>
      </w:tblGrid>
      <w:tr w:rsidR="00EE5BB8" w:rsidRPr="00C6052E" w14:paraId="32A6E8BA" w14:textId="77777777" w:rsidTr="0063097D">
        <w:trPr>
          <w:tblHeader/>
        </w:trPr>
        <w:tc>
          <w:tcPr>
            <w:tcW w:w="4531" w:type="dxa"/>
            <w:hideMark/>
          </w:tcPr>
          <w:p w14:paraId="2A504947" w14:textId="325CEEA1" w:rsidR="00EE5BB8" w:rsidRPr="00C6052E" w:rsidRDefault="00EE5BB8" w:rsidP="0063097D">
            <w:pPr>
              <w:pStyle w:val="TableColumnHeading"/>
              <w:rPr>
                <w:lang w:val="en-AU"/>
              </w:rPr>
            </w:pPr>
            <w:bookmarkStart w:id="47" w:name="TableColumnHeadings_33"/>
            <w:bookmarkEnd w:id="47"/>
            <w:r w:rsidRPr="00C6052E">
              <w:rPr>
                <w:lang w:val="en-AU"/>
              </w:rPr>
              <w:t>Performance</w:t>
            </w:r>
            <w:r w:rsidR="00177848" w:rsidRPr="00C6052E">
              <w:rPr>
                <w:lang w:val="en-AU"/>
              </w:rPr>
              <w:t xml:space="preserve"> </w:t>
            </w:r>
            <w:r w:rsidRPr="00C6052E">
              <w:rPr>
                <w:lang w:val="en-AU"/>
              </w:rPr>
              <w:t>measures</w:t>
            </w:r>
          </w:p>
        </w:tc>
        <w:tc>
          <w:tcPr>
            <w:tcW w:w="1020" w:type="dxa"/>
            <w:hideMark/>
          </w:tcPr>
          <w:p w14:paraId="6517FFA2" w14:textId="0C8D4ABD" w:rsidR="00EE5BB8" w:rsidRPr="00C6052E" w:rsidRDefault="00EE5BB8" w:rsidP="00B53837">
            <w:pPr>
              <w:pStyle w:val="TableColumnHeading"/>
              <w:jc w:val="right"/>
              <w:rPr>
                <w:lang w:val="en-AU"/>
              </w:rPr>
            </w:pP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64B6D7B2" w14:textId="77777777" w:rsidR="00EE5BB8" w:rsidRPr="00C6052E" w:rsidRDefault="00EE5BB8" w:rsidP="00B53837">
            <w:pPr>
              <w:pStyle w:val="TableColumnHeading"/>
              <w:jc w:val="right"/>
              <w:rPr>
                <w:lang w:val="en-AU"/>
              </w:rPr>
            </w:pPr>
            <w:r w:rsidRPr="00C6052E">
              <w:rPr>
                <w:lang w:val="en-AU"/>
              </w:rPr>
              <w:t>2024–25</w:t>
            </w:r>
            <w:r w:rsidRPr="00C6052E">
              <w:rPr>
                <w:lang w:val="en-AU"/>
              </w:rPr>
              <w:br/>
              <w:t>Actual</w:t>
            </w:r>
          </w:p>
        </w:tc>
        <w:tc>
          <w:tcPr>
            <w:tcW w:w="1020" w:type="dxa"/>
            <w:hideMark/>
          </w:tcPr>
          <w:p w14:paraId="557DAC71" w14:textId="6EF2E975" w:rsidR="00EE5BB8" w:rsidRPr="00C6052E" w:rsidRDefault="00EE5BB8" w:rsidP="00B53837">
            <w:pPr>
              <w:pStyle w:val="TableColumnHeading"/>
              <w:jc w:val="right"/>
              <w:rPr>
                <w:lang w:val="en-AU"/>
              </w:rPr>
            </w:pPr>
            <w:r w:rsidRPr="00C6052E">
              <w:rPr>
                <w:lang w:val="en-AU"/>
              </w:rPr>
              <w:t>2024–25</w:t>
            </w:r>
            <w:r w:rsidR="00177848" w:rsidRPr="00C6052E">
              <w:rPr>
                <w:lang w:val="en-AU"/>
              </w:rPr>
              <w:t xml:space="preserve"> </w:t>
            </w:r>
            <w:r w:rsidRPr="00C6052E">
              <w:rPr>
                <w:lang w:val="en-AU"/>
              </w:rPr>
              <w:t>Target</w:t>
            </w:r>
          </w:p>
        </w:tc>
        <w:tc>
          <w:tcPr>
            <w:tcW w:w="1361" w:type="dxa"/>
            <w:hideMark/>
          </w:tcPr>
          <w:p w14:paraId="514D50A7" w14:textId="431D5B85" w:rsidR="00EE5BB8" w:rsidRPr="00C6052E" w:rsidRDefault="00EE5BB8" w:rsidP="00B53837">
            <w:pPr>
              <w:pStyle w:val="TableColumnHeading"/>
              <w:jc w:val="right"/>
              <w:rPr>
                <w:lang w:val="en-AU"/>
              </w:rPr>
            </w:pPr>
            <w:r w:rsidRPr="00C6052E">
              <w:rPr>
                <w:lang w:val="en-AU"/>
              </w:rPr>
              <w:t>Performance</w:t>
            </w:r>
            <w:r w:rsidR="00177848"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824" w:type="dxa"/>
            <w:hideMark/>
          </w:tcPr>
          <w:p w14:paraId="1E1BFC33" w14:textId="77777777" w:rsidR="00EE5BB8" w:rsidRPr="00C6052E" w:rsidRDefault="00EE5BB8" w:rsidP="00B53837">
            <w:pPr>
              <w:pStyle w:val="TableColumnHeading"/>
              <w:jc w:val="right"/>
              <w:rPr>
                <w:lang w:val="en-AU"/>
              </w:rPr>
            </w:pPr>
            <w:r w:rsidRPr="00C6052E">
              <w:rPr>
                <w:lang w:val="en-AU"/>
              </w:rPr>
              <w:t>Result</w:t>
            </w:r>
          </w:p>
        </w:tc>
      </w:tr>
      <w:tr w:rsidR="00EE5BB8" w:rsidRPr="00C6052E" w14:paraId="00E5926E" w14:textId="77777777" w:rsidTr="0063097D">
        <w:tc>
          <w:tcPr>
            <w:tcW w:w="4531" w:type="dxa"/>
          </w:tcPr>
          <w:p w14:paraId="483AE3E3" w14:textId="77777777" w:rsidR="00EE5BB8" w:rsidRPr="00C6052E" w:rsidRDefault="00EE5BB8" w:rsidP="0063097D">
            <w:pPr>
              <w:pStyle w:val="TableHeading"/>
              <w:rPr>
                <w:lang w:val="en-AU"/>
              </w:rPr>
            </w:pPr>
            <w:r w:rsidRPr="00C6052E">
              <w:rPr>
                <w:lang w:val="en-AU"/>
              </w:rPr>
              <w:t>Quantity</w:t>
            </w:r>
          </w:p>
        </w:tc>
        <w:tc>
          <w:tcPr>
            <w:tcW w:w="1020" w:type="dxa"/>
          </w:tcPr>
          <w:p w14:paraId="16455DC6" w14:textId="77777777" w:rsidR="00EE5BB8" w:rsidRPr="00C6052E" w:rsidRDefault="00EE5BB8" w:rsidP="00B53837">
            <w:pPr>
              <w:pStyle w:val="TableHeading"/>
              <w:jc w:val="right"/>
              <w:rPr>
                <w:lang w:val="en-AU"/>
              </w:rPr>
            </w:pPr>
          </w:p>
        </w:tc>
        <w:tc>
          <w:tcPr>
            <w:tcW w:w="1020" w:type="dxa"/>
            <w:noWrap/>
          </w:tcPr>
          <w:p w14:paraId="7E2B3464" w14:textId="77777777" w:rsidR="00EE5BB8" w:rsidRPr="00C6052E" w:rsidRDefault="00EE5BB8" w:rsidP="00B53837">
            <w:pPr>
              <w:pStyle w:val="TableHeading"/>
              <w:jc w:val="right"/>
              <w:rPr>
                <w:lang w:val="en-AU"/>
              </w:rPr>
            </w:pPr>
          </w:p>
        </w:tc>
        <w:tc>
          <w:tcPr>
            <w:tcW w:w="1020" w:type="dxa"/>
            <w:noWrap/>
          </w:tcPr>
          <w:p w14:paraId="5A85DAC2" w14:textId="77777777" w:rsidR="00EE5BB8" w:rsidRPr="00C6052E" w:rsidRDefault="00EE5BB8" w:rsidP="00B53837">
            <w:pPr>
              <w:pStyle w:val="TableHeading"/>
              <w:jc w:val="right"/>
              <w:rPr>
                <w:lang w:val="en-AU"/>
              </w:rPr>
            </w:pPr>
          </w:p>
        </w:tc>
        <w:tc>
          <w:tcPr>
            <w:tcW w:w="1361" w:type="dxa"/>
            <w:noWrap/>
          </w:tcPr>
          <w:p w14:paraId="5C263D2F" w14:textId="77777777" w:rsidR="00EE5BB8" w:rsidRPr="00C6052E" w:rsidRDefault="00EE5BB8" w:rsidP="00B53837">
            <w:pPr>
              <w:pStyle w:val="TableHeading"/>
              <w:jc w:val="right"/>
              <w:rPr>
                <w:lang w:val="en-AU"/>
              </w:rPr>
            </w:pPr>
          </w:p>
        </w:tc>
        <w:tc>
          <w:tcPr>
            <w:tcW w:w="824" w:type="dxa"/>
            <w:noWrap/>
          </w:tcPr>
          <w:p w14:paraId="420625D1" w14:textId="77777777" w:rsidR="00EE5BB8" w:rsidRPr="00C6052E" w:rsidRDefault="00EE5BB8" w:rsidP="00B53837">
            <w:pPr>
              <w:pStyle w:val="TableHeading"/>
              <w:jc w:val="right"/>
              <w:rPr>
                <w:lang w:val="en-AU"/>
              </w:rPr>
            </w:pPr>
          </w:p>
        </w:tc>
      </w:tr>
      <w:tr w:rsidR="00EE5BB8" w:rsidRPr="00C6052E" w14:paraId="5E466B16" w14:textId="77777777" w:rsidTr="0063097D">
        <w:tc>
          <w:tcPr>
            <w:tcW w:w="4531" w:type="dxa"/>
            <w:hideMark/>
          </w:tcPr>
          <w:p w14:paraId="766E91C1" w14:textId="77777777" w:rsidR="00EE5BB8" w:rsidRDefault="00EE5BB8" w:rsidP="0063097D">
            <w:pPr>
              <w:pStyle w:val="TableCopy"/>
              <w:rPr>
                <w:lang w:val="en-AU"/>
              </w:rPr>
            </w:pPr>
            <w:r w:rsidRPr="00C6052E">
              <w:rPr>
                <w:lang w:val="en-AU"/>
              </w:rPr>
              <w:t>Combat</w:t>
            </w:r>
            <w:r w:rsidR="00177848" w:rsidRPr="00C6052E">
              <w:rPr>
                <w:lang w:val="en-AU"/>
              </w:rPr>
              <w:t xml:space="preserve"> </w:t>
            </w:r>
            <w:r w:rsidRPr="00C6052E">
              <w:rPr>
                <w:lang w:val="en-AU"/>
              </w:rPr>
              <w:t>sports</w:t>
            </w:r>
            <w:r w:rsidR="00177848" w:rsidRPr="00C6052E">
              <w:rPr>
                <w:lang w:val="en-AU"/>
              </w:rPr>
              <w:t xml:space="preserve"> </w:t>
            </w:r>
            <w:r w:rsidRPr="00C6052E">
              <w:rPr>
                <w:lang w:val="en-AU"/>
              </w:rPr>
              <w:t>licences,</w:t>
            </w:r>
            <w:r w:rsidR="00177848" w:rsidRPr="00C6052E">
              <w:rPr>
                <w:lang w:val="en-AU"/>
              </w:rPr>
              <w:t xml:space="preserve"> </w:t>
            </w:r>
            <w:r w:rsidRPr="00C6052E">
              <w:rPr>
                <w:lang w:val="en-AU"/>
              </w:rPr>
              <w:t>registrations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permits</w:t>
            </w:r>
            <w:r w:rsidR="00177848" w:rsidRPr="00C6052E">
              <w:rPr>
                <w:lang w:val="en-AU"/>
              </w:rPr>
              <w:t xml:space="preserve"> </w:t>
            </w:r>
            <w:r w:rsidRPr="00C6052E">
              <w:rPr>
                <w:lang w:val="en-AU"/>
              </w:rPr>
              <w:t>issued</w:t>
            </w:r>
          </w:p>
          <w:p w14:paraId="022F2EBA" w14:textId="2EAC0657" w:rsidR="00C17A57" w:rsidRPr="00C6052E" w:rsidRDefault="00C17A57" w:rsidP="00C17A57">
            <w:pPr>
              <w:pStyle w:val="Tablenotes-indented"/>
              <w:ind w:left="227" w:firstLine="0"/>
              <w:rPr>
                <w:lang w:val="en-AU"/>
              </w:rPr>
            </w:pPr>
            <w:r w:rsidRPr="00C6052E">
              <w:rPr>
                <w:lang w:val="en-AU"/>
              </w:rPr>
              <w:t>Higher result due to the increase in sector activity.</w:t>
            </w:r>
          </w:p>
        </w:tc>
        <w:tc>
          <w:tcPr>
            <w:tcW w:w="1020" w:type="dxa"/>
            <w:hideMark/>
          </w:tcPr>
          <w:p w14:paraId="672041DA" w14:textId="77777777" w:rsidR="00EE5BB8" w:rsidRPr="00C6052E" w:rsidRDefault="00EE5BB8" w:rsidP="00B53837">
            <w:pPr>
              <w:pStyle w:val="TableCopy"/>
              <w:jc w:val="right"/>
              <w:rPr>
                <w:lang w:val="en-AU"/>
              </w:rPr>
            </w:pPr>
            <w:r w:rsidRPr="00C6052E">
              <w:rPr>
                <w:lang w:val="en-AU"/>
              </w:rPr>
              <w:t>number</w:t>
            </w:r>
          </w:p>
        </w:tc>
        <w:tc>
          <w:tcPr>
            <w:tcW w:w="1020" w:type="dxa"/>
            <w:noWrap/>
            <w:hideMark/>
          </w:tcPr>
          <w:p w14:paraId="5B8B3AF2" w14:textId="77777777" w:rsidR="00EE5BB8" w:rsidRPr="00C6052E" w:rsidRDefault="00EE5BB8" w:rsidP="00B53837">
            <w:pPr>
              <w:pStyle w:val="TableCopy"/>
              <w:jc w:val="right"/>
              <w:rPr>
                <w:lang w:val="en-AU"/>
              </w:rPr>
            </w:pPr>
            <w:r w:rsidRPr="00C6052E">
              <w:rPr>
                <w:lang w:val="en-AU"/>
              </w:rPr>
              <w:t>720</w:t>
            </w:r>
          </w:p>
        </w:tc>
        <w:tc>
          <w:tcPr>
            <w:tcW w:w="1020" w:type="dxa"/>
            <w:noWrap/>
            <w:hideMark/>
          </w:tcPr>
          <w:p w14:paraId="076132FB" w14:textId="77777777" w:rsidR="00EE5BB8" w:rsidRPr="00C6052E" w:rsidRDefault="00EE5BB8" w:rsidP="00B53837">
            <w:pPr>
              <w:pStyle w:val="TableCopy"/>
              <w:jc w:val="right"/>
              <w:rPr>
                <w:lang w:val="en-AU"/>
              </w:rPr>
            </w:pPr>
            <w:r w:rsidRPr="00C6052E">
              <w:rPr>
                <w:lang w:val="en-AU"/>
              </w:rPr>
              <w:t>550</w:t>
            </w:r>
          </w:p>
        </w:tc>
        <w:tc>
          <w:tcPr>
            <w:tcW w:w="1361" w:type="dxa"/>
            <w:noWrap/>
            <w:hideMark/>
          </w:tcPr>
          <w:p w14:paraId="36ED6B3A" w14:textId="77777777" w:rsidR="00EE5BB8" w:rsidRPr="00C6052E" w:rsidRDefault="00EE5BB8" w:rsidP="00B53837">
            <w:pPr>
              <w:pStyle w:val="TableCopy"/>
              <w:jc w:val="right"/>
              <w:rPr>
                <w:lang w:val="en-AU"/>
              </w:rPr>
            </w:pPr>
            <w:r w:rsidRPr="00C6052E">
              <w:rPr>
                <w:lang w:val="en-AU"/>
              </w:rPr>
              <w:t>30.9%</w:t>
            </w:r>
          </w:p>
        </w:tc>
        <w:tc>
          <w:tcPr>
            <w:tcW w:w="824" w:type="dxa"/>
            <w:noWrap/>
            <w:hideMark/>
          </w:tcPr>
          <w:p w14:paraId="4D3751B5" w14:textId="77777777" w:rsidR="00EE5BB8" w:rsidRPr="00C6052E" w:rsidRDefault="00EE5BB8" w:rsidP="00B53837">
            <w:pPr>
              <w:pStyle w:val="TableCopy"/>
              <w:jc w:val="right"/>
              <w:rPr>
                <w:lang w:val="en-AU"/>
              </w:rPr>
            </w:pPr>
            <w:r w:rsidRPr="00C6052E">
              <w:rPr>
                <w:lang w:val="en-AU"/>
              </w:rPr>
              <w:t>1</w:t>
            </w:r>
          </w:p>
        </w:tc>
      </w:tr>
      <w:tr w:rsidR="00EE5BB8" w:rsidRPr="00C6052E" w14:paraId="1E7330BD" w14:textId="77777777" w:rsidTr="0063097D">
        <w:tc>
          <w:tcPr>
            <w:tcW w:w="4531" w:type="dxa"/>
            <w:hideMark/>
          </w:tcPr>
          <w:p w14:paraId="699980E3" w14:textId="77777777" w:rsidR="00EE5BB8" w:rsidRDefault="00EE5BB8" w:rsidP="0063097D">
            <w:pPr>
              <w:pStyle w:val="TableCopy"/>
              <w:rPr>
                <w:lang w:val="en-AU"/>
              </w:rPr>
            </w:pPr>
            <w:r w:rsidRPr="00C6052E">
              <w:rPr>
                <w:lang w:val="en-AU"/>
              </w:rPr>
              <w:t>Community</w:t>
            </w:r>
            <w:r w:rsidR="00177848" w:rsidRPr="00C6052E">
              <w:rPr>
                <w:lang w:val="en-AU"/>
              </w:rPr>
              <w:t xml:space="preserve"> </w:t>
            </w:r>
            <w:r w:rsidRPr="00C6052E">
              <w:rPr>
                <w:lang w:val="en-AU"/>
              </w:rPr>
              <w:t>Facility</w:t>
            </w:r>
            <w:r w:rsidR="00177848" w:rsidRPr="00C6052E">
              <w:rPr>
                <w:lang w:val="en-AU"/>
              </w:rPr>
              <w:t xml:space="preserve"> </w:t>
            </w:r>
            <w:r w:rsidRPr="00C6052E">
              <w:rPr>
                <w:lang w:val="en-AU"/>
              </w:rPr>
              <w:t>Grants:</w:t>
            </w:r>
            <w:r w:rsidR="00177848" w:rsidRPr="00C6052E">
              <w:rPr>
                <w:lang w:val="en-AU"/>
              </w:rPr>
              <w:t xml:space="preserve"> </w:t>
            </w:r>
            <w:r w:rsidRPr="00C6052E">
              <w:rPr>
                <w:lang w:val="en-AU"/>
              </w:rPr>
              <w:t>number</w:t>
            </w:r>
            <w:r w:rsidR="00177848" w:rsidRPr="00C6052E">
              <w:rPr>
                <w:lang w:val="en-AU"/>
              </w:rPr>
              <w:t xml:space="preserve"> </w:t>
            </w:r>
            <w:r w:rsidRPr="00C6052E">
              <w:rPr>
                <w:lang w:val="en-AU"/>
              </w:rPr>
              <w:t>approved</w:t>
            </w:r>
          </w:p>
          <w:p w14:paraId="677F65E3" w14:textId="569CD65D" w:rsidR="00C17A57" w:rsidRPr="00C6052E" w:rsidRDefault="00C17A57" w:rsidP="00C17A57">
            <w:pPr>
              <w:pStyle w:val="Tablenotes-indented"/>
              <w:ind w:left="227" w:firstLine="0"/>
              <w:rPr>
                <w:lang w:val="en-AU"/>
              </w:rPr>
            </w:pPr>
            <w:r w:rsidRPr="00C6052E">
              <w:rPr>
                <w:lang w:val="en-AU"/>
              </w:rPr>
              <w:t>Higher result due to more rounds of the Regional Community Sports Infrastructure Fund than expected.</w:t>
            </w:r>
          </w:p>
        </w:tc>
        <w:tc>
          <w:tcPr>
            <w:tcW w:w="1020" w:type="dxa"/>
            <w:hideMark/>
          </w:tcPr>
          <w:p w14:paraId="1D74996C" w14:textId="77777777" w:rsidR="00EE5BB8" w:rsidRPr="00C6052E" w:rsidRDefault="00EE5BB8" w:rsidP="00B53837">
            <w:pPr>
              <w:pStyle w:val="TableCopy"/>
              <w:jc w:val="right"/>
              <w:rPr>
                <w:lang w:val="en-AU"/>
              </w:rPr>
            </w:pPr>
            <w:r w:rsidRPr="00C6052E">
              <w:rPr>
                <w:lang w:val="en-AU"/>
              </w:rPr>
              <w:t>number</w:t>
            </w:r>
          </w:p>
        </w:tc>
        <w:tc>
          <w:tcPr>
            <w:tcW w:w="1020" w:type="dxa"/>
            <w:noWrap/>
            <w:hideMark/>
          </w:tcPr>
          <w:p w14:paraId="1D2E838D" w14:textId="77777777" w:rsidR="00EE5BB8" w:rsidRPr="00C6052E" w:rsidRDefault="00EE5BB8" w:rsidP="00B53837">
            <w:pPr>
              <w:pStyle w:val="TableCopy"/>
              <w:jc w:val="right"/>
              <w:rPr>
                <w:lang w:val="en-AU"/>
              </w:rPr>
            </w:pPr>
            <w:r w:rsidRPr="00C6052E">
              <w:rPr>
                <w:lang w:val="en-AU"/>
              </w:rPr>
              <w:t>152</w:t>
            </w:r>
          </w:p>
        </w:tc>
        <w:tc>
          <w:tcPr>
            <w:tcW w:w="1020" w:type="dxa"/>
            <w:noWrap/>
            <w:hideMark/>
          </w:tcPr>
          <w:p w14:paraId="1C797E5C" w14:textId="77777777" w:rsidR="00EE5BB8" w:rsidRPr="00C6052E" w:rsidRDefault="00EE5BB8" w:rsidP="00B53837">
            <w:pPr>
              <w:pStyle w:val="TableCopy"/>
              <w:jc w:val="right"/>
              <w:rPr>
                <w:lang w:val="en-AU"/>
              </w:rPr>
            </w:pPr>
            <w:r w:rsidRPr="00C6052E">
              <w:rPr>
                <w:lang w:val="en-AU"/>
              </w:rPr>
              <w:t>130</w:t>
            </w:r>
          </w:p>
        </w:tc>
        <w:tc>
          <w:tcPr>
            <w:tcW w:w="1361" w:type="dxa"/>
            <w:noWrap/>
            <w:hideMark/>
          </w:tcPr>
          <w:p w14:paraId="7BF1437E" w14:textId="77777777" w:rsidR="00EE5BB8" w:rsidRPr="00C6052E" w:rsidRDefault="00EE5BB8" w:rsidP="00B53837">
            <w:pPr>
              <w:pStyle w:val="TableCopy"/>
              <w:jc w:val="right"/>
              <w:rPr>
                <w:lang w:val="en-AU"/>
              </w:rPr>
            </w:pPr>
            <w:r w:rsidRPr="00C6052E">
              <w:rPr>
                <w:lang w:val="en-AU"/>
              </w:rPr>
              <w:t>16.9%</w:t>
            </w:r>
          </w:p>
        </w:tc>
        <w:tc>
          <w:tcPr>
            <w:tcW w:w="824" w:type="dxa"/>
            <w:noWrap/>
            <w:hideMark/>
          </w:tcPr>
          <w:p w14:paraId="71B74230" w14:textId="77777777" w:rsidR="00EE5BB8" w:rsidRPr="00C6052E" w:rsidRDefault="00EE5BB8" w:rsidP="00B53837">
            <w:pPr>
              <w:pStyle w:val="TableCopy"/>
              <w:jc w:val="right"/>
              <w:rPr>
                <w:lang w:val="en-AU"/>
              </w:rPr>
            </w:pPr>
            <w:r w:rsidRPr="00C6052E">
              <w:rPr>
                <w:lang w:val="en-AU"/>
              </w:rPr>
              <w:t>1</w:t>
            </w:r>
          </w:p>
        </w:tc>
      </w:tr>
      <w:tr w:rsidR="00EE5BB8" w:rsidRPr="00C6052E" w14:paraId="3092C322" w14:textId="77777777" w:rsidTr="0063097D">
        <w:tc>
          <w:tcPr>
            <w:tcW w:w="4531" w:type="dxa"/>
            <w:hideMark/>
          </w:tcPr>
          <w:p w14:paraId="62CC5750" w14:textId="77777777" w:rsidR="00EE5BB8" w:rsidRDefault="00EE5BB8" w:rsidP="0063097D">
            <w:pPr>
              <w:pStyle w:val="TableCopy"/>
              <w:rPr>
                <w:lang w:val="en-AU"/>
              </w:rPr>
            </w:pPr>
            <w:r w:rsidRPr="00C6052E">
              <w:rPr>
                <w:lang w:val="en-AU"/>
              </w:rPr>
              <w:t>Funded</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Sport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Recreation</w:t>
            </w:r>
            <w:r w:rsidR="00177848" w:rsidRPr="00C6052E">
              <w:rPr>
                <w:lang w:val="en-AU"/>
              </w:rPr>
              <w:t xml:space="preserve"> </w:t>
            </w:r>
            <w:r w:rsidRPr="00C6052E">
              <w:rPr>
                <w:lang w:val="en-AU"/>
              </w:rPr>
              <w:t>Associations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have</w:t>
            </w:r>
            <w:r w:rsidR="00177848" w:rsidRPr="00C6052E">
              <w:rPr>
                <w:lang w:val="en-AU"/>
              </w:rPr>
              <w:t xml:space="preserve"> </w:t>
            </w:r>
            <w:r w:rsidRPr="00C6052E">
              <w:rPr>
                <w:lang w:val="en-AU"/>
              </w:rPr>
              <w:t>a</w:t>
            </w:r>
            <w:r w:rsidR="00177848" w:rsidRPr="00C6052E">
              <w:rPr>
                <w:lang w:val="en-AU"/>
              </w:rPr>
              <w:t xml:space="preserve"> </w:t>
            </w:r>
            <w:r w:rsidRPr="00C6052E">
              <w:rPr>
                <w:lang w:val="en-AU"/>
              </w:rPr>
              <w:t>minimum</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40</w:t>
            </w:r>
            <w:r w:rsidR="00177848" w:rsidRPr="00C6052E">
              <w:rPr>
                <w:lang w:val="en-AU"/>
              </w:rPr>
              <w:t xml:space="preserve"> </w:t>
            </w:r>
            <w:r w:rsidRPr="00C6052E">
              <w:rPr>
                <w:lang w:val="en-AU"/>
              </w:rPr>
              <w:t>per</w:t>
            </w:r>
            <w:r w:rsidR="00177848" w:rsidRPr="00C6052E">
              <w:rPr>
                <w:lang w:val="en-AU"/>
              </w:rPr>
              <w:t xml:space="preserve"> </w:t>
            </w:r>
            <w:r w:rsidRPr="00C6052E">
              <w:rPr>
                <w:lang w:val="en-AU"/>
              </w:rPr>
              <w:t>cent</w:t>
            </w:r>
            <w:r w:rsidR="00177848" w:rsidRPr="00C6052E">
              <w:rPr>
                <w:lang w:val="en-AU"/>
              </w:rPr>
              <w:t xml:space="preserve"> </w:t>
            </w:r>
            <w:r w:rsidRPr="00C6052E">
              <w:rPr>
                <w:lang w:val="en-AU"/>
              </w:rPr>
              <w:t>women</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boards</w:t>
            </w:r>
          </w:p>
          <w:p w14:paraId="0D0C4DBE" w14:textId="4C758429" w:rsidR="00C17A57" w:rsidRPr="00C6052E" w:rsidRDefault="00C17A57" w:rsidP="00C17A57">
            <w:pPr>
              <w:pStyle w:val="Tablenotes-indented"/>
              <w:ind w:left="227" w:firstLine="0"/>
              <w:rPr>
                <w:lang w:val="en-AU"/>
              </w:rPr>
            </w:pPr>
            <w:r w:rsidRPr="00C6052E">
              <w:rPr>
                <w:lang w:val="en-AU"/>
              </w:rPr>
              <w:t>Higher result due to strong commitment to gender equity.</w:t>
            </w:r>
          </w:p>
        </w:tc>
        <w:tc>
          <w:tcPr>
            <w:tcW w:w="1020" w:type="dxa"/>
            <w:hideMark/>
          </w:tcPr>
          <w:p w14:paraId="2C0F39E2" w14:textId="45D74A69" w:rsidR="00EE5BB8" w:rsidRPr="00C6052E" w:rsidRDefault="00EE5BB8" w:rsidP="00B53837">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5F2C4DFE" w14:textId="77777777" w:rsidR="00EE5BB8" w:rsidRPr="00C6052E" w:rsidRDefault="00EE5BB8" w:rsidP="00B53837">
            <w:pPr>
              <w:pStyle w:val="TableCopy"/>
              <w:jc w:val="right"/>
              <w:rPr>
                <w:lang w:val="en-AU"/>
              </w:rPr>
            </w:pPr>
            <w:r w:rsidRPr="00C6052E">
              <w:rPr>
                <w:lang w:val="en-AU"/>
              </w:rPr>
              <w:t>96</w:t>
            </w:r>
          </w:p>
        </w:tc>
        <w:tc>
          <w:tcPr>
            <w:tcW w:w="1020" w:type="dxa"/>
            <w:noWrap/>
            <w:hideMark/>
          </w:tcPr>
          <w:p w14:paraId="41B900A2" w14:textId="77777777" w:rsidR="00EE5BB8" w:rsidRPr="00C6052E" w:rsidRDefault="00EE5BB8" w:rsidP="00B53837">
            <w:pPr>
              <w:pStyle w:val="TableCopy"/>
              <w:jc w:val="right"/>
              <w:rPr>
                <w:lang w:val="en-AU"/>
              </w:rPr>
            </w:pPr>
            <w:r w:rsidRPr="00C6052E">
              <w:rPr>
                <w:lang w:val="en-AU"/>
              </w:rPr>
              <w:t>90</w:t>
            </w:r>
          </w:p>
        </w:tc>
        <w:tc>
          <w:tcPr>
            <w:tcW w:w="1361" w:type="dxa"/>
            <w:noWrap/>
            <w:hideMark/>
          </w:tcPr>
          <w:p w14:paraId="715A2E40" w14:textId="77777777" w:rsidR="00EE5BB8" w:rsidRPr="00C6052E" w:rsidRDefault="00EE5BB8" w:rsidP="00B53837">
            <w:pPr>
              <w:pStyle w:val="TableCopy"/>
              <w:jc w:val="right"/>
              <w:rPr>
                <w:lang w:val="en-AU"/>
              </w:rPr>
            </w:pPr>
            <w:r w:rsidRPr="00C6052E">
              <w:rPr>
                <w:lang w:val="en-AU"/>
              </w:rPr>
              <w:t>6.7%</w:t>
            </w:r>
          </w:p>
        </w:tc>
        <w:tc>
          <w:tcPr>
            <w:tcW w:w="824" w:type="dxa"/>
            <w:noWrap/>
            <w:hideMark/>
          </w:tcPr>
          <w:p w14:paraId="2BAD4091" w14:textId="77777777" w:rsidR="00EE5BB8" w:rsidRPr="00C6052E" w:rsidRDefault="00EE5BB8" w:rsidP="00B53837">
            <w:pPr>
              <w:pStyle w:val="TableCopy"/>
              <w:jc w:val="right"/>
              <w:rPr>
                <w:lang w:val="en-AU"/>
              </w:rPr>
            </w:pPr>
            <w:r w:rsidRPr="00C6052E">
              <w:rPr>
                <w:lang w:val="en-AU"/>
              </w:rPr>
              <w:t>1</w:t>
            </w:r>
          </w:p>
        </w:tc>
      </w:tr>
      <w:tr w:rsidR="00EE5BB8" w:rsidRPr="00C6052E" w14:paraId="09BAAE55" w14:textId="77777777" w:rsidTr="0063097D">
        <w:tc>
          <w:tcPr>
            <w:tcW w:w="4531" w:type="dxa"/>
            <w:hideMark/>
          </w:tcPr>
          <w:p w14:paraId="07A76884" w14:textId="77777777" w:rsidR="00EE5BB8" w:rsidRDefault="00EE5BB8" w:rsidP="00B53837">
            <w:pPr>
              <w:pStyle w:val="TableCopy"/>
              <w:keepNext/>
              <w:rPr>
                <w:lang w:val="en-AU"/>
              </w:rPr>
            </w:pPr>
            <w:r w:rsidRPr="00C6052E">
              <w:rPr>
                <w:lang w:val="en-AU"/>
              </w:rPr>
              <w:t>Local</w:t>
            </w:r>
            <w:r w:rsidR="00177848" w:rsidRPr="00C6052E">
              <w:rPr>
                <w:lang w:val="en-AU"/>
              </w:rPr>
              <w:t xml:space="preserve"> </w:t>
            </w:r>
            <w:r w:rsidRPr="00C6052E">
              <w:rPr>
                <w:lang w:val="en-AU"/>
              </w:rPr>
              <w:t>Sports</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grant</w:t>
            </w:r>
            <w:r w:rsidR="00177848" w:rsidRPr="00C6052E">
              <w:rPr>
                <w:lang w:val="en-AU"/>
              </w:rPr>
              <w:t xml:space="preserve"> </w:t>
            </w:r>
            <w:r w:rsidRPr="00C6052E">
              <w:rPr>
                <w:lang w:val="en-AU"/>
              </w:rPr>
              <w:t>recipients</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regionally</w:t>
            </w:r>
            <w:r w:rsidR="00177848" w:rsidRPr="00C6052E">
              <w:rPr>
                <w:lang w:val="en-AU"/>
              </w:rPr>
              <w:t xml:space="preserve"> </w:t>
            </w:r>
            <w:r w:rsidRPr="00C6052E">
              <w:rPr>
                <w:lang w:val="en-AU"/>
              </w:rPr>
              <w:t>based</w:t>
            </w:r>
          </w:p>
          <w:p w14:paraId="2765A159" w14:textId="526E347E" w:rsidR="00C17A57" w:rsidRPr="00C6052E" w:rsidRDefault="00C17A57" w:rsidP="00C17A57">
            <w:pPr>
              <w:pStyle w:val="Tablenotes-indented"/>
              <w:ind w:left="227" w:firstLine="0"/>
              <w:rPr>
                <w:lang w:val="en-AU"/>
              </w:rPr>
            </w:pPr>
            <w:r w:rsidRPr="00C6052E">
              <w:rPr>
                <w:lang w:val="en-AU"/>
              </w:rPr>
              <w:t>Higher result due to more rounds of the Regional Community Sports Infrastructure Fund than expected.</w:t>
            </w:r>
          </w:p>
        </w:tc>
        <w:tc>
          <w:tcPr>
            <w:tcW w:w="1020" w:type="dxa"/>
            <w:hideMark/>
          </w:tcPr>
          <w:p w14:paraId="00EBA323" w14:textId="16FEBC05" w:rsidR="00EE5BB8" w:rsidRPr="00C6052E" w:rsidRDefault="00EE5BB8" w:rsidP="00B53837">
            <w:pPr>
              <w:pStyle w:val="TableCopy"/>
              <w:keepNext/>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6ADE13FC" w14:textId="77777777" w:rsidR="00EE5BB8" w:rsidRPr="00C6052E" w:rsidRDefault="00EE5BB8" w:rsidP="00B53837">
            <w:pPr>
              <w:pStyle w:val="TableCopy"/>
              <w:keepNext/>
              <w:jc w:val="right"/>
              <w:rPr>
                <w:lang w:val="en-AU"/>
              </w:rPr>
            </w:pPr>
            <w:r w:rsidRPr="00C6052E">
              <w:rPr>
                <w:lang w:val="en-AU"/>
              </w:rPr>
              <w:t>58.6</w:t>
            </w:r>
          </w:p>
        </w:tc>
        <w:tc>
          <w:tcPr>
            <w:tcW w:w="1020" w:type="dxa"/>
            <w:noWrap/>
            <w:hideMark/>
          </w:tcPr>
          <w:p w14:paraId="64B19312" w14:textId="77777777" w:rsidR="00EE5BB8" w:rsidRPr="00C6052E" w:rsidRDefault="00EE5BB8" w:rsidP="00B53837">
            <w:pPr>
              <w:pStyle w:val="TableCopy"/>
              <w:keepNext/>
              <w:jc w:val="right"/>
              <w:rPr>
                <w:lang w:val="en-AU"/>
              </w:rPr>
            </w:pPr>
            <w:r w:rsidRPr="00C6052E">
              <w:rPr>
                <w:lang w:val="en-AU"/>
              </w:rPr>
              <w:t>45</w:t>
            </w:r>
          </w:p>
        </w:tc>
        <w:tc>
          <w:tcPr>
            <w:tcW w:w="1361" w:type="dxa"/>
            <w:noWrap/>
            <w:hideMark/>
          </w:tcPr>
          <w:p w14:paraId="0B640DE8" w14:textId="77777777" w:rsidR="00EE5BB8" w:rsidRPr="00C6052E" w:rsidRDefault="00EE5BB8" w:rsidP="00B53837">
            <w:pPr>
              <w:pStyle w:val="TableCopy"/>
              <w:keepNext/>
              <w:jc w:val="right"/>
              <w:rPr>
                <w:lang w:val="en-AU"/>
              </w:rPr>
            </w:pPr>
            <w:r w:rsidRPr="00C6052E">
              <w:rPr>
                <w:lang w:val="en-AU"/>
              </w:rPr>
              <w:t>30.1%</w:t>
            </w:r>
          </w:p>
        </w:tc>
        <w:tc>
          <w:tcPr>
            <w:tcW w:w="824" w:type="dxa"/>
            <w:noWrap/>
            <w:hideMark/>
          </w:tcPr>
          <w:p w14:paraId="18763422" w14:textId="77777777" w:rsidR="00EE5BB8" w:rsidRPr="00C6052E" w:rsidRDefault="00EE5BB8" w:rsidP="00B53837">
            <w:pPr>
              <w:pStyle w:val="TableCopy"/>
              <w:keepNext/>
              <w:jc w:val="right"/>
              <w:rPr>
                <w:lang w:val="en-AU"/>
              </w:rPr>
            </w:pPr>
            <w:r w:rsidRPr="00C6052E">
              <w:rPr>
                <w:lang w:val="en-AU"/>
              </w:rPr>
              <w:t>1</w:t>
            </w:r>
          </w:p>
        </w:tc>
      </w:tr>
      <w:tr w:rsidR="00EE5BB8" w:rsidRPr="00C6052E" w14:paraId="5EA7508F" w14:textId="77777777" w:rsidTr="0063097D">
        <w:tc>
          <w:tcPr>
            <w:tcW w:w="4531" w:type="dxa"/>
            <w:hideMark/>
          </w:tcPr>
          <w:p w14:paraId="590ADCEF" w14:textId="2E15F769" w:rsidR="00EE5BB8" w:rsidRPr="00C6052E" w:rsidRDefault="00EE5BB8" w:rsidP="0063097D">
            <w:pPr>
              <w:pStyle w:val="TableCopy"/>
              <w:rPr>
                <w:lang w:val="en-AU"/>
              </w:rPr>
            </w:pPr>
            <w:r w:rsidRPr="00C6052E">
              <w:rPr>
                <w:lang w:val="en-AU"/>
              </w:rPr>
              <w:t>Organisations</w:t>
            </w:r>
            <w:r w:rsidR="00177848" w:rsidRPr="00C6052E">
              <w:rPr>
                <w:lang w:val="en-AU"/>
              </w:rPr>
              <w:t xml:space="preserve"> </w:t>
            </w:r>
            <w:r w:rsidRPr="00C6052E">
              <w:rPr>
                <w:lang w:val="en-AU"/>
              </w:rPr>
              <w:t>submitting</w:t>
            </w:r>
            <w:r w:rsidR="00177848" w:rsidRPr="00C6052E">
              <w:rPr>
                <w:lang w:val="en-AU"/>
              </w:rPr>
              <w:t xml:space="preserve"> </w:t>
            </w:r>
            <w:r w:rsidRPr="00C6052E">
              <w:rPr>
                <w:lang w:val="en-AU"/>
              </w:rPr>
              <w:t>nominations</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Sport</w:t>
            </w:r>
            <w:r w:rsidR="00177848" w:rsidRPr="00C6052E">
              <w:rPr>
                <w:lang w:val="en-AU"/>
              </w:rPr>
              <w:t xml:space="preserve"> </w:t>
            </w:r>
            <w:r w:rsidRPr="00C6052E">
              <w:rPr>
                <w:lang w:val="en-AU"/>
              </w:rPr>
              <w:t>Awards</w:t>
            </w:r>
          </w:p>
        </w:tc>
        <w:tc>
          <w:tcPr>
            <w:tcW w:w="1020" w:type="dxa"/>
            <w:hideMark/>
          </w:tcPr>
          <w:p w14:paraId="10CAAC2C" w14:textId="77777777" w:rsidR="00EE5BB8" w:rsidRPr="00C6052E" w:rsidRDefault="00EE5BB8" w:rsidP="00B53837">
            <w:pPr>
              <w:pStyle w:val="TableCopy"/>
              <w:jc w:val="right"/>
              <w:rPr>
                <w:lang w:val="en-AU"/>
              </w:rPr>
            </w:pPr>
            <w:r w:rsidRPr="00C6052E">
              <w:rPr>
                <w:lang w:val="en-AU"/>
              </w:rPr>
              <w:t>number</w:t>
            </w:r>
          </w:p>
        </w:tc>
        <w:tc>
          <w:tcPr>
            <w:tcW w:w="1020" w:type="dxa"/>
            <w:noWrap/>
            <w:hideMark/>
          </w:tcPr>
          <w:p w14:paraId="4A3BDB51" w14:textId="77777777" w:rsidR="00EE5BB8" w:rsidRPr="00C6052E" w:rsidRDefault="00EE5BB8" w:rsidP="00B53837">
            <w:pPr>
              <w:pStyle w:val="TableCopy"/>
              <w:jc w:val="right"/>
              <w:rPr>
                <w:lang w:val="en-AU"/>
              </w:rPr>
            </w:pPr>
            <w:r w:rsidRPr="00C6052E">
              <w:rPr>
                <w:lang w:val="en-AU"/>
              </w:rPr>
              <w:t>73</w:t>
            </w:r>
          </w:p>
        </w:tc>
        <w:tc>
          <w:tcPr>
            <w:tcW w:w="1020" w:type="dxa"/>
            <w:noWrap/>
            <w:hideMark/>
          </w:tcPr>
          <w:p w14:paraId="75598944" w14:textId="77777777" w:rsidR="00EE5BB8" w:rsidRPr="00C6052E" w:rsidRDefault="00EE5BB8" w:rsidP="00B53837">
            <w:pPr>
              <w:pStyle w:val="TableCopy"/>
              <w:jc w:val="right"/>
              <w:rPr>
                <w:lang w:val="en-AU"/>
              </w:rPr>
            </w:pPr>
            <w:r w:rsidRPr="00C6052E">
              <w:rPr>
                <w:lang w:val="en-AU"/>
              </w:rPr>
              <w:t>70</w:t>
            </w:r>
          </w:p>
        </w:tc>
        <w:tc>
          <w:tcPr>
            <w:tcW w:w="1361" w:type="dxa"/>
            <w:noWrap/>
            <w:hideMark/>
          </w:tcPr>
          <w:p w14:paraId="06F3E38D" w14:textId="77777777" w:rsidR="00EE5BB8" w:rsidRPr="00C6052E" w:rsidRDefault="00EE5BB8" w:rsidP="00B53837">
            <w:pPr>
              <w:pStyle w:val="TableCopy"/>
              <w:jc w:val="right"/>
              <w:rPr>
                <w:lang w:val="en-AU"/>
              </w:rPr>
            </w:pPr>
            <w:r w:rsidRPr="00C6052E">
              <w:rPr>
                <w:lang w:val="en-AU"/>
              </w:rPr>
              <w:t>4.3%</w:t>
            </w:r>
          </w:p>
        </w:tc>
        <w:tc>
          <w:tcPr>
            <w:tcW w:w="824" w:type="dxa"/>
            <w:noWrap/>
            <w:hideMark/>
          </w:tcPr>
          <w:p w14:paraId="556D56C9" w14:textId="77777777" w:rsidR="00EE5BB8" w:rsidRPr="00C6052E" w:rsidRDefault="00EE5BB8" w:rsidP="00B53837">
            <w:pPr>
              <w:pStyle w:val="TableCopy"/>
              <w:jc w:val="right"/>
              <w:rPr>
                <w:lang w:val="en-AU"/>
              </w:rPr>
            </w:pPr>
            <w:r w:rsidRPr="00C6052E">
              <w:rPr>
                <w:lang w:val="en-AU"/>
              </w:rPr>
              <w:t>1</w:t>
            </w:r>
          </w:p>
        </w:tc>
      </w:tr>
      <w:tr w:rsidR="00EE5BB8" w:rsidRPr="00C6052E" w14:paraId="73992205" w14:textId="77777777" w:rsidTr="0063097D">
        <w:tc>
          <w:tcPr>
            <w:tcW w:w="4531" w:type="dxa"/>
            <w:hideMark/>
          </w:tcPr>
          <w:p w14:paraId="53CA5B3C" w14:textId="0104B39D" w:rsidR="00EE5BB8" w:rsidRPr="00C6052E" w:rsidRDefault="00EE5BB8" w:rsidP="0063097D">
            <w:pPr>
              <w:pStyle w:val="TableCopy"/>
              <w:rPr>
                <w:lang w:val="en-AU"/>
              </w:rPr>
            </w:pPr>
            <w:r w:rsidRPr="00C6052E">
              <w:rPr>
                <w:lang w:val="en-AU"/>
              </w:rPr>
              <w:t>Projects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progress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relate</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planning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development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state</w:t>
            </w:r>
            <w:r w:rsidR="00177848" w:rsidRPr="00C6052E">
              <w:rPr>
                <w:lang w:val="en-AU"/>
              </w:rPr>
              <w:t xml:space="preserve"> </w:t>
            </w:r>
            <w:r w:rsidRPr="00C6052E">
              <w:rPr>
                <w:lang w:val="en-AU"/>
              </w:rPr>
              <w:t>level</w:t>
            </w:r>
            <w:r w:rsidR="00177848" w:rsidRPr="00C6052E">
              <w:rPr>
                <w:lang w:val="en-AU"/>
              </w:rPr>
              <w:t xml:space="preserve"> </w:t>
            </w:r>
            <w:r w:rsidRPr="00C6052E">
              <w:rPr>
                <w:lang w:val="en-AU"/>
              </w:rPr>
              <w:t>facilities</w:t>
            </w:r>
          </w:p>
        </w:tc>
        <w:tc>
          <w:tcPr>
            <w:tcW w:w="1020" w:type="dxa"/>
            <w:hideMark/>
          </w:tcPr>
          <w:p w14:paraId="151AEC1C" w14:textId="77777777" w:rsidR="00EE5BB8" w:rsidRPr="00C6052E" w:rsidRDefault="00EE5BB8" w:rsidP="00B53837">
            <w:pPr>
              <w:pStyle w:val="TableCopy"/>
              <w:jc w:val="right"/>
              <w:rPr>
                <w:lang w:val="en-AU"/>
              </w:rPr>
            </w:pPr>
            <w:r w:rsidRPr="00C6052E">
              <w:rPr>
                <w:lang w:val="en-AU"/>
              </w:rPr>
              <w:t>number</w:t>
            </w:r>
          </w:p>
        </w:tc>
        <w:tc>
          <w:tcPr>
            <w:tcW w:w="1020" w:type="dxa"/>
            <w:noWrap/>
            <w:hideMark/>
          </w:tcPr>
          <w:p w14:paraId="44E0A372" w14:textId="77777777" w:rsidR="00EE5BB8" w:rsidRPr="00C6052E" w:rsidRDefault="00EE5BB8" w:rsidP="00B53837">
            <w:pPr>
              <w:pStyle w:val="TableCopy"/>
              <w:jc w:val="right"/>
              <w:rPr>
                <w:lang w:val="en-AU"/>
              </w:rPr>
            </w:pPr>
            <w:r w:rsidRPr="00C6052E">
              <w:rPr>
                <w:lang w:val="en-AU"/>
              </w:rPr>
              <w:t>8</w:t>
            </w:r>
          </w:p>
        </w:tc>
        <w:tc>
          <w:tcPr>
            <w:tcW w:w="1020" w:type="dxa"/>
            <w:noWrap/>
            <w:hideMark/>
          </w:tcPr>
          <w:p w14:paraId="78EB2BDF" w14:textId="77777777" w:rsidR="00EE5BB8" w:rsidRPr="00C6052E" w:rsidRDefault="00EE5BB8" w:rsidP="00B53837">
            <w:pPr>
              <w:pStyle w:val="TableCopy"/>
              <w:jc w:val="right"/>
              <w:rPr>
                <w:lang w:val="en-AU"/>
              </w:rPr>
            </w:pPr>
            <w:r w:rsidRPr="00C6052E">
              <w:rPr>
                <w:lang w:val="en-AU"/>
              </w:rPr>
              <w:t>8</w:t>
            </w:r>
          </w:p>
        </w:tc>
        <w:tc>
          <w:tcPr>
            <w:tcW w:w="1361" w:type="dxa"/>
            <w:noWrap/>
            <w:hideMark/>
          </w:tcPr>
          <w:p w14:paraId="70FEF395" w14:textId="77777777" w:rsidR="00EE5BB8" w:rsidRPr="00C6052E" w:rsidRDefault="00EE5BB8" w:rsidP="00B53837">
            <w:pPr>
              <w:pStyle w:val="TableCopy"/>
              <w:jc w:val="right"/>
              <w:rPr>
                <w:lang w:val="en-AU"/>
              </w:rPr>
            </w:pPr>
            <w:r w:rsidRPr="00C6052E">
              <w:rPr>
                <w:lang w:val="en-AU"/>
              </w:rPr>
              <w:t>0.0%</w:t>
            </w:r>
          </w:p>
        </w:tc>
        <w:tc>
          <w:tcPr>
            <w:tcW w:w="824" w:type="dxa"/>
            <w:noWrap/>
            <w:hideMark/>
          </w:tcPr>
          <w:p w14:paraId="7FD398C8" w14:textId="77777777" w:rsidR="00EE5BB8" w:rsidRPr="00C6052E" w:rsidRDefault="00EE5BB8" w:rsidP="00B53837">
            <w:pPr>
              <w:pStyle w:val="TableCopy"/>
              <w:jc w:val="right"/>
              <w:rPr>
                <w:lang w:val="en-AU"/>
              </w:rPr>
            </w:pPr>
            <w:r w:rsidRPr="00C6052E">
              <w:rPr>
                <w:lang w:val="en-AU"/>
              </w:rPr>
              <w:t>1</w:t>
            </w:r>
          </w:p>
        </w:tc>
      </w:tr>
      <w:tr w:rsidR="00EE5BB8" w:rsidRPr="00C6052E" w14:paraId="7AF057D0" w14:textId="77777777" w:rsidTr="0063097D">
        <w:tc>
          <w:tcPr>
            <w:tcW w:w="4531" w:type="dxa"/>
            <w:hideMark/>
          </w:tcPr>
          <w:p w14:paraId="0BB45A16" w14:textId="77777777" w:rsidR="00EE5BB8" w:rsidRDefault="00EE5BB8" w:rsidP="0063097D">
            <w:pPr>
              <w:pStyle w:val="TableCopy"/>
              <w:rPr>
                <w:lang w:val="en-AU"/>
              </w:rPr>
            </w:pPr>
            <w:r w:rsidRPr="00C6052E">
              <w:rPr>
                <w:lang w:val="en-AU"/>
              </w:rPr>
              <w:t>Significant</w:t>
            </w:r>
            <w:r w:rsidR="00177848" w:rsidRPr="00C6052E">
              <w:rPr>
                <w:lang w:val="en-AU"/>
              </w:rPr>
              <w:t xml:space="preserve"> </w:t>
            </w:r>
            <w:r w:rsidRPr="00C6052E">
              <w:rPr>
                <w:lang w:val="en-AU"/>
              </w:rPr>
              <w:t>Sporting</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Program</w:t>
            </w:r>
            <w:r w:rsidR="00177848" w:rsidRPr="00C6052E">
              <w:rPr>
                <w:lang w:val="en-AU"/>
              </w:rPr>
              <w:t xml:space="preserve"> </w:t>
            </w:r>
            <w:r w:rsidRPr="00C6052E">
              <w:rPr>
                <w:lang w:val="en-AU"/>
              </w:rPr>
              <w:t>–</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facilitated</w:t>
            </w:r>
          </w:p>
          <w:p w14:paraId="54BB1346" w14:textId="22AC6ADC" w:rsidR="00C17A57" w:rsidRPr="00C6052E" w:rsidRDefault="00C17A57" w:rsidP="00C17A57">
            <w:pPr>
              <w:pStyle w:val="Tablenotes-indented"/>
              <w:ind w:left="227" w:firstLine="0"/>
              <w:rPr>
                <w:lang w:val="en-AU"/>
              </w:rPr>
            </w:pPr>
            <w:r w:rsidRPr="00C6052E">
              <w:rPr>
                <w:lang w:val="en-AU"/>
              </w:rPr>
              <w:t>Higher result due to strong demand for support to deliver events in Victoria.</w:t>
            </w:r>
          </w:p>
        </w:tc>
        <w:tc>
          <w:tcPr>
            <w:tcW w:w="1020" w:type="dxa"/>
            <w:hideMark/>
          </w:tcPr>
          <w:p w14:paraId="27DF4F34" w14:textId="77777777" w:rsidR="00EE5BB8" w:rsidRPr="00C6052E" w:rsidRDefault="00EE5BB8" w:rsidP="00B53837">
            <w:pPr>
              <w:pStyle w:val="TableCopy"/>
              <w:jc w:val="right"/>
              <w:rPr>
                <w:lang w:val="en-AU"/>
              </w:rPr>
            </w:pPr>
            <w:r w:rsidRPr="00C6052E">
              <w:rPr>
                <w:lang w:val="en-AU"/>
              </w:rPr>
              <w:t>number</w:t>
            </w:r>
          </w:p>
        </w:tc>
        <w:tc>
          <w:tcPr>
            <w:tcW w:w="1020" w:type="dxa"/>
            <w:noWrap/>
            <w:hideMark/>
          </w:tcPr>
          <w:p w14:paraId="3CEE5183" w14:textId="77777777" w:rsidR="00EE5BB8" w:rsidRPr="00C6052E" w:rsidRDefault="00EE5BB8" w:rsidP="00B53837">
            <w:pPr>
              <w:pStyle w:val="TableCopy"/>
              <w:jc w:val="right"/>
              <w:rPr>
                <w:lang w:val="en-AU"/>
              </w:rPr>
            </w:pPr>
            <w:r w:rsidRPr="00C6052E">
              <w:rPr>
                <w:lang w:val="en-AU"/>
              </w:rPr>
              <w:t>91</w:t>
            </w:r>
          </w:p>
        </w:tc>
        <w:tc>
          <w:tcPr>
            <w:tcW w:w="1020" w:type="dxa"/>
            <w:noWrap/>
            <w:hideMark/>
          </w:tcPr>
          <w:p w14:paraId="1DB9DD58" w14:textId="77777777" w:rsidR="00EE5BB8" w:rsidRPr="00C6052E" w:rsidRDefault="00EE5BB8" w:rsidP="00B53837">
            <w:pPr>
              <w:pStyle w:val="TableCopy"/>
              <w:jc w:val="right"/>
              <w:rPr>
                <w:lang w:val="en-AU"/>
              </w:rPr>
            </w:pPr>
            <w:r w:rsidRPr="00C6052E">
              <w:rPr>
                <w:lang w:val="en-AU"/>
              </w:rPr>
              <w:t>85</w:t>
            </w:r>
          </w:p>
        </w:tc>
        <w:tc>
          <w:tcPr>
            <w:tcW w:w="1361" w:type="dxa"/>
            <w:noWrap/>
            <w:hideMark/>
          </w:tcPr>
          <w:p w14:paraId="7E6D28C5" w14:textId="77777777" w:rsidR="00EE5BB8" w:rsidRPr="00C6052E" w:rsidRDefault="00EE5BB8" w:rsidP="00B53837">
            <w:pPr>
              <w:pStyle w:val="TableCopy"/>
              <w:jc w:val="right"/>
              <w:rPr>
                <w:lang w:val="en-AU"/>
              </w:rPr>
            </w:pPr>
            <w:r w:rsidRPr="00C6052E">
              <w:rPr>
                <w:lang w:val="en-AU"/>
              </w:rPr>
              <w:t>7.1%</w:t>
            </w:r>
          </w:p>
        </w:tc>
        <w:tc>
          <w:tcPr>
            <w:tcW w:w="824" w:type="dxa"/>
            <w:noWrap/>
            <w:hideMark/>
          </w:tcPr>
          <w:p w14:paraId="3CC2096C" w14:textId="77777777" w:rsidR="00EE5BB8" w:rsidRPr="00C6052E" w:rsidRDefault="00EE5BB8" w:rsidP="00B53837">
            <w:pPr>
              <w:pStyle w:val="TableCopy"/>
              <w:jc w:val="right"/>
              <w:rPr>
                <w:lang w:val="en-AU"/>
              </w:rPr>
            </w:pPr>
            <w:r w:rsidRPr="00C6052E">
              <w:rPr>
                <w:lang w:val="en-AU"/>
              </w:rPr>
              <w:t>1</w:t>
            </w:r>
          </w:p>
        </w:tc>
      </w:tr>
      <w:tr w:rsidR="00EE5BB8" w:rsidRPr="00C6052E" w14:paraId="4DB7EEAD" w14:textId="77777777" w:rsidTr="0063097D">
        <w:tc>
          <w:tcPr>
            <w:tcW w:w="4531" w:type="dxa"/>
            <w:hideMark/>
          </w:tcPr>
          <w:p w14:paraId="1A39DB00" w14:textId="3C00591A" w:rsidR="00EE5BB8" w:rsidRPr="00C6052E" w:rsidRDefault="00EE5BB8" w:rsidP="0063097D">
            <w:pPr>
              <w:pStyle w:val="TableCopy"/>
              <w:rPr>
                <w:lang w:val="en-AU"/>
              </w:rPr>
            </w:pPr>
            <w:r w:rsidRPr="00C6052E">
              <w:rPr>
                <w:lang w:val="en-AU"/>
              </w:rPr>
              <w:t>Sport</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recreation</w:t>
            </w:r>
            <w:r w:rsidR="00177848" w:rsidRPr="00C6052E">
              <w:rPr>
                <w:lang w:val="en-AU"/>
              </w:rPr>
              <w:t xml:space="preserve"> </w:t>
            </w:r>
            <w:r w:rsidRPr="00C6052E">
              <w:rPr>
                <w:lang w:val="en-AU"/>
              </w:rPr>
              <w:t>organisations</w:t>
            </w:r>
            <w:r w:rsidR="00177848" w:rsidRPr="00C6052E">
              <w:rPr>
                <w:lang w:val="en-AU"/>
              </w:rPr>
              <w:t xml:space="preserve"> </w:t>
            </w:r>
            <w:r w:rsidRPr="00C6052E">
              <w:rPr>
                <w:lang w:val="en-AU"/>
              </w:rPr>
              <w:t>undertaking</w:t>
            </w:r>
            <w:r w:rsidR="00177848" w:rsidRPr="00C6052E">
              <w:rPr>
                <w:lang w:val="en-AU"/>
              </w:rPr>
              <w:t xml:space="preserve"> </w:t>
            </w:r>
            <w:r w:rsidRPr="00C6052E">
              <w:rPr>
                <w:lang w:val="en-AU"/>
              </w:rPr>
              <w:t>programs</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activities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enhance</w:t>
            </w:r>
            <w:r w:rsidR="00177848" w:rsidRPr="00C6052E">
              <w:rPr>
                <w:lang w:val="en-AU"/>
              </w:rPr>
              <w:t xml:space="preserve"> </w:t>
            </w:r>
            <w:r w:rsidRPr="00C6052E">
              <w:rPr>
                <w:lang w:val="en-AU"/>
              </w:rPr>
              <w:t>participation*</w:t>
            </w:r>
          </w:p>
        </w:tc>
        <w:tc>
          <w:tcPr>
            <w:tcW w:w="1020" w:type="dxa"/>
            <w:hideMark/>
          </w:tcPr>
          <w:p w14:paraId="389351E9" w14:textId="77777777" w:rsidR="00EE5BB8" w:rsidRPr="00C6052E" w:rsidRDefault="00EE5BB8" w:rsidP="00B53837">
            <w:pPr>
              <w:pStyle w:val="TableCopy"/>
              <w:jc w:val="right"/>
              <w:rPr>
                <w:lang w:val="en-AU"/>
              </w:rPr>
            </w:pPr>
            <w:r w:rsidRPr="00C6052E">
              <w:rPr>
                <w:lang w:val="en-AU"/>
              </w:rPr>
              <w:t>number</w:t>
            </w:r>
          </w:p>
        </w:tc>
        <w:tc>
          <w:tcPr>
            <w:tcW w:w="1020" w:type="dxa"/>
            <w:noWrap/>
            <w:hideMark/>
          </w:tcPr>
          <w:p w14:paraId="06BA395B" w14:textId="77777777" w:rsidR="00EE5BB8" w:rsidRPr="00C6052E" w:rsidRDefault="00EE5BB8" w:rsidP="00B53837">
            <w:pPr>
              <w:pStyle w:val="TableCopy"/>
              <w:jc w:val="right"/>
              <w:rPr>
                <w:lang w:val="en-AU"/>
              </w:rPr>
            </w:pPr>
            <w:r w:rsidRPr="00C6052E">
              <w:rPr>
                <w:lang w:val="en-AU"/>
              </w:rPr>
              <w:t>110</w:t>
            </w:r>
          </w:p>
        </w:tc>
        <w:tc>
          <w:tcPr>
            <w:tcW w:w="1020" w:type="dxa"/>
            <w:noWrap/>
            <w:hideMark/>
          </w:tcPr>
          <w:p w14:paraId="31370624" w14:textId="77777777" w:rsidR="00EE5BB8" w:rsidRPr="00C6052E" w:rsidRDefault="00EE5BB8" w:rsidP="00B53837">
            <w:pPr>
              <w:pStyle w:val="TableCopy"/>
              <w:jc w:val="right"/>
              <w:rPr>
                <w:lang w:val="en-AU"/>
              </w:rPr>
            </w:pPr>
            <w:r w:rsidRPr="00C6052E">
              <w:rPr>
                <w:lang w:val="en-AU"/>
              </w:rPr>
              <w:t>112</w:t>
            </w:r>
          </w:p>
        </w:tc>
        <w:tc>
          <w:tcPr>
            <w:tcW w:w="1361" w:type="dxa"/>
            <w:noWrap/>
            <w:hideMark/>
          </w:tcPr>
          <w:p w14:paraId="26F361C1" w14:textId="77777777" w:rsidR="00EE5BB8" w:rsidRPr="00C6052E" w:rsidRDefault="00EE5BB8" w:rsidP="00B53837">
            <w:pPr>
              <w:pStyle w:val="TableCopy"/>
              <w:jc w:val="right"/>
              <w:rPr>
                <w:lang w:val="en-AU"/>
              </w:rPr>
            </w:pPr>
            <w:r w:rsidRPr="00C6052E">
              <w:rPr>
                <w:lang w:val="en-AU"/>
              </w:rPr>
              <w:t>-1.8%</w:t>
            </w:r>
          </w:p>
        </w:tc>
        <w:tc>
          <w:tcPr>
            <w:tcW w:w="824" w:type="dxa"/>
            <w:noWrap/>
            <w:hideMark/>
          </w:tcPr>
          <w:p w14:paraId="61F9F850" w14:textId="77777777" w:rsidR="00EE5BB8" w:rsidRPr="00C6052E" w:rsidRDefault="00EE5BB8" w:rsidP="00B53837">
            <w:pPr>
              <w:pStyle w:val="TableCopy"/>
              <w:jc w:val="right"/>
              <w:rPr>
                <w:lang w:val="en-AU"/>
              </w:rPr>
            </w:pPr>
            <w:r w:rsidRPr="00C6052E">
              <w:rPr>
                <w:lang w:val="en-AU"/>
              </w:rPr>
              <w:t>2</w:t>
            </w:r>
          </w:p>
        </w:tc>
      </w:tr>
      <w:tr w:rsidR="00EE5BB8" w:rsidRPr="00C6052E" w14:paraId="0E13E876" w14:textId="77777777" w:rsidTr="0063097D">
        <w:tc>
          <w:tcPr>
            <w:tcW w:w="4531" w:type="dxa"/>
            <w:hideMark/>
          </w:tcPr>
          <w:p w14:paraId="5D03E4B9" w14:textId="77777777" w:rsidR="00EE5BB8" w:rsidRDefault="00EE5BB8" w:rsidP="0063097D">
            <w:pPr>
              <w:pStyle w:val="TableCopy"/>
              <w:rPr>
                <w:lang w:val="en-AU"/>
              </w:rPr>
            </w:pPr>
            <w:r w:rsidRPr="00C6052E">
              <w:rPr>
                <w:lang w:val="en-AU"/>
              </w:rPr>
              <w:t>Sporting</w:t>
            </w:r>
            <w:r w:rsidR="00177848" w:rsidRPr="00C6052E">
              <w:rPr>
                <w:lang w:val="en-AU"/>
              </w:rPr>
              <w:t xml:space="preserve"> </w:t>
            </w:r>
            <w:r w:rsidRPr="00C6052E">
              <w:rPr>
                <w:lang w:val="en-AU"/>
              </w:rPr>
              <w:t>club</w:t>
            </w:r>
            <w:r w:rsidR="00177848" w:rsidRPr="00C6052E">
              <w:rPr>
                <w:lang w:val="en-AU"/>
              </w:rPr>
              <w:t xml:space="preserve"> </w:t>
            </w:r>
            <w:r w:rsidRPr="00C6052E">
              <w:rPr>
                <w:lang w:val="en-AU"/>
              </w:rPr>
              <w:t>grants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recipients</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based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low</w:t>
            </w:r>
            <w:r w:rsidR="00177848" w:rsidRPr="00C6052E">
              <w:rPr>
                <w:lang w:val="en-AU"/>
              </w:rPr>
              <w:t xml:space="preserve"> </w:t>
            </w:r>
            <w:r w:rsidRPr="00C6052E">
              <w:rPr>
                <w:lang w:val="en-AU"/>
              </w:rPr>
              <w:t>socio-economic</w:t>
            </w:r>
            <w:r w:rsidR="00177848" w:rsidRPr="00C6052E">
              <w:rPr>
                <w:lang w:val="en-AU"/>
              </w:rPr>
              <w:t xml:space="preserve"> </w:t>
            </w:r>
            <w:r w:rsidRPr="00C6052E">
              <w:rPr>
                <w:lang w:val="en-AU"/>
              </w:rPr>
              <w:t>areas</w:t>
            </w:r>
            <w:r w:rsidR="00177848" w:rsidRPr="00C6052E">
              <w:rPr>
                <w:lang w:val="en-AU"/>
              </w:rPr>
              <w:t xml:space="preserve"> </w:t>
            </w:r>
            <w:r w:rsidRPr="00C6052E">
              <w:rPr>
                <w:lang w:val="en-AU"/>
              </w:rPr>
              <w:t>as</w:t>
            </w:r>
            <w:r w:rsidR="00177848" w:rsidRPr="00C6052E">
              <w:rPr>
                <w:lang w:val="en-AU"/>
              </w:rPr>
              <w:t xml:space="preserve"> </w:t>
            </w:r>
            <w:r w:rsidRPr="00C6052E">
              <w:rPr>
                <w:lang w:val="en-AU"/>
              </w:rPr>
              <w:t>identified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SEIFA</w:t>
            </w:r>
            <w:r w:rsidR="00177848" w:rsidRPr="00C6052E">
              <w:rPr>
                <w:lang w:val="en-AU"/>
              </w:rPr>
              <w:t xml:space="preserve"> </w:t>
            </w:r>
            <w:r w:rsidRPr="00C6052E">
              <w:rPr>
                <w:lang w:val="en-AU"/>
              </w:rPr>
              <w:t>index</w:t>
            </w:r>
          </w:p>
          <w:p w14:paraId="244C45FB" w14:textId="245B3D6D" w:rsidR="00C17A57" w:rsidRPr="00C6052E" w:rsidRDefault="00C17A57" w:rsidP="00C17A57">
            <w:pPr>
              <w:pStyle w:val="Tablenotes-indented"/>
              <w:ind w:left="227" w:firstLine="0"/>
              <w:rPr>
                <w:lang w:val="en-AU"/>
              </w:rPr>
            </w:pPr>
            <w:r w:rsidRPr="00C6052E">
              <w:rPr>
                <w:lang w:val="en-AU"/>
              </w:rPr>
              <w:t>Higher result due to a higher proportion of successful applications from low-SEIFA areas, as well as additional funding through the Regional Community Sport Development Fund.</w:t>
            </w:r>
          </w:p>
        </w:tc>
        <w:tc>
          <w:tcPr>
            <w:tcW w:w="1020" w:type="dxa"/>
            <w:hideMark/>
          </w:tcPr>
          <w:p w14:paraId="1D256D93" w14:textId="67898ABD" w:rsidR="00EE5BB8" w:rsidRPr="00C6052E" w:rsidRDefault="00EE5BB8" w:rsidP="00B53837">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FE96D81" w14:textId="77777777" w:rsidR="00EE5BB8" w:rsidRPr="00C6052E" w:rsidRDefault="00EE5BB8" w:rsidP="00B53837">
            <w:pPr>
              <w:pStyle w:val="TableCopy"/>
              <w:jc w:val="right"/>
              <w:rPr>
                <w:lang w:val="en-AU"/>
              </w:rPr>
            </w:pPr>
            <w:r w:rsidRPr="00C6052E">
              <w:rPr>
                <w:lang w:val="en-AU"/>
              </w:rPr>
              <w:t>74.9</w:t>
            </w:r>
          </w:p>
        </w:tc>
        <w:tc>
          <w:tcPr>
            <w:tcW w:w="1020" w:type="dxa"/>
            <w:noWrap/>
            <w:hideMark/>
          </w:tcPr>
          <w:p w14:paraId="791AC42D" w14:textId="77777777" w:rsidR="00EE5BB8" w:rsidRPr="00C6052E" w:rsidRDefault="00EE5BB8" w:rsidP="00B53837">
            <w:pPr>
              <w:pStyle w:val="TableCopy"/>
              <w:jc w:val="right"/>
              <w:rPr>
                <w:lang w:val="en-AU"/>
              </w:rPr>
            </w:pPr>
            <w:r w:rsidRPr="00C6052E">
              <w:rPr>
                <w:lang w:val="en-AU"/>
              </w:rPr>
              <w:t>45</w:t>
            </w:r>
          </w:p>
        </w:tc>
        <w:tc>
          <w:tcPr>
            <w:tcW w:w="1361" w:type="dxa"/>
            <w:noWrap/>
            <w:hideMark/>
          </w:tcPr>
          <w:p w14:paraId="12E4FC25" w14:textId="77777777" w:rsidR="00EE5BB8" w:rsidRPr="00C6052E" w:rsidRDefault="00EE5BB8" w:rsidP="00B53837">
            <w:pPr>
              <w:pStyle w:val="TableCopy"/>
              <w:jc w:val="right"/>
              <w:rPr>
                <w:lang w:val="en-AU"/>
              </w:rPr>
            </w:pPr>
            <w:r w:rsidRPr="00C6052E">
              <w:rPr>
                <w:lang w:val="en-AU"/>
              </w:rPr>
              <w:t>66.3%</w:t>
            </w:r>
          </w:p>
        </w:tc>
        <w:tc>
          <w:tcPr>
            <w:tcW w:w="824" w:type="dxa"/>
            <w:noWrap/>
            <w:hideMark/>
          </w:tcPr>
          <w:p w14:paraId="75A9CC6A" w14:textId="77777777" w:rsidR="00EE5BB8" w:rsidRPr="00C6052E" w:rsidRDefault="00EE5BB8" w:rsidP="00B53837">
            <w:pPr>
              <w:pStyle w:val="TableCopy"/>
              <w:jc w:val="right"/>
              <w:rPr>
                <w:lang w:val="en-AU"/>
              </w:rPr>
            </w:pPr>
            <w:r w:rsidRPr="00C6052E">
              <w:rPr>
                <w:lang w:val="en-AU"/>
              </w:rPr>
              <w:t>1</w:t>
            </w:r>
          </w:p>
        </w:tc>
      </w:tr>
      <w:tr w:rsidR="00EE5BB8" w:rsidRPr="00C6052E" w14:paraId="2E3F7B35" w14:textId="77777777" w:rsidTr="0063097D">
        <w:tc>
          <w:tcPr>
            <w:tcW w:w="4531" w:type="dxa"/>
            <w:hideMark/>
          </w:tcPr>
          <w:p w14:paraId="2F784ABF" w14:textId="77777777" w:rsidR="00EE5BB8" w:rsidRDefault="00EE5BB8" w:rsidP="0063097D">
            <w:pPr>
              <w:pStyle w:val="TableCopy"/>
              <w:rPr>
                <w:lang w:val="en-AU"/>
              </w:rPr>
            </w:pPr>
            <w:r w:rsidRPr="00C6052E">
              <w:rPr>
                <w:lang w:val="en-AU"/>
              </w:rPr>
              <w:lastRenderedPageBreak/>
              <w:t>Sporting</w:t>
            </w:r>
            <w:r w:rsidR="00177848" w:rsidRPr="00C6052E">
              <w:rPr>
                <w:lang w:val="en-AU"/>
              </w:rPr>
              <w:t xml:space="preserve"> </w:t>
            </w:r>
            <w:r w:rsidRPr="00C6052E">
              <w:rPr>
                <w:lang w:val="en-AU"/>
              </w:rPr>
              <w:t>club</w:t>
            </w:r>
            <w:r w:rsidR="00177848" w:rsidRPr="00C6052E">
              <w:rPr>
                <w:lang w:val="en-AU"/>
              </w:rPr>
              <w:t xml:space="preserve"> </w:t>
            </w:r>
            <w:r w:rsidRPr="00C6052E">
              <w:rPr>
                <w:lang w:val="en-AU"/>
              </w:rPr>
              <w:t>grants</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recipients</w:t>
            </w:r>
            <w:r w:rsidR="00177848" w:rsidRPr="00C6052E">
              <w:rPr>
                <w:lang w:val="en-AU"/>
              </w:rPr>
              <w:t xml:space="preserve"> </w:t>
            </w:r>
            <w:r w:rsidRPr="00C6052E">
              <w:rPr>
                <w:lang w:val="en-AU"/>
              </w:rPr>
              <w:t>which</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regionally</w:t>
            </w:r>
            <w:r w:rsidR="00177848" w:rsidRPr="00C6052E">
              <w:rPr>
                <w:lang w:val="en-AU"/>
              </w:rPr>
              <w:t xml:space="preserve"> </w:t>
            </w:r>
            <w:r w:rsidRPr="00C6052E">
              <w:rPr>
                <w:lang w:val="en-AU"/>
              </w:rPr>
              <w:t>based</w:t>
            </w:r>
          </w:p>
          <w:p w14:paraId="112C0499" w14:textId="5DE6666D" w:rsidR="00C17A57" w:rsidRPr="00C6052E" w:rsidRDefault="00C17A57" w:rsidP="00C17A57">
            <w:pPr>
              <w:pStyle w:val="Tablenotes-indented"/>
              <w:ind w:left="227" w:firstLine="0"/>
              <w:rPr>
                <w:lang w:val="en-AU"/>
              </w:rPr>
            </w:pPr>
            <w:r w:rsidRPr="00C6052E">
              <w:rPr>
                <w:lang w:val="en-AU"/>
              </w:rPr>
              <w:t>Higher result due to a higher proportion of successful applications from regional areas, as well as additional funding through the Regional Community Sport Development Fund.</w:t>
            </w:r>
          </w:p>
        </w:tc>
        <w:tc>
          <w:tcPr>
            <w:tcW w:w="1020" w:type="dxa"/>
            <w:hideMark/>
          </w:tcPr>
          <w:p w14:paraId="60B90998" w14:textId="08C74150" w:rsidR="00EE5BB8" w:rsidRPr="00C6052E" w:rsidRDefault="00EE5BB8" w:rsidP="00B53837">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5B1E5E9" w14:textId="77777777" w:rsidR="00EE5BB8" w:rsidRPr="00C6052E" w:rsidRDefault="00EE5BB8" w:rsidP="00B53837">
            <w:pPr>
              <w:pStyle w:val="TableCopy"/>
              <w:jc w:val="right"/>
              <w:rPr>
                <w:lang w:val="en-AU"/>
              </w:rPr>
            </w:pPr>
            <w:r w:rsidRPr="00C6052E">
              <w:rPr>
                <w:lang w:val="en-AU"/>
              </w:rPr>
              <w:t>62.7</w:t>
            </w:r>
          </w:p>
        </w:tc>
        <w:tc>
          <w:tcPr>
            <w:tcW w:w="1020" w:type="dxa"/>
            <w:noWrap/>
            <w:hideMark/>
          </w:tcPr>
          <w:p w14:paraId="04CDDF62" w14:textId="77777777" w:rsidR="00EE5BB8" w:rsidRPr="00C6052E" w:rsidRDefault="00EE5BB8" w:rsidP="00B53837">
            <w:pPr>
              <w:pStyle w:val="TableCopy"/>
              <w:jc w:val="right"/>
              <w:rPr>
                <w:lang w:val="en-AU"/>
              </w:rPr>
            </w:pPr>
            <w:r w:rsidRPr="00C6052E">
              <w:rPr>
                <w:lang w:val="en-AU"/>
              </w:rPr>
              <w:t>55</w:t>
            </w:r>
          </w:p>
        </w:tc>
        <w:tc>
          <w:tcPr>
            <w:tcW w:w="1361" w:type="dxa"/>
            <w:noWrap/>
            <w:hideMark/>
          </w:tcPr>
          <w:p w14:paraId="68FF6DDE" w14:textId="77777777" w:rsidR="00EE5BB8" w:rsidRPr="00C6052E" w:rsidRDefault="00EE5BB8" w:rsidP="00B53837">
            <w:pPr>
              <w:pStyle w:val="TableCopy"/>
              <w:jc w:val="right"/>
              <w:rPr>
                <w:lang w:val="en-AU"/>
              </w:rPr>
            </w:pPr>
            <w:r w:rsidRPr="00C6052E">
              <w:rPr>
                <w:lang w:val="en-AU"/>
              </w:rPr>
              <w:t>13.9%</w:t>
            </w:r>
          </w:p>
        </w:tc>
        <w:tc>
          <w:tcPr>
            <w:tcW w:w="824" w:type="dxa"/>
            <w:noWrap/>
            <w:hideMark/>
          </w:tcPr>
          <w:p w14:paraId="2A26D17D" w14:textId="77777777" w:rsidR="00EE5BB8" w:rsidRPr="00C6052E" w:rsidRDefault="00EE5BB8" w:rsidP="00B53837">
            <w:pPr>
              <w:pStyle w:val="TableCopy"/>
              <w:jc w:val="right"/>
              <w:rPr>
                <w:lang w:val="en-AU"/>
              </w:rPr>
            </w:pPr>
            <w:r w:rsidRPr="00C6052E">
              <w:rPr>
                <w:lang w:val="en-AU"/>
              </w:rPr>
              <w:t>1</w:t>
            </w:r>
          </w:p>
        </w:tc>
      </w:tr>
      <w:tr w:rsidR="00EE5BB8" w:rsidRPr="00C6052E" w14:paraId="1EF7A8AD" w14:textId="77777777" w:rsidTr="0063097D">
        <w:tc>
          <w:tcPr>
            <w:tcW w:w="4531" w:type="dxa"/>
            <w:hideMark/>
          </w:tcPr>
          <w:p w14:paraId="40934C9F" w14:textId="6132AC5D" w:rsidR="00EE5BB8" w:rsidRPr="00C6052E" w:rsidRDefault="00EE5BB8" w:rsidP="0063097D">
            <w:pPr>
              <w:pStyle w:val="TableCopy"/>
              <w:rPr>
                <w:lang w:val="en-AU"/>
              </w:rPr>
            </w:pPr>
            <w:r w:rsidRPr="00C6052E">
              <w:rPr>
                <w:lang w:val="en-AU"/>
              </w:rPr>
              <w:t>Sports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athletes</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Victorian</w:t>
            </w:r>
            <w:r w:rsidR="00177848" w:rsidRPr="00C6052E">
              <w:rPr>
                <w:lang w:val="en-AU"/>
              </w:rPr>
              <w:t xml:space="preserve"> </w:t>
            </w:r>
            <w:r w:rsidRPr="00C6052E">
              <w:rPr>
                <w:lang w:val="en-AU"/>
              </w:rPr>
              <w:t>Institute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Sport</w:t>
            </w:r>
            <w:r w:rsidR="00177848" w:rsidRPr="00C6052E">
              <w:rPr>
                <w:lang w:val="en-AU"/>
              </w:rPr>
              <w:t xml:space="preserve"> </w:t>
            </w:r>
            <w:r w:rsidRPr="00C6052E">
              <w:rPr>
                <w:lang w:val="en-AU"/>
              </w:rPr>
              <w:t>(VIS)</w:t>
            </w:r>
            <w:r w:rsidR="00177848" w:rsidRPr="00C6052E">
              <w:rPr>
                <w:lang w:val="en-AU"/>
              </w:rPr>
              <w:t xml:space="preserve"> </w:t>
            </w:r>
            <w:r w:rsidRPr="00C6052E">
              <w:rPr>
                <w:lang w:val="en-AU"/>
              </w:rPr>
              <w:t>scholarships</w:t>
            </w:r>
          </w:p>
        </w:tc>
        <w:tc>
          <w:tcPr>
            <w:tcW w:w="1020" w:type="dxa"/>
            <w:hideMark/>
          </w:tcPr>
          <w:p w14:paraId="6DEF366B" w14:textId="77777777" w:rsidR="00EE5BB8" w:rsidRPr="00C6052E" w:rsidRDefault="00EE5BB8" w:rsidP="00B53837">
            <w:pPr>
              <w:pStyle w:val="TableCopy"/>
              <w:jc w:val="right"/>
              <w:rPr>
                <w:lang w:val="en-AU"/>
              </w:rPr>
            </w:pPr>
            <w:r w:rsidRPr="00C6052E">
              <w:rPr>
                <w:lang w:val="en-AU"/>
              </w:rPr>
              <w:t>number</w:t>
            </w:r>
          </w:p>
        </w:tc>
        <w:tc>
          <w:tcPr>
            <w:tcW w:w="1020" w:type="dxa"/>
            <w:noWrap/>
            <w:hideMark/>
          </w:tcPr>
          <w:p w14:paraId="0D078BBA" w14:textId="77777777" w:rsidR="00EE5BB8" w:rsidRPr="00C6052E" w:rsidRDefault="00EE5BB8" w:rsidP="00B53837">
            <w:pPr>
              <w:pStyle w:val="TableCopy"/>
              <w:jc w:val="right"/>
              <w:rPr>
                <w:lang w:val="en-AU"/>
              </w:rPr>
            </w:pPr>
            <w:r w:rsidRPr="00C6052E">
              <w:rPr>
                <w:lang w:val="en-AU"/>
              </w:rPr>
              <w:t>47</w:t>
            </w:r>
          </w:p>
        </w:tc>
        <w:tc>
          <w:tcPr>
            <w:tcW w:w="1020" w:type="dxa"/>
            <w:noWrap/>
            <w:hideMark/>
          </w:tcPr>
          <w:p w14:paraId="758824ED" w14:textId="77777777" w:rsidR="00EE5BB8" w:rsidRPr="00C6052E" w:rsidRDefault="00EE5BB8" w:rsidP="00B53837">
            <w:pPr>
              <w:pStyle w:val="TableCopy"/>
              <w:jc w:val="right"/>
              <w:rPr>
                <w:lang w:val="en-AU"/>
              </w:rPr>
            </w:pPr>
            <w:r w:rsidRPr="00C6052E">
              <w:rPr>
                <w:lang w:val="en-AU"/>
              </w:rPr>
              <w:t>45</w:t>
            </w:r>
          </w:p>
        </w:tc>
        <w:tc>
          <w:tcPr>
            <w:tcW w:w="1361" w:type="dxa"/>
            <w:noWrap/>
            <w:hideMark/>
          </w:tcPr>
          <w:p w14:paraId="02FD8772" w14:textId="77777777" w:rsidR="00EE5BB8" w:rsidRPr="00C6052E" w:rsidRDefault="00EE5BB8" w:rsidP="00B53837">
            <w:pPr>
              <w:pStyle w:val="TableCopy"/>
              <w:jc w:val="right"/>
              <w:rPr>
                <w:lang w:val="en-AU"/>
              </w:rPr>
            </w:pPr>
            <w:r w:rsidRPr="00C6052E">
              <w:rPr>
                <w:lang w:val="en-AU"/>
              </w:rPr>
              <w:t>4.4%</w:t>
            </w:r>
          </w:p>
        </w:tc>
        <w:tc>
          <w:tcPr>
            <w:tcW w:w="824" w:type="dxa"/>
            <w:noWrap/>
            <w:hideMark/>
          </w:tcPr>
          <w:p w14:paraId="5341D0E4" w14:textId="77777777" w:rsidR="00EE5BB8" w:rsidRPr="00C6052E" w:rsidRDefault="00EE5BB8" w:rsidP="00B53837">
            <w:pPr>
              <w:pStyle w:val="TableCopy"/>
              <w:jc w:val="right"/>
              <w:rPr>
                <w:lang w:val="en-AU"/>
              </w:rPr>
            </w:pPr>
            <w:r w:rsidRPr="00C6052E">
              <w:rPr>
                <w:lang w:val="en-AU"/>
              </w:rPr>
              <w:t>1</w:t>
            </w:r>
          </w:p>
        </w:tc>
      </w:tr>
      <w:tr w:rsidR="00EE5BB8" w:rsidRPr="00C6052E" w14:paraId="66DBEE51" w14:textId="77777777" w:rsidTr="0063097D">
        <w:tc>
          <w:tcPr>
            <w:tcW w:w="4531" w:type="dxa"/>
            <w:hideMark/>
          </w:tcPr>
          <w:p w14:paraId="36F9E274" w14:textId="77777777" w:rsidR="00EE5BB8" w:rsidRDefault="00EE5BB8" w:rsidP="0063097D">
            <w:pPr>
              <w:pStyle w:val="TableCopy"/>
              <w:rPr>
                <w:lang w:val="en-AU"/>
              </w:rPr>
            </w:pPr>
            <w:r w:rsidRPr="00C6052E">
              <w:rPr>
                <w:lang w:val="en-AU"/>
              </w:rPr>
              <w:t>Victorian</w:t>
            </w:r>
            <w:r w:rsidR="00177848" w:rsidRPr="00C6052E">
              <w:rPr>
                <w:lang w:val="en-AU"/>
              </w:rPr>
              <w:t xml:space="preserve"> </w:t>
            </w:r>
            <w:r w:rsidRPr="00C6052E">
              <w:rPr>
                <w:lang w:val="en-AU"/>
              </w:rPr>
              <w:t>categorised</w:t>
            </w:r>
            <w:r w:rsidR="00177848" w:rsidRPr="00C6052E">
              <w:rPr>
                <w:lang w:val="en-AU"/>
              </w:rPr>
              <w:t xml:space="preserve"> </w:t>
            </w:r>
            <w:r w:rsidRPr="00C6052E">
              <w:rPr>
                <w:lang w:val="en-AU"/>
              </w:rPr>
              <w:t>athletes</w:t>
            </w:r>
            <w:r w:rsidR="00177848" w:rsidRPr="00C6052E">
              <w:rPr>
                <w:lang w:val="en-AU"/>
              </w:rPr>
              <w:t xml:space="preserve"> </w:t>
            </w:r>
            <w:r w:rsidRPr="00C6052E">
              <w:rPr>
                <w:lang w:val="en-AU"/>
              </w:rPr>
              <w:t>supported</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VIS</w:t>
            </w:r>
          </w:p>
          <w:p w14:paraId="1E0ECA45" w14:textId="09A0D547" w:rsidR="00C17A57" w:rsidRPr="00C6052E" w:rsidRDefault="00C17A57" w:rsidP="00C17A57">
            <w:pPr>
              <w:pStyle w:val="Tablenotes-indented"/>
              <w:ind w:left="227" w:firstLine="0"/>
              <w:rPr>
                <w:lang w:val="en-AU"/>
              </w:rPr>
            </w:pPr>
            <w:r w:rsidRPr="00C6052E">
              <w:rPr>
                <w:lang w:val="en-AU"/>
              </w:rPr>
              <w:t xml:space="preserve">Higher result due to </w:t>
            </w:r>
            <w:proofErr w:type="gramStart"/>
            <w:r w:rsidRPr="00C6052E">
              <w:rPr>
                <w:lang w:val="en-AU"/>
              </w:rPr>
              <w:t>a majority of</w:t>
            </w:r>
            <w:proofErr w:type="gramEnd"/>
            <w:r w:rsidRPr="00C6052E">
              <w:rPr>
                <w:lang w:val="en-AU"/>
              </w:rPr>
              <w:t xml:space="preserve"> athletes accepting support offered by the Victorian Institute of Sport.</w:t>
            </w:r>
          </w:p>
        </w:tc>
        <w:tc>
          <w:tcPr>
            <w:tcW w:w="1020" w:type="dxa"/>
            <w:hideMark/>
          </w:tcPr>
          <w:p w14:paraId="38726F3E" w14:textId="3359B2DA" w:rsidR="00EE5BB8" w:rsidRPr="00C6052E" w:rsidRDefault="00EE5BB8" w:rsidP="00B53837">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19225D84" w14:textId="77777777" w:rsidR="00EE5BB8" w:rsidRPr="00C6052E" w:rsidRDefault="00EE5BB8" w:rsidP="00B53837">
            <w:pPr>
              <w:pStyle w:val="TableCopy"/>
              <w:jc w:val="right"/>
              <w:rPr>
                <w:lang w:val="en-AU"/>
              </w:rPr>
            </w:pPr>
            <w:r w:rsidRPr="00C6052E">
              <w:rPr>
                <w:lang w:val="en-AU"/>
              </w:rPr>
              <w:t>97</w:t>
            </w:r>
          </w:p>
        </w:tc>
        <w:tc>
          <w:tcPr>
            <w:tcW w:w="1020" w:type="dxa"/>
            <w:noWrap/>
            <w:hideMark/>
          </w:tcPr>
          <w:p w14:paraId="566A4913" w14:textId="77777777" w:rsidR="00EE5BB8" w:rsidRPr="00C6052E" w:rsidRDefault="00EE5BB8" w:rsidP="00B53837">
            <w:pPr>
              <w:pStyle w:val="TableCopy"/>
              <w:jc w:val="right"/>
              <w:rPr>
                <w:lang w:val="en-AU"/>
              </w:rPr>
            </w:pPr>
            <w:r w:rsidRPr="00C6052E">
              <w:rPr>
                <w:lang w:val="en-AU"/>
              </w:rPr>
              <w:t>85</w:t>
            </w:r>
          </w:p>
        </w:tc>
        <w:tc>
          <w:tcPr>
            <w:tcW w:w="1361" w:type="dxa"/>
            <w:noWrap/>
            <w:hideMark/>
          </w:tcPr>
          <w:p w14:paraId="4682399D" w14:textId="77777777" w:rsidR="00EE5BB8" w:rsidRPr="00C6052E" w:rsidRDefault="00EE5BB8" w:rsidP="00B53837">
            <w:pPr>
              <w:pStyle w:val="TableCopy"/>
              <w:jc w:val="right"/>
              <w:rPr>
                <w:lang w:val="en-AU"/>
              </w:rPr>
            </w:pPr>
            <w:r w:rsidRPr="00C6052E">
              <w:rPr>
                <w:lang w:val="en-AU"/>
              </w:rPr>
              <w:t>14.1%</w:t>
            </w:r>
          </w:p>
        </w:tc>
        <w:tc>
          <w:tcPr>
            <w:tcW w:w="824" w:type="dxa"/>
            <w:noWrap/>
            <w:hideMark/>
          </w:tcPr>
          <w:p w14:paraId="0CE92277" w14:textId="77777777" w:rsidR="00EE5BB8" w:rsidRPr="00C6052E" w:rsidRDefault="00EE5BB8" w:rsidP="00B53837">
            <w:pPr>
              <w:pStyle w:val="TableCopy"/>
              <w:jc w:val="right"/>
              <w:rPr>
                <w:lang w:val="en-AU"/>
              </w:rPr>
            </w:pPr>
            <w:r w:rsidRPr="00C6052E">
              <w:rPr>
                <w:lang w:val="en-AU"/>
              </w:rPr>
              <w:t>1</w:t>
            </w:r>
          </w:p>
        </w:tc>
      </w:tr>
      <w:tr w:rsidR="00EE5BB8" w:rsidRPr="00C6052E" w14:paraId="08CF48A5" w14:textId="77777777" w:rsidTr="0063097D">
        <w:tc>
          <w:tcPr>
            <w:tcW w:w="4531" w:type="dxa"/>
            <w:hideMark/>
          </w:tcPr>
          <w:p w14:paraId="1ED659D4" w14:textId="77777777" w:rsidR="00EE5BB8" w:rsidRDefault="00EE5BB8" w:rsidP="00B53837">
            <w:pPr>
              <w:pStyle w:val="TableCopy"/>
              <w:keepNext/>
              <w:rPr>
                <w:lang w:val="en-AU"/>
              </w:rPr>
            </w:pPr>
            <w:r w:rsidRPr="00C6052E">
              <w:rPr>
                <w:lang w:val="en-AU"/>
              </w:rPr>
              <w:t>Victorian</w:t>
            </w:r>
            <w:r w:rsidR="00177848" w:rsidRPr="00C6052E">
              <w:rPr>
                <w:lang w:val="en-AU"/>
              </w:rPr>
              <w:t xml:space="preserve"> </w:t>
            </w:r>
            <w:r w:rsidRPr="00C6052E">
              <w:rPr>
                <w:lang w:val="en-AU"/>
              </w:rPr>
              <w:t>Institute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Sport</w:t>
            </w:r>
            <w:r w:rsidR="00177848" w:rsidRPr="00C6052E">
              <w:rPr>
                <w:lang w:val="en-AU"/>
              </w:rPr>
              <w:t xml:space="preserve"> </w:t>
            </w:r>
            <w:r w:rsidRPr="00C6052E">
              <w:rPr>
                <w:lang w:val="en-AU"/>
              </w:rPr>
              <w:t>scholarship</w:t>
            </w:r>
            <w:r w:rsidR="00177848" w:rsidRPr="00C6052E">
              <w:rPr>
                <w:lang w:val="en-AU"/>
              </w:rPr>
              <w:t xml:space="preserve"> </w:t>
            </w:r>
            <w:r w:rsidRPr="00C6052E">
              <w:rPr>
                <w:lang w:val="en-AU"/>
              </w:rPr>
              <w:t>holders</w:t>
            </w:r>
            <w:r w:rsidR="00177848" w:rsidRPr="00C6052E">
              <w:rPr>
                <w:lang w:val="en-AU"/>
              </w:rPr>
              <w:t xml:space="preserve"> </w:t>
            </w:r>
            <w:r w:rsidRPr="00C6052E">
              <w:rPr>
                <w:lang w:val="en-AU"/>
              </w:rPr>
              <w:t>on</w:t>
            </w:r>
            <w:r w:rsidR="00177848" w:rsidRPr="00C6052E">
              <w:rPr>
                <w:lang w:val="en-AU"/>
              </w:rPr>
              <w:t xml:space="preserve"> </w:t>
            </w:r>
            <w:r w:rsidRPr="00C6052E">
              <w:rPr>
                <w:lang w:val="en-AU"/>
              </w:rPr>
              <w:t>national</w:t>
            </w:r>
            <w:r w:rsidR="00177848" w:rsidRPr="00C6052E">
              <w:rPr>
                <w:lang w:val="en-AU"/>
              </w:rPr>
              <w:t xml:space="preserve"> </w:t>
            </w:r>
            <w:r w:rsidRPr="00C6052E">
              <w:rPr>
                <w:lang w:val="en-AU"/>
              </w:rPr>
              <w:t>teams/squads</w:t>
            </w:r>
          </w:p>
          <w:p w14:paraId="28679312" w14:textId="51C61D44" w:rsidR="00C17A57" w:rsidRPr="00C6052E" w:rsidRDefault="00C17A57" w:rsidP="00C17A57">
            <w:pPr>
              <w:pStyle w:val="Tablenotes-indented"/>
              <w:ind w:left="227" w:firstLine="0"/>
              <w:rPr>
                <w:lang w:val="en-AU"/>
              </w:rPr>
            </w:pPr>
            <w:r w:rsidRPr="00C6052E">
              <w:rPr>
                <w:lang w:val="en-AU"/>
              </w:rPr>
              <w:t xml:space="preserve">Higher result due to more eligible athletes that </w:t>
            </w:r>
            <w:proofErr w:type="gramStart"/>
            <w:r w:rsidRPr="00C6052E">
              <w:rPr>
                <w:lang w:val="en-AU"/>
              </w:rPr>
              <w:t>are able to</w:t>
            </w:r>
            <w:proofErr w:type="gramEnd"/>
            <w:r w:rsidRPr="00C6052E">
              <w:rPr>
                <w:lang w:val="en-AU"/>
              </w:rPr>
              <w:t xml:space="preserve"> be supported and selected into national teams and squads.</w:t>
            </w:r>
          </w:p>
        </w:tc>
        <w:tc>
          <w:tcPr>
            <w:tcW w:w="1020" w:type="dxa"/>
            <w:hideMark/>
          </w:tcPr>
          <w:p w14:paraId="2881CF44" w14:textId="30AD2B5A" w:rsidR="00EE5BB8" w:rsidRPr="00C6052E" w:rsidRDefault="00EE5BB8" w:rsidP="00B53837">
            <w:pPr>
              <w:pStyle w:val="TableCopy"/>
              <w:keepNext/>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16F9203F" w14:textId="77777777" w:rsidR="00EE5BB8" w:rsidRPr="00C6052E" w:rsidRDefault="00EE5BB8" w:rsidP="00B53837">
            <w:pPr>
              <w:pStyle w:val="TableCopy"/>
              <w:keepNext/>
              <w:jc w:val="right"/>
              <w:rPr>
                <w:lang w:val="en-AU"/>
              </w:rPr>
            </w:pPr>
            <w:r w:rsidRPr="00C6052E">
              <w:rPr>
                <w:lang w:val="en-AU"/>
              </w:rPr>
              <w:t>72</w:t>
            </w:r>
          </w:p>
        </w:tc>
        <w:tc>
          <w:tcPr>
            <w:tcW w:w="1020" w:type="dxa"/>
            <w:noWrap/>
            <w:hideMark/>
          </w:tcPr>
          <w:p w14:paraId="6E56E1BB" w14:textId="77777777" w:rsidR="00EE5BB8" w:rsidRPr="00C6052E" w:rsidRDefault="00EE5BB8" w:rsidP="00B53837">
            <w:pPr>
              <w:pStyle w:val="TableCopy"/>
              <w:keepNext/>
              <w:jc w:val="right"/>
              <w:rPr>
                <w:lang w:val="en-AU"/>
              </w:rPr>
            </w:pPr>
            <w:r w:rsidRPr="00C6052E">
              <w:rPr>
                <w:lang w:val="en-AU"/>
              </w:rPr>
              <w:t>40</w:t>
            </w:r>
          </w:p>
        </w:tc>
        <w:tc>
          <w:tcPr>
            <w:tcW w:w="1361" w:type="dxa"/>
            <w:noWrap/>
            <w:hideMark/>
          </w:tcPr>
          <w:p w14:paraId="161EC2C4" w14:textId="77777777" w:rsidR="00EE5BB8" w:rsidRPr="00C6052E" w:rsidRDefault="00EE5BB8" w:rsidP="00B53837">
            <w:pPr>
              <w:pStyle w:val="TableCopy"/>
              <w:keepNext/>
              <w:jc w:val="right"/>
              <w:rPr>
                <w:lang w:val="en-AU"/>
              </w:rPr>
            </w:pPr>
            <w:r w:rsidRPr="00C6052E">
              <w:rPr>
                <w:lang w:val="en-AU"/>
              </w:rPr>
              <w:t>80.0%</w:t>
            </w:r>
          </w:p>
        </w:tc>
        <w:tc>
          <w:tcPr>
            <w:tcW w:w="824" w:type="dxa"/>
            <w:noWrap/>
            <w:hideMark/>
          </w:tcPr>
          <w:p w14:paraId="3522882F" w14:textId="77777777" w:rsidR="00EE5BB8" w:rsidRPr="00C6052E" w:rsidRDefault="00EE5BB8" w:rsidP="00B53837">
            <w:pPr>
              <w:pStyle w:val="TableCopy"/>
              <w:keepNext/>
              <w:jc w:val="right"/>
              <w:rPr>
                <w:lang w:val="en-AU"/>
              </w:rPr>
            </w:pPr>
            <w:r w:rsidRPr="00C6052E">
              <w:rPr>
                <w:lang w:val="en-AU"/>
              </w:rPr>
              <w:t>1</w:t>
            </w:r>
          </w:p>
        </w:tc>
      </w:tr>
      <w:tr w:rsidR="00EE5BB8" w:rsidRPr="00C6052E" w14:paraId="61DAD971" w14:textId="77777777" w:rsidTr="0063097D">
        <w:tc>
          <w:tcPr>
            <w:tcW w:w="4531" w:type="dxa"/>
          </w:tcPr>
          <w:p w14:paraId="07FA6931" w14:textId="77777777" w:rsidR="00EE5BB8" w:rsidRPr="00C6052E" w:rsidRDefault="00EE5BB8" w:rsidP="0063097D">
            <w:pPr>
              <w:pStyle w:val="TableHeading"/>
              <w:rPr>
                <w:lang w:val="en-AU"/>
              </w:rPr>
            </w:pPr>
            <w:r w:rsidRPr="00C6052E">
              <w:rPr>
                <w:lang w:val="en-AU"/>
              </w:rPr>
              <w:t>Cost</w:t>
            </w:r>
          </w:p>
        </w:tc>
        <w:tc>
          <w:tcPr>
            <w:tcW w:w="1020" w:type="dxa"/>
          </w:tcPr>
          <w:p w14:paraId="2CA22BB5" w14:textId="77777777" w:rsidR="00EE5BB8" w:rsidRPr="00C6052E" w:rsidRDefault="00EE5BB8" w:rsidP="00B53837">
            <w:pPr>
              <w:pStyle w:val="TableHeading"/>
              <w:jc w:val="right"/>
              <w:rPr>
                <w:lang w:val="en-AU"/>
              </w:rPr>
            </w:pPr>
          </w:p>
        </w:tc>
        <w:tc>
          <w:tcPr>
            <w:tcW w:w="1020" w:type="dxa"/>
            <w:noWrap/>
          </w:tcPr>
          <w:p w14:paraId="64738D5A" w14:textId="77777777" w:rsidR="00EE5BB8" w:rsidRPr="00C6052E" w:rsidRDefault="00EE5BB8" w:rsidP="00B53837">
            <w:pPr>
              <w:pStyle w:val="TableHeading"/>
              <w:jc w:val="right"/>
              <w:rPr>
                <w:lang w:val="en-AU"/>
              </w:rPr>
            </w:pPr>
          </w:p>
        </w:tc>
        <w:tc>
          <w:tcPr>
            <w:tcW w:w="1020" w:type="dxa"/>
            <w:noWrap/>
          </w:tcPr>
          <w:p w14:paraId="4002A44A" w14:textId="77777777" w:rsidR="00EE5BB8" w:rsidRPr="00C6052E" w:rsidRDefault="00EE5BB8" w:rsidP="00B53837">
            <w:pPr>
              <w:pStyle w:val="TableHeading"/>
              <w:jc w:val="right"/>
              <w:rPr>
                <w:lang w:val="en-AU"/>
              </w:rPr>
            </w:pPr>
          </w:p>
        </w:tc>
        <w:tc>
          <w:tcPr>
            <w:tcW w:w="1361" w:type="dxa"/>
            <w:noWrap/>
          </w:tcPr>
          <w:p w14:paraId="4065889E" w14:textId="77777777" w:rsidR="00EE5BB8" w:rsidRPr="00C6052E" w:rsidRDefault="00EE5BB8" w:rsidP="00B53837">
            <w:pPr>
              <w:pStyle w:val="TableHeading"/>
              <w:jc w:val="right"/>
              <w:rPr>
                <w:lang w:val="en-AU"/>
              </w:rPr>
            </w:pPr>
          </w:p>
        </w:tc>
        <w:tc>
          <w:tcPr>
            <w:tcW w:w="824" w:type="dxa"/>
            <w:noWrap/>
          </w:tcPr>
          <w:p w14:paraId="1236F828" w14:textId="77777777" w:rsidR="00EE5BB8" w:rsidRPr="00C6052E" w:rsidRDefault="00EE5BB8" w:rsidP="00B53837">
            <w:pPr>
              <w:pStyle w:val="TableHeading"/>
              <w:jc w:val="right"/>
              <w:rPr>
                <w:lang w:val="en-AU"/>
              </w:rPr>
            </w:pPr>
          </w:p>
        </w:tc>
      </w:tr>
      <w:tr w:rsidR="00EE5BB8" w:rsidRPr="00C6052E" w14:paraId="0D1CEDA0" w14:textId="77777777" w:rsidTr="0063097D">
        <w:tc>
          <w:tcPr>
            <w:tcW w:w="4531" w:type="dxa"/>
            <w:hideMark/>
          </w:tcPr>
          <w:p w14:paraId="7CC920EF" w14:textId="77777777" w:rsidR="00EE5BB8"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p w14:paraId="23D4A5C2" w14:textId="00DF2B85" w:rsidR="00C17A57" w:rsidRPr="00C6052E" w:rsidRDefault="00C17A57" w:rsidP="00C17A57">
            <w:pPr>
              <w:pStyle w:val="Tablenotes-indented"/>
              <w:ind w:left="227" w:firstLine="0"/>
              <w:rPr>
                <w:lang w:val="en-AU"/>
              </w:rPr>
            </w:pPr>
            <w:r w:rsidRPr="00C6052E">
              <w:rPr>
                <w:lang w:val="en-AU"/>
              </w:rPr>
              <w:t>The 2024-25 result is lower than the 2024-25 budget primarily due to the timing of payments for grants relating to community sport and sport infrastructure programs, with milestone payments now expected to be made in future years.</w:t>
            </w:r>
          </w:p>
        </w:tc>
        <w:tc>
          <w:tcPr>
            <w:tcW w:w="1020" w:type="dxa"/>
            <w:hideMark/>
          </w:tcPr>
          <w:p w14:paraId="2FE7D7EC" w14:textId="5D6DD30D" w:rsidR="00EE5BB8" w:rsidRPr="00C6052E" w:rsidRDefault="00EE5BB8" w:rsidP="00B53837">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6C534768" w14:textId="77777777" w:rsidR="00EE5BB8" w:rsidRPr="00C6052E" w:rsidRDefault="00EE5BB8" w:rsidP="00B53837">
            <w:pPr>
              <w:pStyle w:val="Tabletotal"/>
              <w:jc w:val="right"/>
              <w:rPr>
                <w:lang w:val="en-AU"/>
              </w:rPr>
            </w:pPr>
            <w:r w:rsidRPr="00C6052E">
              <w:rPr>
                <w:lang w:val="en-AU"/>
              </w:rPr>
              <w:t>323.1</w:t>
            </w:r>
          </w:p>
        </w:tc>
        <w:tc>
          <w:tcPr>
            <w:tcW w:w="1020" w:type="dxa"/>
            <w:noWrap/>
            <w:hideMark/>
          </w:tcPr>
          <w:p w14:paraId="51E75658" w14:textId="77777777" w:rsidR="00EE5BB8" w:rsidRPr="00C6052E" w:rsidRDefault="00EE5BB8" w:rsidP="00B53837">
            <w:pPr>
              <w:pStyle w:val="Tabletotal"/>
              <w:jc w:val="right"/>
              <w:rPr>
                <w:lang w:val="en-AU"/>
              </w:rPr>
            </w:pPr>
            <w:r w:rsidRPr="00C6052E">
              <w:rPr>
                <w:lang w:val="en-AU"/>
              </w:rPr>
              <w:t>429.3</w:t>
            </w:r>
          </w:p>
        </w:tc>
        <w:tc>
          <w:tcPr>
            <w:tcW w:w="1361" w:type="dxa"/>
            <w:noWrap/>
            <w:hideMark/>
          </w:tcPr>
          <w:p w14:paraId="32E847A9" w14:textId="77777777" w:rsidR="00EE5BB8" w:rsidRPr="00C6052E" w:rsidRDefault="00EE5BB8" w:rsidP="00B53837">
            <w:pPr>
              <w:pStyle w:val="Tabletotal"/>
              <w:jc w:val="right"/>
              <w:rPr>
                <w:lang w:val="en-AU"/>
              </w:rPr>
            </w:pPr>
            <w:r w:rsidRPr="00C6052E">
              <w:rPr>
                <w:lang w:val="en-AU"/>
              </w:rPr>
              <w:t>-24.7%</w:t>
            </w:r>
          </w:p>
        </w:tc>
        <w:tc>
          <w:tcPr>
            <w:tcW w:w="824" w:type="dxa"/>
            <w:noWrap/>
            <w:hideMark/>
          </w:tcPr>
          <w:p w14:paraId="1411E222" w14:textId="77777777" w:rsidR="00EE5BB8" w:rsidRPr="00C6052E" w:rsidRDefault="00EE5BB8" w:rsidP="00B53837">
            <w:pPr>
              <w:pStyle w:val="Tabletotal"/>
              <w:jc w:val="right"/>
              <w:rPr>
                <w:lang w:val="en-AU"/>
              </w:rPr>
            </w:pPr>
            <w:r w:rsidRPr="00C6052E">
              <w:rPr>
                <w:lang w:val="en-AU"/>
              </w:rPr>
              <w:t>1</w:t>
            </w:r>
          </w:p>
        </w:tc>
      </w:tr>
    </w:tbl>
    <w:p w14:paraId="079389BB" w14:textId="3C529FC0" w:rsidR="00EE5BB8" w:rsidRPr="00C6052E" w:rsidRDefault="00EE5BB8" w:rsidP="00EE5BB8">
      <w:pPr>
        <w:pStyle w:val="Tablenotes"/>
      </w:pPr>
      <w:r w:rsidRPr="00C6052E">
        <w:t>*</w:t>
      </w:r>
      <w:r w:rsidR="00177848" w:rsidRPr="00C6052E">
        <w:t xml:space="preserve"> </w:t>
      </w:r>
      <w:r w:rsidRPr="00C6052E">
        <w:t>The</w:t>
      </w:r>
      <w:r w:rsidR="00177848" w:rsidRPr="00C6052E">
        <w:t xml:space="preserve"> </w:t>
      </w:r>
      <w:r w:rsidRPr="00C6052E">
        <w:t>2023-24</w:t>
      </w:r>
      <w:r w:rsidR="00177848" w:rsidRPr="00C6052E">
        <w:t xml:space="preserve"> </w:t>
      </w:r>
      <w:r w:rsidRPr="00C6052E">
        <w:t>Annual</w:t>
      </w:r>
      <w:r w:rsidR="00177848" w:rsidRPr="00C6052E">
        <w:t xml:space="preserve"> </w:t>
      </w:r>
      <w:r w:rsidRPr="00C6052E">
        <w:t>Report</w:t>
      </w:r>
      <w:r w:rsidR="00177848" w:rsidRPr="00C6052E">
        <w:t xml:space="preserve"> </w:t>
      </w:r>
      <w:r w:rsidRPr="00C6052E">
        <w:t>listed</w:t>
      </w:r>
      <w:r w:rsidR="00177848" w:rsidRPr="00C6052E">
        <w:t xml:space="preserve"> </w:t>
      </w:r>
      <w:r w:rsidRPr="00C6052E">
        <w:t>the</w:t>
      </w:r>
      <w:r w:rsidR="00177848" w:rsidRPr="00C6052E">
        <w:t xml:space="preserve"> </w:t>
      </w:r>
      <w:r w:rsidRPr="00C6052E">
        <w:t>2023-24</w:t>
      </w:r>
      <w:r w:rsidR="00177848" w:rsidRPr="00C6052E">
        <w:t xml:space="preserve"> </w:t>
      </w:r>
      <w:r w:rsidRPr="00C6052E">
        <w:t>target</w:t>
      </w:r>
      <w:r w:rsidR="00177848" w:rsidRPr="00C6052E">
        <w:t xml:space="preserve"> </w:t>
      </w:r>
      <w:r w:rsidRPr="00C6052E">
        <w:t>for</w:t>
      </w:r>
      <w:r w:rsidR="00177848" w:rsidRPr="00C6052E">
        <w:t xml:space="preserve"> </w:t>
      </w:r>
      <w:r w:rsidRPr="00C6052E">
        <w:t>this</w:t>
      </w:r>
      <w:r w:rsidR="00177848" w:rsidRPr="00C6052E">
        <w:t xml:space="preserve"> </w:t>
      </w:r>
      <w:r w:rsidRPr="00C6052E">
        <w:t>measure</w:t>
      </w:r>
      <w:r w:rsidR="00177848" w:rsidRPr="00C6052E">
        <w:t xml:space="preserve"> </w:t>
      </w:r>
      <w:r w:rsidRPr="00C6052E">
        <w:t>as</w:t>
      </w:r>
      <w:r w:rsidR="00177848" w:rsidRPr="00C6052E">
        <w:t xml:space="preserve"> </w:t>
      </w:r>
      <w:r w:rsidRPr="00C6052E">
        <w:t>1112.</w:t>
      </w:r>
      <w:r w:rsidR="00177848" w:rsidRPr="00C6052E">
        <w:t xml:space="preserve"> </w:t>
      </w:r>
      <w:r w:rsidRPr="00C6052E">
        <w:t>The</w:t>
      </w:r>
      <w:r w:rsidR="00177848" w:rsidRPr="00C6052E">
        <w:t xml:space="preserve"> </w:t>
      </w:r>
      <w:r w:rsidRPr="00C6052E">
        <w:t>correct</w:t>
      </w:r>
      <w:r w:rsidR="00177848" w:rsidRPr="00C6052E">
        <w:t xml:space="preserve"> </w:t>
      </w:r>
      <w:r w:rsidRPr="00C6052E">
        <w:t>2023-24</w:t>
      </w:r>
      <w:r w:rsidR="00177848" w:rsidRPr="00C6052E">
        <w:t xml:space="preserve"> </w:t>
      </w:r>
      <w:r w:rsidRPr="00C6052E">
        <w:t>target</w:t>
      </w:r>
      <w:r w:rsidR="00177848" w:rsidRPr="00C6052E">
        <w:t xml:space="preserve"> </w:t>
      </w:r>
      <w:r w:rsidRPr="00C6052E">
        <w:t>is</w:t>
      </w:r>
      <w:r w:rsidR="00177848" w:rsidRPr="00C6052E">
        <w:t xml:space="preserve"> </w:t>
      </w:r>
      <w:r w:rsidRPr="00C6052E">
        <w:t>112.</w:t>
      </w:r>
    </w:p>
    <w:p w14:paraId="42177EA2" w14:textId="5DDCAC45" w:rsidR="00EE5BB8" w:rsidRPr="00C6052E" w:rsidRDefault="00EE5BB8" w:rsidP="00EE5BB8">
      <w:pPr>
        <w:pStyle w:val="Tablenotes"/>
        <w:spacing w:after="240"/>
      </w:pPr>
      <w:r w:rsidRPr="00C6052E">
        <w:t>Note:</w:t>
      </w:r>
      <w:r w:rsidR="00177848" w:rsidRPr="00C6052E">
        <w:t xml:space="preserve"> </w:t>
      </w:r>
      <w:r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Pr="00C6052E">
        <w:t>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1A61F36E" w14:textId="658FA7B3" w:rsidR="00EE5BB8" w:rsidRPr="00C6052E" w:rsidRDefault="00EE5BB8" w:rsidP="00EE5BB8">
      <w:r w:rsidRPr="00C6052E">
        <w:t>Table</w:t>
      </w:r>
      <w:r w:rsidR="00177848" w:rsidRPr="00C6052E">
        <w:t xml:space="preserve"> </w:t>
      </w:r>
      <w:r w:rsidRPr="00C6052E">
        <w:t>26</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Tourism</w:t>
      </w:r>
      <w:r w:rsidR="00177848" w:rsidRPr="00C6052E">
        <w:t xml:space="preserve"> </w:t>
      </w:r>
      <w:r w:rsidRPr="00C6052E">
        <w:t>and</w:t>
      </w:r>
      <w:r w:rsidR="00177848" w:rsidRPr="00C6052E">
        <w:t xml:space="preserve"> </w:t>
      </w:r>
      <w:r w:rsidRPr="00C6052E">
        <w:t>Major</w:t>
      </w:r>
      <w:r w:rsidR="00177848" w:rsidRPr="00C6052E">
        <w:t xml:space="preserve"> </w:t>
      </w:r>
      <w:r w:rsidRPr="00C6052E">
        <w:t>Events</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maximises</w:t>
      </w:r>
      <w:r w:rsidR="00177848" w:rsidRPr="00C6052E">
        <w:t xml:space="preserve"> </w:t>
      </w:r>
      <w:r w:rsidRPr="00C6052E">
        <w:t>employment</w:t>
      </w:r>
      <w:r w:rsidR="00177848" w:rsidRPr="00C6052E">
        <w:t xml:space="preserve"> </w:t>
      </w:r>
      <w:r w:rsidRPr="00C6052E">
        <w:t>and</w:t>
      </w:r>
      <w:r w:rsidR="00177848" w:rsidRPr="00C6052E">
        <w:t xml:space="preserve"> </w:t>
      </w:r>
      <w:r w:rsidRPr="00C6052E">
        <w:t>the</w:t>
      </w:r>
      <w:r w:rsidR="00177848" w:rsidRPr="00C6052E">
        <w:t xml:space="preserve"> </w:t>
      </w:r>
      <w:r w:rsidRPr="00C6052E">
        <w:t>long-term</w:t>
      </w:r>
      <w:r w:rsidR="00177848" w:rsidRPr="00C6052E">
        <w:t xml:space="preserve"> </w:t>
      </w:r>
      <w:r w:rsidRPr="00C6052E">
        <w:t>economic</w:t>
      </w:r>
      <w:r w:rsidR="00177848" w:rsidRPr="00C6052E">
        <w:t xml:space="preserve"> </w:t>
      </w:r>
      <w:r w:rsidRPr="00C6052E">
        <w:t>benefits</w:t>
      </w:r>
      <w:r w:rsidR="00177848" w:rsidRPr="00C6052E">
        <w:t xml:space="preserve"> </w:t>
      </w:r>
      <w:r w:rsidRPr="00C6052E">
        <w:t>of</w:t>
      </w:r>
      <w:r w:rsidR="00177848" w:rsidRPr="00C6052E">
        <w:t xml:space="preserve"> </w:t>
      </w:r>
      <w:r w:rsidRPr="00C6052E">
        <w:t>tourism</w:t>
      </w:r>
      <w:r w:rsidR="00177848" w:rsidRPr="00C6052E">
        <w:t xml:space="preserve"> </w:t>
      </w:r>
      <w:r w:rsidRPr="00C6052E">
        <w:t>and</w:t>
      </w:r>
      <w:r w:rsidR="00177848" w:rsidRPr="00C6052E">
        <w:t xml:space="preserve"> </w:t>
      </w:r>
      <w:r w:rsidRPr="00C6052E">
        <w:t>major</w:t>
      </w:r>
      <w:r w:rsidR="00177848" w:rsidRPr="00C6052E">
        <w:t xml:space="preserve"> </w:t>
      </w:r>
      <w:r w:rsidRPr="00C6052E">
        <w:t>events</w:t>
      </w:r>
      <w:r w:rsidR="00177848" w:rsidRPr="00C6052E">
        <w:t xml:space="preserve"> </w:t>
      </w:r>
      <w:r w:rsidRPr="00C6052E">
        <w:t>to</w:t>
      </w:r>
      <w:r w:rsidR="00177848" w:rsidRPr="00C6052E">
        <w:t xml:space="preserve"> </w:t>
      </w:r>
      <w:r w:rsidRPr="00C6052E">
        <w:t>Victoria</w:t>
      </w:r>
      <w:r w:rsidR="00177848" w:rsidRPr="00C6052E">
        <w:t xml:space="preserve"> </w:t>
      </w:r>
      <w:r w:rsidRPr="00C6052E">
        <w:t>by</w:t>
      </w:r>
      <w:r w:rsidR="00177848" w:rsidRPr="00C6052E">
        <w:t xml:space="preserve"> </w:t>
      </w:r>
      <w:r w:rsidRPr="00C6052E">
        <w:t>developing</w:t>
      </w:r>
      <w:r w:rsidR="00177848" w:rsidRPr="00C6052E">
        <w:t xml:space="preserve"> </w:t>
      </w:r>
      <w:r w:rsidRPr="00C6052E">
        <w:t>and</w:t>
      </w:r>
      <w:r w:rsidR="00177848" w:rsidRPr="00C6052E">
        <w:t xml:space="preserve"> </w:t>
      </w:r>
      <w:r w:rsidRPr="00C6052E">
        <w:t>marketing</w:t>
      </w:r>
      <w:r w:rsidR="00177848" w:rsidRPr="00C6052E">
        <w:t xml:space="preserve"> </w:t>
      </w:r>
      <w:r w:rsidRPr="00C6052E">
        <w:t>the</w:t>
      </w:r>
      <w:r w:rsidR="00177848" w:rsidRPr="00C6052E">
        <w:t xml:space="preserve"> </w:t>
      </w:r>
      <w:r w:rsidRPr="00C6052E">
        <w:t>State</w:t>
      </w:r>
      <w:r w:rsidR="00177848" w:rsidRPr="00C6052E">
        <w:t xml:space="preserve"> </w:t>
      </w:r>
      <w:r w:rsidRPr="00C6052E">
        <w:t>as</w:t>
      </w:r>
      <w:r w:rsidR="00177848" w:rsidRPr="00C6052E">
        <w:t xml:space="preserve"> </w:t>
      </w:r>
      <w:r w:rsidRPr="00C6052E">
        <w:t>a</w:t>
      </w:r>
      <w:r w:rsidR="00177848" w:rsidRPr="00C6052E">
        <w:t xml:space="preserve"> </w:t>
      </w:r>
      <w:r w:rsidRPr="00C6052E">
        <w:t>competitive</w:t>
      </w:r>
      <w:r w:rsidR="00177848" w:rsidRPr="00C6052E">
        <w:t xml:space="preserve"> </w:t>
      </w:r>
      <w:r w:rsidRPr="00C6052E">
        <w:t>destination.</w:t>
      </w:r>
    </w:p>
    <w:p w14:paraId="3AC48FFD" w14:textId="1C4FC122" w:rsidR="00EE5BB8" w:rsidRPr="00C6052E" w:rsidRDefault="00EE5BB8" w:rsidP="005227B7">
      <w:pPr>
        <w:pStyle w:val="TableHeading"/>
      </w:pPr>
      <w:r w:rsidRPr="00C6052E">
        <w:lastRenderedPageBreak/>
        <w:t>Table</w:t>
      </w:r>
      <w:r w:rsidR="00177848" w:rsidRPr="00C6052E">
        <w:t xml:space="preserve"> </w:t>
      </w:r>
      <w:r w:rsidRPr="00C6052E">
        <w:t>26:</w:t>
      </w:r>
      <w:r w:rsidR="00177848" w:rsidRPr="00C6052E">
        <w:t xml:space="preserve"> </w:t>
      </w:r>
      <w:r w:rsidRPr="00C6052E">
        <w:t>Output</w:t>
      </w:r>
      <w:r w:rsidR="00177848" w:rsidRPr="00C6052E">
        <w:t xml:space="preserve"> </w:t>
      </w:r>
      <w:r w:rsidRPr="00C6052E">
        <w:t>–</w:t>
      </w:r>
      <w:r w:rsidR="00177848" w:rsidRPr="00C6052E">
        <w:t xml:space="preserve"> </w:t>
      </w:r>
      <w:r w:rsidRPr="00C6052E">
        <w:t>Tourism</w:t>
      </w:r>
      <w:r w:rsidR="00177848" w:rsidRPr="00C6052E">
        <w:t xml:space="preserve"> </w:t>
      </w:r>
      <w:r w:rsidRPr="00C6052E">
        <w:t>and</w:t>
      </w:r>
      <w:r w:rsidR="00177848" w:rsidRPr="00C6052E">
        <w:t xml:space="preserve"> </w:t>
      </w:r>
      <w:r w:rsidRPr="00C6052E">
        <w:t>Major</w:t>
      </w:r>
      <w:r w:rsidR="00177848" w:rsidRPr="00C6052E">
        <w:t xml:space="preserve"> </w:t>
      </w:r>
      <w:r w:rsidRPr="00C6052E">
        <w:t>Events</w:t>
      </w:r>
    </w:p>
    <w:tbl>
      <w:tblPr>
        <w:tblStyle w:val="TableGrid"/>
        <w:tblW w:w="9747" w:type="dxa"/>
        <w:tblLayout w:type="fixed"/>
        <w:tblLook w:val="04A0" w:firstRow="1" w:lastRow="0" w:firstColumn="1" w:lastColumn="0" w:noHBand="0" w:noVBand="1"/>
      </w:tblPr>
      <w:tblGrid>
        <w:gridCol w:w="4531"/>
        <w:gridCol w:w="1020"/>
        <w:gridCol w:w="1020"/>
        <w:gridCol w:w="1020"/>
        <w:gridCol w:w="1361"/>
        <w:gridCol w:w="795"/>
      </w:tblGrid>
      <w:tr w:rsidR="00EE5BB8" w:rsidRPr="00C6052E" w14:paraId="73C8272F" w14:textId="77777777" w:rsidTr="00B1545C">
        <w:trPr>
          <w:cantSplit/>
          <w:tblHeader/>
        </w:trPr>
        <w:tc>
          <w:tcPr>
            <w:tcW w:w="4531" w:type="dxa"/>
            <w:hideMark/>
          </w:tcPr>
          <w:p w14:paraId="21D4AC43" w14:textId="52D201B0" w:rsidR="00EE5BB8" w:rsidRPr="00C6052E" w:rsidRDefault="00EE5BB8" w:rsidP="00B1545C">
            <w:pPr>
              <w:pStyle w:val="TableColumnHeading"/>
              <w:rPr>
                <w:lang w:val="en-AU"/>
              </w:rPr>
            </w:pPr>
            <w:bookmarkStart w:id="48" w:name="TableColumnHeadings_34"/>
            <w:bookmarkEnd w:id="48"/>
            <w:r w:rsidRPr="00C6052E">
              <w:rPr>
                <w:lang w:val="en-AU"/>
              </w:rPr>
              <w:t>Performance</w:t>
            </w:r>
            <w:r w:rsidR="00B1545C" w:rsidRPr="00C6052E">
              <w:rPr>
                <w:lang w:val="en-AU"/>
              </w:rPr>
              <w:t xml:space="preserve"> </w:t>
            </w:r>
            <w:r w:rsidRPr="00C6052E">
              <w:rPr>
                <w:lang w:val="en-AU"/>
              </w:rPr>
              <w:t>measures</w:t>
            </w:r>
          </w:p>
        </w:tc>
        <w:tc>
          <w:tcPr>
            <w:tcW w:w="1020" w:type="dxa"/>
            <w:hideMark/>
          </w:tcPr>
          <w:p w14:paraId="76E14786" w14:textId="1E9E1F92" w:rsidR="00EE5BB8" w:rsidRPr="00C6052E" w:rsidRDefault="00EE5BB8" w:rsidP="00B1545C">
            <w:pPr>
              <w:pStyle w:val="TableColumnHeading"/>
              <w:jc w:val="right"/>
              <w:rPr>
                <w:lang w:val="en-AU"/>
              </w:rPr>
            </w:pPr>
            <w:r w:rsidRPr="00C6052E">
              <w:rPr>
                <w:lang w:val="en-AU"/>
              </w:rPr>
              <w:t>Unit</w:t>
            </w:r>
            <w:r w:rsidR="00B1545C"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3B81E0EE" w14:textId="77777777" w:rsidR="00EE5BB8" w:rsidRPr="00C6052E" w:rsidRDefault="00EE5BB8" w:rsidP="00B1545C">
            <w:pPr>
              <w:pStyle w:val="TableColumnHeading"/>
              <w:jc w:val="right"/>
              <w:rPr>
                <w:lang w:val="en-AU"/>
              </w:rPr>
            </w:pPr>
            <w:r w:rsidRPr="00C6052E">
              <w:rPr>
                <w:lang w:val="en-AU"/>
              </w:rPr>
              <w:t>2024–25</w:t>
            </w:r>
            <w:r w:rsidRPr="00C6052E">
              <w:rPr>
                <w:lang w:val="en-AU"/>
              </w:rPr>
              <w:br/>
              <w:t>Actual</w:t>
            </w:r>
          </w:p>
        </w:tc>
        <w:tc>
          <w:tcPr>
            <w:tcW w:w="1020" w:type="dxa"/>
            <w:hideMark/>
          </w:tcPr>
          <w:p w14:paraId="009EF10B" w14:textId="0554DF38" w:rsidR="00EE5BB8" w:rsidRPr="00C6052E" w:rsidRDefault="00EE5BB8" w:rsidP="00B1545C">
            <w:pPr>
              <w:pStyle w:val="TableColumnHeading"/>
              <w:jc w:val="right"/>
              <w:rPr>
                <w:lang w:val="en-AU"/>
              </w:rPr>
            </w:pPr>
            <w:r w:rsidRPr="00C6052E">
              <w:rPr>
                <w:lang w:val="en-AU"/>
              </w:rPr>
              <w:t>2024–25</w:t>
            </w:r>
            <w:r w:rsidR="00B1545C" w:rsidRPr="00C6052E">
              <w:rPr>
                <w:lang w:val="en-AU"/>
              </w:rPr>
              <w:t xml:space="preserve"> </w:t>
            </w:r>
            <w:r w:rsidRPr="00C6052E">
              <w:rPr>
                <w:lang w:val="en-AU"/>
              </w:rPr>
              <w:t>Target</w:t>
            </w:r>
          </w:p>
        </w:tc>
        <w:tc>
          <w:tcPr>
            <w:tcW w:w="1361" w:type="dxa"/>
            <w:hideMark/>
          </w:tcPr>
          <w:p w14:paraId="6C91D9A8" w14:textId="4A5AF4EC" w:rsidR="00EE5BB8" w:rsidRPr="00C6052E" w:rsidRDefault="00EE5BB8" w:rsidP="00B1545C">
            <w:pPr>
              <w:pStyle w:val="TableColumnHeading"/>
              <w:jc w:val="right"/>
              <w:rPr>
                <w:lang w:val="en-AU"/>
              </w:rPr>
            </w:pPr>
            <w:r w:rsidRPr="00C6052E">
              <w:rPr>
                <w:lang w:val="en-AU"/>
              </w:rPr>
              <w:t>Performance</w:t>
            </w:r>
            <w:r w:rsidR="00B1545C"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95" w:type="dxa"/>
            <w:hideMark/>
          </w:tcPr>
          <w:p w14:paraId="3257F7BF" w14:textId="77777777" w:rsidR="00EE5BB8" w:rsidRPr="00C6052E" w:rsidRDefault="00EE5BB8" w:rsidP="00B1545C">
            <w:pPr>
              <w:pStyle w:val="TableColumnHeading"/>
              <w:jc w:val="right"/>
              <w:rPr>
                <w:lang w:val="en-AU"/>
              </w:rPr>
            </w:pPr>
            <w:r w:rsidRPr="00C6052E">
              <w:rPr>
                <w:lang w:val="en-AU"/>
              </w:rPr>
              <w:t>Result</w:t>
            </w:r>
          </w:p>
        </w:tc>
      </w:tr>
      <w:tr w:rsidR="00B1545C" w:rsidRPr="00C6052E" w14:paraId="5B2F4E5D" w14:textId="77777777" w:rsidTr="009F5544">
        <w:trPr>
          <w:cantSplit/>
        </w:trPr>
        <w:tc>
          <w:tcPr>
            <w:tcW w:w="4531" w:type="dxa"/>
          </w:tcPr>
          <w:p w14:paraId="16BC37F4" w14:textId="3BCAF865" w:rsidR="00B1545C" w:rsidRPr="00C6052E" w:rsidRDefault="00B1545C" w:rsidP="00B1545C">
            <w:pPr>
              <w:pStyle w:val="TableHeading"/>
              <w:rPr>
                <w:lang w:val="en-AU"/>
              </w:rPr>
            </w:pPr>
            <w:r w:rsidRPr="00C6052E">
              <w:rPr>
                <w:lang w:val="en-AU"/>
              </w:rPr>
              <w:t>Quantity</w:t>
            </w:r>
          </w:p>
        </w:tc>
        <w:tc>
          <w:tcPr>
            <w:tcW w:w="1020" w:type="dxa"/>
          </w:tcPr>
          <w:p w14:paraId="4DBB4842" w14:textId="77777777" w:rsidR="00B1545C" w:rsidRPr="00C6052E" w:rsidRDefault="00B1545C" w:rsidP="00B1545C">
            <w:pPr>
              <w:pStyle w:val="TableHeading"/>
              <w:jc w:val="right"/>
              <w:rPr>
                <w:lang w:val="en-AU"/>
              </w:rPr>
            </w:pPr>
          </w:p>
        </w:tc>
        <w:tc>
          <w:tcPr>
            <w:tcW w:w="1020" w:type="dxa"/>
            <w:noWrap/>
          </w:tcPr>
          <w:p w14:paraId="24CFE3CB" w14:textId="77777777" w:rsidR="00B1545C" w:rsidRPr="00C6052E" w:rsidRDefault="00B1545C" w:rsidP="00B1545C">
            <w:pPr>
              <w:pStyle w:val="TableHeading"/>
              <w:jc w:val="right"/>
              <w:rPr>
                <w:lang w:val="en-AU"/>
              </w:rPr>
            </w:pPr>
          </w:p>
        </w:tc>
        <w:tc>
          <w:tcPr>
            <w:tcW w:w="1020" w:type="dxa"/>
            <w:noWrap/>
          </w:tcPr>
          <w:p w14:paraId="5662B817" w14:textId="77777777" w:rsidR="00B1545C" w:rsidRPr="00C6052E" w:rsidRDefault="00B1545C" w:rsidP="00B1545C">
            <w:pPr>
              <w:pStyle w:val="TableHeading"/>
              <w:jc w:val="right"/>
              <w:rPr>
                <w:lang w:val="en-AU"/>
              </w:rPr>
            </w:pPr>
          </w:p>
        </w:tc>
        <w:tc>
          <w:tcPr>
            <w:tcW w:w="1361" w:type="dxa"/>
            <w:noWrap/>
          </w:tcPr>
          <w:p w14:paraId="243D1FED" w14:textId="77777777" w:rsidR="00B1545C" w:rsidRPr="00C6052E" w:rsidRDefault="00B1545C" w:rsidP="00B1545C">
            <w:pPr>
              <w:pStyle w:val="TableHeading"/>
              <w:jc w:val="right"/>
              <w:rPr>
                <w:lang w:val="en-AU"/>
              </w:rPr>
            </w:pPr>
          </w:p>
        </w:tc>
        <w:tc>
          <w:tcPr>
            <w:tcW w:w="795" w:type="dxa"/>
            <w:noWrap/>
          </w:tcPr>
          <w:p w14:paraId="57FE8B35" w14:textId="77777777" w:rsidR="00B1545C" w:rsidRPr="00C6052E" w:rsidRDefault="00B1545C" w:rsidP="00B1545C">
            <w:pPr>
              <w:pStyle w:val="TableHeading"/>
              <w:jc w:val="right"/>
              <w:rPr>
                <w:lang w:val="en-AU"/>
              </w:rPr>
            </w:pPr>
          </w:p>
        </w:tc>
      </w:tr>
      <w:tr w:rsidR="00EE5BB8" w:rsidRPr="00C6052E" w14:paraId="0A7B4A47" w14:textId="77777777" w:rsidTr="00B1545C">
        <w:trPr>
          <w:cantSplit/>
        </w:trPr>
        <w:tc>
          <w:tcPr>
            <w:tcW w:w="4531" w:type="dxa"/>
            <w:hideMark/>
          </w:tcPr>
          <w:p w14:paraId="4B3ED827" w14:textId="77777777" w:rsidR="00EE5BB8" w:rsidRDefault="00EE5BB8" w:rsidP="0063097D">
            <w:pPr>
              <w:pStyle w:val="TableCopy"/>
              <w:rPr>
                <w:lang w:val="en-AU"/>
              </w:rPr>
            </w:pPr>
            <w:r w:rsidRPr="00C6052E">
              <w:rPr>
                <w:lang w:val="en-AU"/>
              </w:rPr>
              <w:t>Always</w:t>
            </w:r>
            <w:r w:rsidR="00177848" w:rsidRPr="00C6052E">
              <w:rPr>
                <w:lang w:val="en-AU"/>
              </w:rPr>
              <w:t xml:space="preserve"> </w:t>
            </w:r>
            <w:r w:rsidRPr="00C6052E">
              <w:rPr>
                <w:lang w:val="en-AU"/>
              </w:rPr>
              <w:t>Live</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held</w:t>
            </w:r>
          </w:p>
          <w:p w14:paraId="07D30D75" w14:textId="71CFF113" w:rsidR="00006100" w:rsidRPr="00C6052E" w:rsidRDefault="00006100" w:rsidP="00006100">
            <w:pPr>
              <w:pStyle w:val="Tablenotes-indented"/>
              <w:ind w:left="227" w:firstLine="0"/>
              <w:rPr>
                <w:lang w:val="en-AU"/>
              </w:rPr>
            </w:pPr>
            <w:r w:rsidRPr="00C6052E">
              <w:rPr>
                <w:lang w:val="en-AU"/>
              </w:rPr>
              <w:t>Higher result due to a higher number of events held.</w:t>
            </w:r>
          </w:p>
        </w:tc>
        <w:tc>
          <w:tcPr>
            <w:tcW w:w="1020" w:type="dxa"/>
            <w:hideMark/>
          </w:tcPr>
          <w:p w14:paraId="46B7E5D8" w14:textId="77777777" w:rsidR="00EE5BB8" w:rsidRPr="00C6052E" w:rsidRDefault="00EE5BB8" w:rsidP="00B1545C">
            <w:pPr>
              <w:pStyle w:val="TableCopy"/>
              <w:jc w:val="right"/>
              <w:rPr>
                <w:lang w:val="en-AU"/>
              </w:rPr>
            </w:pPr>
            <w:r w:rsidRPr="00C6052E">
              <w:rPr>
                <w:lang w:val="en-AU"/>
              </w:rPr>
              <w:t>number</w:t>
            </w:r>
          </w:p>
        </w:tc>
        <w:tc>
          <w:tcPr>
            <w:tcW w:w="1020" w:type="dxa"/>
            <w:noWrap/>
            <w:hideMark/>
          </w:tcPr>
          <w:p w14:paraId="17F96CFB" w14:textId="77777777" w:rsidR="00EE5BB8" w:rsidRPr="00C6052E" w:rsidRDefault="00EE5BB8" w:rsidP="00B1545C">
            <w:pPr>
              <w:pStyle w:val="TableCopy"/>
              <w:jc w:val="right"/>
              <w:rPr>
                <w:lang w:val="en-AU"/>
              </w:rPr>
            </w:pPr>
            <w:r w:rsidRPr="00C6052E">
              <w:rPr>
                <w:lang w:val="en-AU"/>
              </w:rPr>
              <w:t>52</w:t>
            </w:r>
          </w:p>
        </w:tc>
        <w:tc>
          <w:tcPr>
            <w:tcW w:w="1020" w:type="dxa"/>
            <w:noWrap/>
            <w:hideMark/>
          </w:tcPr>
          <w:p w14:paraId="56D6A708" w14:textId="77777777" w:rsidR="00EE5BB8" w:rsidRPr="00C6052E" w:rsidRDefault="00EE5BB8" w:rsidP="00B1545C">
            <w:pPr>
              <w:pStyle w:val="TableCopy"/>
              <w:jc w:val="right"/>
              <w:rPr>
                <w:lang w:val="en-AU"/>
              </w:rPr>
            </w:pPr>
            <w:r w:rsidRPr="00C6052E">
              <w:rPr>
                <w:lang w:val="en-AU"/>
              </w:rPr>
              <w:t>40</w:t>
            </w:r>
          </w:p>
        </w:tc>
        <w:tc>
          <w:tcPr>
            <w:tcW w:w="1361" w:type="dxa"/>
            <w:noWrap/>
            <w:hideMark/>
          </w:tcPr>
          <w:p w14:paraId="03D2D38C" w14:textId="77777777" w:rsidR="00EE5BB8" w:rsidRPr="00C6052E" w:rsidRDefault="00EE5BB8" w:rsidP="00B1545C">
            <w:pPr>
              <w:pStyle w:val="TableCopy"/>
              <w:jc w:val="right"/>
              <w:rPr>
                <w:lang w:val="en-AU"/>
              </w:rPr>
            </w:pPr>
            <w:r w:rsidRPr="00C6052E">
              <w:rPr>
                <w:lang w:val="en-AU"/>
              </w:rPr>
              <w:t>30.0%</w:t>
            </w:r>
          </w:p>
        </w:tc>
        <w:tc>
          <w:tcPr>
            <w:tcW w:w="795" w:type="dxa"/>
            <w:noWrap/>
            <w:hideMark/>
          </w:tcPr>
          <w:p w14:paraId="4A0A5C14" w14:textId="64AD40AB" w:rsidR="00EE5BB8" w:rsidRPr="00C6052E" w:rsidRDefault="00B1545C" w:rsidP="00B1545C">
            <w:pPr>
              <w:pStyle w:val="TableCopy"/>
              <w:jc w:val="right"/>
              <w:rPr>
                <w:lang w:val="en-AU"/>
              </w:rPr>
            </w:pPr>
            <w:r w:rsidRPr="00C6052E">
              <w:rPr>
                <w:lang w:val="en-AU"/>
              </w:rPr>
              <w:t>1</w:t>
            </w:r>
          </w:p>
        </w:tc>
      </w:tr>
      <w:tr w:rsidR="00EE5BB8" w:rsidRPr="00C6052E" w14:paraId="538DEB50" w14:textId="77777777" w:rsidTr="00B1545C">
        <w:trPr>
          <w:cantSplit/>
        </w:trPr>
        <w:tc>
          <w:tcPr>
            <w:tcW w:w="4531" w:type="dxa"/>
            <w:hideMark/>
          </w:tcPr>
          <w:p w14:paraId="718ED8F5" w14:textId="77777777" w:rsidR="00EE5BB8" w:rsidRDefault="00EE5BB8" w:rsidP="0063097D">
            <w:pPr>
              <w:pStyle w:val="TableCopy"/>
              <w:rPr>
                <w:lang w:val="en-AU"/>
              </w:rPr>
            </w:pPr>
            <w:r w:rsidRPr="00C6052E">
              <w:rPr>
                <w:lang w:val="en-AU"/>
              </w:rPr>
              <w:t>Major</w:t>
            </w:r>
            <w:r w:rsidR="00177848" w:rsidRPr="00C6052E">
              <w:rPr>
                <w:lang w:val="en-AU"/>
              </w:rPr>
              <w:t xml:space="preserve"> </w:t>
            </w:r>
            <w:r w:rsidRPr="00C6052E">
              <w:rPr>
                <w:lang w:val="en-AU"/>
              </w:rPr>
              <w:t>sporting</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cultural</w:t>
            </w:r>
            <w:r w:rsidR="00177848" w:rsidRPr="00C6052E">
              <w:rPr>
                <w:lang w:val="en-AU"/>
              </w:rPr>
              <w:t xml:space="preserve"> </w:t>
            </w:r>
            <w:r w:rsidRPr="00C6052E">
              <w:rPr>
                <w:lang w:val="en-AU"/>
              </w:rPr>
              <w:t>events</w:t>
            </w:r>
            <w:r w:rsidR="00177848" w:rsidRPr="00C6052E">
              <w:rPr>
                <w:lang w:val="en-AU"/>
              </w:rPr>
              <w:t xml:space="preserve"> </w:t>
            </w:r>
            <w:r w:rsidRPr="00C6052E">
              <w:rPr>
                <w:lang w:val="en-AU"/>
              </w:rPr>
              <w:t>held</w:t>
            </w:r>
          </w:p>
          <w:p w14:paraId="75654B1E" w14:textId="0F10252A" w:rsidR="005D78C4" w:rsidRPr="00C6052E" w:rsidRDefault="005D78C4" w:rsidP="005D78C4">
            <w:pPr>
              <w:pStyle w:val="Tablenotes-indented"/>
              <w:ind w:left="227" w:firstLine="0"/>
              <w:rPr>
                <w:lang w:val="en-AU"/>
              </w:rPr>
            </w:pPr>
            <w:r w:rsidRPr="00C6052E">
              <w:rPr>
                <w:lang w:val="en-AU"/>
              </w:rPr>
              <w:t>Higher result due to additional event content being secured.</w:t>
            </w:r>
          </w:p>
        </w:tc>
        <w:tc>
          <w:tcPr>
            <w:tcW w:w="1020" w:type="dxa"/>
            <w:hideMark/>
          </w:tcPr>
          <w:p w14:paraId="49FFA334" w14:textId="77777777" w:rsidR="00EE5BB8" w:rsidRPr="00C6052E" w:rsidRDefault="00EE5BB8" w:rsidP="00B1545C">
            <w:pPr>
              <w:pStyle w:val="TableCopy"/>
              <w:jc w:val="right"/>
              <w:rPr>
                <w:lang w:val="en-AU"/>
              </w:rPr>
            </w:pPr>
            <w:r w:rsidRPr="00C6052E">
              <w:rPr>
                <w:lang w:val="en-AU"/>
              </w:rPr>
              <w:t>number</w:t>
            </w:r>
          </w:p>
        </w:tc>
        <w:tc>
          <w:tcPr>
            <w:tcW w:w="1020" w:type="dxa"/>
            <w:noWrap/>
            <w:hideMark/>
          </w:tcPr>
          <w:p w14:paraId="6F24CB8B" w14:textId="77777777" w:rsidR="00EE5BB8" w:rsidRPr="00C6052E" w:rsidRDefault="00EE5BB8" w:rsidP="00B1545C">
            <w:pPr>
              <w:pStyle w:val="TableCopy"/>
              <w:jc w:val="right"/>
              <w:rPr>
                <w:lang w:val="en-AU"/>
              </w:rPr>
            </w:pPr>
            <w:r w:rsidRPr="00C6052E">
              <w:rPr>
                <w:lang w:val="en-AU"/>
              </w:rPr>
              <w:t>23</w:t>
            </w:r>
          </w:p>
        </w:tc>
        <w:tc>
          <w:tcPr>
            <w:tcW w:w="1020" w:type="dxa"/>
            <w:noWrap/>
            <w:hideMark/>
          </w:tcPr>
          <w:p w14:paraId="71A1828A" w14:textId="77777777" w:rsidR="00EE5BB8" w:rsidRPr="00C6052E" w:rsidRDefault="00EE5BB8" w:rsidP="00B1545C">
            <w:pPr>
              <w:pStyle w:val="TableCopy"/>
              <w:jc w:val="right"/>
              <w:rPr>
                <w:lang w:val="en-AU"/>
              </w:rPr>
            </w:pPr>
            <w:r w:rsidRPr="00C6052E">
              <w:rPr>
                <w:lang w:val="en-AU"/>
              </w:rPr>
              <w:t>21</w:t>
            </w:r>
          </w:p>
        </w:tc>
        <w:tc>
          <w:tcPr>
            <w:tcW w:w="1361" w:type="dxa"/>
            <w:noWrap/>
            <w:hideMark/>
          </w:tcPr>
          <w:p w14:paraId="5C19C977" w14:textId="77777777" w:rsidR="00EE5BB8" w:rsidRPr="00C6052E" w:rsidRDefault="00EE5BB8" w:rsidP="00B1545C">
            <w:pPr>
              <w:pStyle w:val="TableCopy"/>
              <w:jc w:val="right"/>
              <w:rPr>
                <w:lang w:val="en-AU"/>
              </w:rPr>
            </w:pPr>
            <w:r w:rsidRPr="00C6052E">
              <w:rPr>
                <w:lang w:val="en-AU"/>
              </w:rPr>
              <w:t>9.5%</w:t>
            </w:r>
          </w:p>
        </w:tc>
        <w:tc>
          <w:tcPr>
            <w:tcW w:w="795" w:type="dxa"/>
            <w:noWrap/>
            <w:hideMark/>
          </w:tcPr>
          <w:p w14:paraId="6452B245" w14:textId="64E71E54" w:rsidR="00EE5BB8" w:rsidRPr="00C6052E" w:rsidRDefault="00B1545C" w:rsidP="00B1545C">
            <w:pPr>
              <w:pStyle w:val="TableCopy"/>
              <w:jc w:val="right"/>
              <w:rPr>
                <w:lang w:val="en-AU"/>
              </w:rPr>
            </w:pPr>
            <w:r w:rsidRPr="00C6052E">
              <w:rPr>
                <w:lang w:val="en-AU"/>
              </w:rPr>
              <w:t>1</w:t>
            </w:r>
          </w:p>
        </w:tc>
      </w:tr>
      <w:tr w:rsidR="00EE5BB8" w:rsidRPr="00C6052E" w14:paraId="1F5EC3F2" w14:textId="77777777" w:rsidTr="00B1545C">
        <w:trPr>
          <w:cantSplit/>
        </w:trPr>
        <w:tc>
          <w:tcPr>
            <w:tcW w:w="4531" w:type="dxa"/>
            <w:hideMark/>
          </w:tcPr>
          <w:p w14:paraId="6A785E89" w14:textId="310A9759" w:rsidR="00EE5BB8" w:rsidRPr="00C6052E" w:rsidRDefault="00EE5BB8" w:rsidP="0063097D">
            <w:pPr>
              <w:pStyle w:val="TableCopy"/>
              <w:rPr>
                <w:lang w:val="en-AU"/>
              </w:rPr>
            </w:pPr>
            <w:r w:rsidRPr="00C6052E">
              <w:rPr>
                <w:lang w:val="en-AU"/>
              </w:rPr>
              <w:t>Tourism</w:t>
            </w:r>
            <w:r w:rsidR="00177848" w:rsidRPr="00C6052E">
              <w:rPr>
                <w:lang w:val="en-AU"/>
              </w:rPr>
              <w:t xml:space="preserve"> </w:t>
            </w:r>
            <w:r w:rsidRPr="00C6052E">
              <w:rPr>
                <w:lang w:val="en-AU"/>
              </w:rPr>
              <w:t>infrastructure</w:t>
            </w:r>
            <w:r w:rsidR="00177848" w:rsidRPr="00C6052E">
              <w:rPr>
                <w:lang w:val="en-AU"/>
              </w:rPr>
              <w:t xml:space="preserve"> </w:t>
            </w:r>
            <w:r w:rsidRPr="00C6052E">
              <w:rPr>
                <w:lang w:val="en-AU"/>
              </w:rPr>
              <w:t>projects</w:t>
            </w:r>
            <w:r w:rsidR="00177848" w:rsidRPr="00C6052E">
              <w:rPr>
                <w:lang w:val="en-AU"/>
              </w:rPr>
              <w:t xml:space="preserve"> </w:t>
            </w:r>
            <w:r w:rsidRPr="00C6052E">
              <w:rPr>
                <w:lang w:val="en-AU"/>
              </w:rPr>
              <w:t>facilitated</w:t>
            </w:r>
          </w:p>
        </w:tc>
        <w:tc>
          <w:tcPr>
            <w:tcW w:w="1020" w:type="dxa"/>
            <w:hideMark/>
          </w:tcPr>
          <w:p w14:paraId="26CF9BEA" w14:textId="77777777" w:rsidR="00EE5BB8" w:rsidRPr="00C6052E" w:rsidRDefault="00EE5BB8" w:rsidP="00B1545C">
            <w:pPr>
              <w:pStyle w:val="TableCopy"/>
              <w:jc w:val="right"/>
              <w:rPr>
                <w:lang w:val="en-AU"/>
              </w:rPr>
            </w:pPr>
            <w:r w:rsidRPr="00C6052E">
              <w:rPr>
                <w:lang w:val="en-AU"/>
              </w:rPr>
              <w:t>number</w:t>
            </w:r>
          </w:p>
        </w:tc>
        <w:tc>
          <w:tcPr>
            <w:tcW w:w="1020" w:type="dxa"/>
            <w:noWrap/>
            <w:hideMark/>
          </w:tcPr>
          <w:p w14:paraId="059D3A4D" w14:textId="77777777" w:rsidR="00EE5BB8" w:rsidRPr="00C6052E" w:rsidRDefault="00EE5BB8" w:rsidP="00B1545C">
            <w:pPr>
              <w:pStyle w:val="TableCopy"/>
              <w:jc w:val="right"/>
              <w:rPr>
                <w:lang w:val="en-AU"/>
              </w:rPr>
            </w:pPr>
            <w:r w:rsidRPr="00C6052E">
              <w:rPr>
                <w:lang w:val="en-AU"/>
              </w:rPr>
              <w:t>38</w:t>
            </w:r>
          </w:p>
        </w:tc>
        <w:tc>
          <w:tcPr>
            <w:tcW w:w="1020" w:type="dxa"/>
            <w:noWrap/>
            <w:hideMark/>
          </w:tcPr>
          <w:p w14:paraId="7BD24AB9" w14:textId="77777777" w:rsidR="00EE5BB8" w:rsidRPr="00C6052E" w:rsidRDefault="00EE5BB8" w:rsidP="00B1545C">
            <w:pPr>
              <w:pStyle w:val="TableCopy"/>
              <w:jc w:val="right"/>
              <w:rPr>
                <w:lang w:val="en-AU"/>
              </w:rPr>
            </w:pPr>
            <w:r w:rsidRPr="00C6052E">
              <w:rPr>
                <w:lang w:val="en-AU"/>
              </w:rPr>
              <w:t>38</w:t>
            </w:r>
          </w:p>
        </w:tc>
        <w:tc>
          <w:tcPr>
            <w:tcW w:w="1361" w:type="dxa"/>
            <w:noWrap/>
            <w:hideMark/>
          </w:tcPr>
          <w:p w14:paraId="4D89A899" w14:textId="77777777" w:rsidR="00EE5BB8" w:rsidRPr="00C6052E" w:rsidRDefault="00EE5BB8" w:rsidP="00B1545C">
            <w:pPr>
              <w:pStyle w:val="TableCopy"/>
              <w:jc w:val="right"/>
              <w:rPr>
                <w:lang w:val="en-AU"/>
              </w:rPr>
            </w:pPr>
            <w:r w:rsidRPr="00C6052E">
              <w:rPr>
                <w:lang w:val="en-AU"/>
              </w:rPr>
              <w:t>0.0%</w:t>
            </w:r>
          </w:p>
        </w:tc>
        <w:tc>
          <w:tcPr>
            <w:tcW w:w="795" w:type="dxa"/>
            <w:noWrap/>
            <w:hideMark/>
          </w:tcPr>
          <w:p w14:paraId="3515C622" w14:textId="7BC796D9" w:rsidR="00EE5BB8" w:rsidRPr="00C6052E" w:rsidRDefault="00B1545C" w:rsidP="00B1545C">
            <w:pPr>
              <w:pStyle w:val="TableCopy"/>
              <w:jc w:val="right"/>
              <w:rPr>
                <w:lang w:val="en-AU"/>
              </w:rPr>
            </w:pPr>
            <w:r w:rsidRPr="00C6052E">
              <w:rPr>
                <w:lang w:val="en-AU"/>
              </w:rPr>
              <w:t>1</w:t>
            </w:r>
          </w:p>
        </w:tc>
      </w:tr>
      <w:tr w:rsidR="00EE5BB8" w:rsidRPr="00C6052E" w14:paraId="1B52086B" w14:textId="77777777" w:rsidTr="00B1545C">
        <w:trPr>
          <w:cantSplit/>
        </w:trPr>
        <w:tc>
          <w:tcPr>
            <w:tcW w:w="4531" w:type="dxa"/>
            <w:hideMark/>
          </w:tcPr>
          <w:p w14:paraId="1D8D67CA" w14:textId="77777777" w:rsidR="00EE5BB8" w:rsidRDefault="00EE5BB8" w:rsidP="0063097D">
            <w:pPr>
              <w:pStyle w:val="TableCopy"/>
              <w:rPr>
                <w:lang w:val="en-AU"/>
              </w:rPr>
            </w:pPr>
            <w:r w:rsidRPr="00C6052E">
              <w:rPr>
                <w:lang w:val="en-AU"/>
              </w:rPr>
              <w:t>Visit</w:t>
            </w:r>
            <w:r w:rsidR="00177848" w:rsidRPr="00C6052E">
              <w:rPr>
                <w:lang w:val="en-AU"/>
              </w:rPr>
              <w:t xml:space="preserve"> </w:t>
            </w:r>
            <w:r w:rsidRPr="00C6052E">
              <w:rPr>
                <w:lang w:val="en-AU"/>
              </w:rPr>
              <w:t>Victoria’s</w:t>
            </w:r>
            <w:r w:rsidR="00177848" w:rsidRPr="00C6052E">
              <w:rPr>
                <w:lang w:val="en-AU"/>
              </w:rPr>
              <w:t xml:space="preserve"> </w:t>
            </w:r>
            <w:r w:rsidRPr="00C6052E">
              <w:rPr>
                <w:lang w:val="en-AU"/>
              </w:rPr>
              <w:t>total</w:t>
            </w:r>
            <w:r w:rsidR="00177848" w:rsidRPr="00C6052E">
              <w:rPr>
                <w:lang w:val="en-AU"/>
              </w:rPr>
              <w:t xml:space="preserve"> </w:t>
            </w:r>
            <w:r w:rsidRPr="00C6052E">
              <w:rPr>
                <w:lang w:val="en-AU"/>
              </w:rPr>
              <w:t>engaged</w:t>
            </w:r>
            <w:r w:rsidR="00177848" w:rsidRPr="00C6052E">
              <w:rPr>
                <w:lang w:val="en-AU"/>
              </w:rPr>
              <w:t xml:space="preserve"> </w:t>
            </w:r>
            <w:r w:rsidRPr="00C6052E">
              <w:rPr>
                <w:lang w:val="en-AU"/>
              </w:rPr>
              <w:t>digital</w:t>
            </w:r>
            <w:r w:rsidR="00177848" w:rsidRPr="00C6052E">
              <w:rPr>
                <w:lang w:val="en-AU"/>
              </w:rPr>
              <w:t xml:space="preserve"> </w:t>
            </w:r>
            <w:r w:rsidRPr="00C6052E">
              <w:rPr>
                <w:lang w:val="en-AU"/>
              </w:rPr>
              <w:t>audience</w:t>
            </w:r>
          </w:p>
          <w:p w14:paraId="118FDA3B" w14:textId="7B7B0E16" w:rsidR="005D78C4" w:rsidRPr="00C6052E" w:rsidRDefault="005D78C4" w:rsidP="005D78C4">
            <w:pPr>
              <w:pStyle w:val="Tablenotes-indented"/>
              <w:ind w:left="227" w:firstLine="0"/>
              <w:rPr>
                <w:lang w:val="en-AU"/>
              </w:rPr>
            </w:pPr>
            <w:r w:rsidRPr="00C6052E">
              <w:rPr>
                <w:lang w:val="en-AU"/>
              </w:rPr>
              <w:t>Higher result due to an increase in website traffic due to paid media activities.</w:t>
            </w:r>
          </w:p>
        </w:tc>
        <w:tc>
          <w:tcPr>
            <w:tcW w:w="1020" w:type="dxa"/>
            <w:hideMark/>
          </w:tcPr>
          <w:p w14:paraId="56B3CF91" w14:textId="59CF23C9" w:rsidR="00EE5BB8" w:rsidRPr="00C6052E" w:rsidRDefault="00EE5BB8" w:rsidP="00B1545C">
            <w:pPr>
              <w:pStyle w:val="TableCopy"/>
              <w:jc w:val="right"/>
              <w:rPr>
                <w:lang w:val="en-AU"/>
              </w:rPr>
            </w:pPr>
            <w:r w:rsidRPr="00C6052E">
              <w:rPr>
                <w:lang w:val="en-AU"/>
              </w:rPr>
              <w:t>number</w:t>
            </w:r>
            <w:r w:rsidR="00177848" w:rsidRPr="00C6052E">
              <w:rPr>
                <w:lang w:val="en-AU"/>
              </w:rPr>
              <w:t xml:space="preserve"> </w:t>
            </w:r>
            <w:r w:rsidRPr="00C6052E">
              <w:rPr>
                <w:lang w:val="en-AU"/>
              </w:rPr>
              <w:t>(million)</w:t>
            </w:r>
          </w:p>
        </w:tc>
        <w:tc>
          <w:tcPr>
            <w:tcW w:w="1020" w:type="dxa"/>
            <w:noWrap/>
            <w:hideMark/>
          </w:tcPr>
          <w:p w14:paraId="4B2EC81D" w14:textId="77777777" w:rsidR="00EE5BB8" w:rsidRPr="00C6052E" w:rsidRDefault="00EE5BB8" w:rsidP="00B1545C">
            <w:pPr>
              <w:pStyle w:val="TableCopy"/>
              <w:jc w:val="right"/>
              <w:rPr>
                <w:lang w:val="en-AU"/>
              </w:rPr>
            </w:pPr>
            <w:r w:rsidRPr="00C6052E">
              <w:rPr>
                <w:lang w:val="en-AU"/>
              </w:rPr>
              <w:t>7</w:t>
            </w:r>
          </w:p>
        </w:tc>
        <w:tc>
          <w:tcPr>
            <w:tcW w:w="1020" w:type="dxa"/>
            <w:noWrap/>
            <w:hideMark/>
          </w:tcPr>
          <w:p w14:paraId="5CBFE397" w14:textId="77777777" w:rsidR="00EE5BB8" w:rsidRPr="00C6052E" w:rsidRDefault="00EE5BB8" w:rsidP="00B1545C">
            <w:pPr>
              <w:pStyle w:val="TableCopy"/>
              <w:jc w:val="right"/>
              <w:rPr>
                <w:lang w:val="en-AU"/>
              </w:rPr>
            </w:pPr>
            <w:r w:rsidRPr="00C6052E">
              <w:rPr>
                <w:lang w:val="en-AU"/>
              </w:rPr>
              <w:t>5.9</w:t>
            </w:r>
          </w:p>
        </w:tc>
        <w:tc>
          <w:tcPr>
            <w:tcW w:w="1361" w:type="dxa"/>
            <w:noWrap/>
            <w:hideMark/>
          </w:tcPr>
          <w:p w14:paraId="488AF6A4" w14:textId="77777777" w:rsidR="00EE5BB8" w:rsidRPr="00C6052E" w:rsidRDefault="00EE5BB8" w:rsidP="00B1545C">
            <w:pPr>
              <w:pStyle w:val="TableCopy"/>
              <w:jc w:val="right"/>
              <w:rPr>
                <w:lang w:val="en-AU"/>
              </w:rPr>
            </w:pPr>
            <w:r w:rsidRPr="00C6052E">
              <w:rPr>
                <w:lang w:val="en-AU"/>
              </w:rPr>
              <w:t>18.6%</w:t>
            </w:r>
          </w:p>
        </w:tc>
        <w:tc>
          <w:tcPr>
            <w:tcW w:w="795" w:type="dxa"/>
            <w:noWrap/>
            <w:hideMark/>
          </w:tcPr>
          <w:p w14:paraId="1624C2CE" w14:textId="313B1142" w:rsidR="00EE5BB8" w:rsidRPr="00C6052E" w:rsidRDefault="00B1545C" w:rsidP="00B1545C">
            <w:pPr>
              <w:pStyle w:val="TableCopy"/>
              <w:jc w:val="right"/>
              <w:rPr>
                <w:lang w:val="en-AU"/>
              </w:rPr>
            </w:pPr>
            <w:r w:rsidRPr="00C6052E">
              <w:rPr>
                <w:lang w:val="en-AU"/>
              </w:rPr>
              <w:t>1</w:t>
            </w:r>
          </w:p>
        </w:tc>
      </w:tr>
      <w:tr w:rsidR="00EE5BB8" w:rsidRPr="00C6052E" w14:paraId="07484F05" w14:textId="77777777" w:rsidTr="00B1545C">
        <w:trPr>
          <w:cantSplit/>
        </w:trPr>
        <w:tc>
          <w:tcPr>
            <w:tcW w:w="4531" w:type="dxa"/>
            <w:hideMark/>
          </w:tcPr>
          <w:p w14:paraId="32D5AE9F" w14:textId="7E47F2DE" w:rsidR="00EE5BB8" w:rsidRPr="00C6052E" w:rsidRDefault="00EE5BB8" w:rsidP="0063097D">
            <w:pPr>
              <w:pStyle w:val="TableCopy"/>
              <w:rPr>
                <w:lang w:val="en-AU"/>
              </w:rPr>
            </w:pPr>
            <w:r w:rsidRPr="00C6052E">
              <w:rPr>
                <w:lang w:val="en-AU"/>
              </w:rPr>
              <w:t>Visitor</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domestic</w:t>
            </w:r>
          </w:p>
        </w:tc>
        <w:tc>
          <w:tcPr>
            <w:tcW w:w="1020" w:type="dxa"/>
            <w:hideMark/>
          </w:tcPr>
          <w:p w14:paraId="4A98CCD2" w14:textId="2B8BAF53" w:rsidR="00EE5BB8" w:rsidRPr="00C6052E" w:rsidRDefault="00EE5BB8" w:rsidP="00B1545C">
            <w:pPr>
              <w:pStyle w:val="TableCopy"/>
              <w:jc w:val="right"/>
              <w:rPr>
                <w:lang w:val="en-AU"/>
              </w:rPr>
            </w:pPr>
            <w:r w:rsidRPr="00C6052E">
              <w:rPr>
                <w:lang w:val="en-AU"/>
              </w:rPr>
              <w:t>$</w:t>
            </w:r>
            <w:r w:rsidR="00177848" w:rsidRPr="00C6052E">
              <w:rPr>
                <w:lang w:val="en-AU"/>
              </w:rPr>
              <w:t xml:space="preserve"> </w:t>
            </w:r>
            <w:r w:rsidRPr="00C6052E">
              <w:rPr>
                <w:lang w:val="en-AU"/>
              </w:rPr>
              <w:t>billion</w:t>
            </w:r>
          </w:p>
        </w:tc>
        <w:tc>
          <w:tcPr>
            <w:tcW w:w="1020" w:type="dxa"/>
            <w:noWrap/>
            <w:hideMark/>
          </w:tcPr>
          <w:p w14:paraId="62F683EE" w14:textId="77777777" w:rsidR="00EE5BB8" w:rsidRPr="00C6052E" w:rsidRDefault="00EE5BB8" w:rsidP="00B1545C">
            <w:pPr>
              <w:pStyle w:val="TableCopy"/>
              <w:jc w:val="right"/>
              <w:rPr>
                <w:lang w:val="en-AU"/>
              </w:rPr>
            </w:pPr>
            <w:r w:rsidRPr="00C6052E">
              <w:rPr>
                <w:lang w:val="en-AU"/>
              </w:rPr>
              <w:t>30.9</w:t>
            </w:r>
          </w:p>
        </w:tc>
        <w:tc>
          <w:tcPr>
            <w:tcW w:w="1020" w:type="dxa"/>
            <w:noWrap/>
            <w:hideMark/>
          </w:tcPr>
          <w:p w14:paraId="26303407" w14:textId="77777777" w:rsidR="00EE5BB8" w:rsidRPr="00C6052E" w:rsidRDefault="00EE5BB8" w:rsidP="00B1545C">
            <w:pPr>
              <w:pStyle w:val="TableCopy"/>
              <w:jc w:val="right"/>
              <w:rPr>
                <w:lang w:val="en-AU"/>
              </w:rPr>
            </w:pPr>
            <w:r w:rsidRPr="00C6052E">
              <w:rPr>
                <w:lang w:val="en-AU"/>
              </w:rPr>
              <w:t>31.3</w:t>
            </w:r>
          </w:p>
        </w:tc>
        <w:tc>
          <w:tcPr>
            <w:tcW w:w="1361" w:type="dxa"/>
            <w:noWrap/>
            <w:hideMark/>
          </w:tcPr>
          <w:p w14:paraId="2248BFF8" w14:textId="77777777" w:rsidR="00EE5BB8" w:rsidRPr="00C6052E" w:rsidRDefault="00EE5BB8" w:rsidP="00B1545C">
            <w:pPr>
              <w:pStyle w:val="TableCopy"/>
              <w:jc w:val="right"/>
              <w:rPr>
                <w:lang w:val="en-AU"/>
              </w:rPr>
            </w:pPr>
            <w:r w:rsidRPr="00C6052E">
              <w:rPr>
                <w:lang w:val="en-AU"/>
              </w:rPr>
              <w:t>-1.3%</w:t>
            </w:r>
          </w:p>
        </w:tc>
        <w:tc>
          <w:tcPr>
            <w:tcW w:w="795" w:type="dxa"/>
            <w:noWrap/>
            <w:hideMark/>
          </w:tcPr>
          <w:p w14:paraId="5BF95540" w14:textId="452ABCEF" w:rsidR="00EE5BB8" w:rsidRPr="00C6052E" w:rsidRDefault="00B1545C" w:rsidP="00B1545C">
            <w:pPr>
              <w:pStyle w:val="TableCopy"/>
              <w:jc w:val="right"/>
              <w:rPr>
                <w:lang w:val="en-AU"/>
              </w:rPr>
            </w:pPr>
            <w:r w:rsidRPr="00C6052E">
              <w:rPr>
                <w:lang w:val="en-AU"/>
              </w:rPr>
              <w:t>2</w:t>
            </w:r>
          </w:p>
        </w:tc>
      </w:tr>
      <w:tr w:rsidR="00EE5BB8" w:rsidRPr="00C6052E" w14:paraId="7C7DA0A5" w14:textId="77777777" w:rsidTr="00B1545C">
        <w:trPr>
          <w:cantSplit/>
        </w:trPr>
        <w:tc>
          <w:tcPr>
            <w:tcW w:w="4531" w:type="dxa"/>
            <w:hideMark/>
          </w:tcPr>
          <w:p w14:paraId="7C0C3354" w14:textId="1D649594" w:rsidR="00EE5BB8" w:rsidRPr="00C6052E" w:rsidRDefault="00EE5BB8" w:rsidP="0063097D">
            <w:pPr>
              <w:pStyle w:val="TableCopy"/>
              <w:rPr>
                <w:lang w:val="en-AU"/>
              </w:rPr>
            </w:pPr>
            <w:r w:rsidRPr="00C6052E">
              <w:rPr>
                <w:lang w:val="en-AU"/>
              </w:rPr>
              <w:t>Visitor</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international</w:t>
            </w:r>
          </w:p>
        </w:tc>
        <w:tc>
          <w:tcPr>
            <w:tcW w:w="1020" w:type="dxa"/>
            <w:hideMark/>
          </w:tcPr>
          <w:p w14:paraId="7B1A0669" w14:textId="2535F54B" w:rsidR="00EE5BB8" w:rsidRPr="00C6052E" w:rsidRDefault="00EE5BB8" w:rsidP="00B1545C">
            <w:pPr>
              <w:pStyle w:val="TableCopy"/>
              <w:jc w:val="right"/>
              <w:rPr>
                <w:lang w:val="en-AU"/>
              </w:rPr>
            </w:pPr>
            <w:r w:rsidRPr="00C6052E">
              <w:rPr>
                <w:lang w:val="en-AU"/>
              </w:rPr>
              <w:t>$</w:t>
            </w:r>
            <w:r w:rsidR="00177848" w:rsidRPr="00C6052E">
              <w:rPr>
                <w:lang w:val="en-AU"/>
              </w:rPr>
              <w:t xml:space="preserve"> </w:t>
            </w:r>
            <w:r w:rsidRPr="00C6052E">
              <w:rPr>
                <w:lang w:val="en-AU"/>
              </w:rPr>
              <w:t>billion</w:t>
            </w:r>
          </w:p>
        </w:tc>
        <w:tc>
          <w:tcPr>
            <w:tcW w:w="1020" w:type="dxa"/>
            <w:noWrap/>
            <w:hideMark/>
          </w:tcPr>
          <w:p w14:paraId="3074F5BD" w14:textId="77777777" w:rsidR="00EE5BB8" w:rsidRPr="00C6052E" w:rsidRDefault="00EE5BB8" w:rsidP="00B1545C">
            <w:pPr>
              <w:pStyle w:val="TableCopy"/>
              <w:jc w:val="right"/>
              <w:rPr>
                <w:lang w:val="en-AU"/>
              </w:rPr>
            </w:pPr>
            <w:r w:rsidRPr="00C6052E">
              <w:rPr>
                <w:lang w:val="en-AU"/>
              </w:rPr>
              <w:t>9.3</w:t>
            </w:r>
          </w:p>
        </w:tc>
        <w:tc>
          <w:tcPr>
            <w:tcW w:w="1020" w:type="dxa"/>
            <w:noWrap/>
            <w:hideMark/>
          </w:tcPr>
          <w:p w14:paraId="1204166D" w14:textId="77777777" w:rsidR="00EE5BB8" w:rsidRPr="00C6052E" w:rsidRDefault="00EE5BB8" w:rsidP="00B1545C">
            <w:pPr>
              <w:pStyle w:val="TableCopy"/>
              <w:jc w:val="right"/>
              <w:rPr>
                <w:lang w:val="en-AU"/>
              </w:rPr>
            </w:pPr>
            <w:r w:rsidRPr="00C6052E">
              <w:rPr>
                <w:lang w:val="en-AU"/>
              </w:rPr>
              <w:t>9</w:t>
            </w:r>
          </w:p>
        </w:tc>
        <w:tc>
          <w:tcPr>
            <w:tcW w:w="1361" w:type="dxa"/>
            <w:noWrap/>
            <w:hideMark/>
          </w:tcPr>
          <w:p w14:paraId="41DD0101" w14:textId="77777777" w:rsidR="00EE5BB8" w:rsidRPr="00C6052E" w:rsidRDefault="00EE5BB8" w:rsidP="00B1545C">
            <w:pPr>
              <w:pStyle w:val="TableCopy"/>
              <w:jc w:val="right"/>
              <w:rPr>
                <w:lang w:val="en-AU"/>
              </w:rPr>
            </w:pPr>
            <w:r w:rsidRPr="00C6052E">
              <w:rPr>
                <w:lang w:val="en-AU"/>
              </w:rPr>
              <w:t>3.3%</w:t>
            </w:r>
          </w:p>
        </w:tc>
        <w:tc>
          <w:tcPr>
            <w:tcW w:w="795" w:type="dxa"/>
            <w:noWrap/>
            <w:hideMark/>
          </w:tcPr>
          <w:p w14:paraId="567C600C" w14:textId="53361744" w:rsidR="00EE5BB8" w:rsidRPr="00C6052E" w:rsidRDefault="00B1545C" w:rsidP="00B1545C">
            <w:pPr>
              <w:pStyle w:val="TableCopy"/>
              <w:jc w:val="right"/>
              <w:rPr>
                <w:lang w:val="en-AU"/>
              </w:rPr>
            </w:pPr>
            <w:r w:rsidRPr="00C6052E">
              <w:rPr>
                <w:lang w:val="en-AU"/>
              </w:rPr>
              <w:t>1</w:t>
            </w:r>
          </w:p>
        </w:tc>
      </w:tr>
      <w:tr w:rsidR="00EE5BB8" w:rsidRPr="00C6052E" w14:paraId="641C88AA" w14:textId="77777777" w:rsidTr="00B1545C">
        <w:trPr>
          <w:cantSplit/>
        </w:trPr>
        <w:tc>
          <w:tcPr>
            <w:tcW w:w="4531" w:type="dxa"/>
            <w:hideMark/>
          </w:tcPr>
          <w:p w14:paraId="7A88D68B" w14:textId="7A528E5E" w:rsidR="00EE5BB8" w:rsidRPr="00C6052E" w:rsidRDefault="00EE5BB8" w:rsidP="0063097D">
            <w:pPr>
              <w:pStyle w:val="TableCopy"/>
              <w:rPr>
                <w:lang w:val="en-AU"/>
              </w:rPr>
            </w:pPr>
            <w:r w:rsidRPr="00C6052E">
              <w:rPr>
                <w:lang w:val="en-AU"/>
              </w:rPr>
              <w:t>Visitor</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(domestic)</w:t>
            </w:r>
          </w:p>
        </w:tc>
        <w:tc>
          <w:tcPr>
            <w:tcW w:w="1020" w:type="dxa"/>
            <w:hideMark/>
          </w:tcPr>
          <w:p w14:paraId="6E9B9565" w14:textId="680AF3F5" w:rsidR="00EE5BB8" w:rsidRPr="00C6052E" w:rsidRDefault="00EE5BB8" w:rsidP="00B1545C">
            <w:pPr>
              <w:pStyle w:val="TableCopy"/>
              <w:jc w:val="right"/>
              <w:rPr>
                <w:lang w:val="en-AU"/>
              </w:rPr>
            </w:pPr>
            <w:r w:rsidRPr="00C6052E">
              <w:rPr>
                <w:lang w:val="en-AU"/>
              </w:rPr>
              <w:t>$</w:t>
            </w:r>
            <w:r w:rsidR="00177848" w:rsidRPr="00C6052E">
              <w:rPr>
                <w:lang w:val="en-AU"/>
              </w:rPr>
              <w:t xml:space="preserve"> </w:t>
            </w:r>
            <w:r w:rsidRPr="00C6052E">
              <w:rPr>
                <w:lang w:val="en-AU"/>
              </w:rPr>
              <w:t>billion</w:t>
            </w:r>
          </w:p>
        </w:tc>
        <w:tc>
          <w:tcPr>
            <w:tcW w:w="1020" w:type="dxa"/>
            <w:noWrap/>
            <w:hideMark/>
          </w:tcPr>
          <w:p w14:paraId="61BF2A1E" w14:textId="77777777" w:rsidR="00EE5BB8" w:rsidRPr="00C6052E" w:rsidRDefault="00EE5BB8" w:rsidP="00B1545C">
            <w:pPr>
              <w:pStyle w:val="TableCopy"/>
              <w:jc w:val="right"/>
              <w:rPr>
                <w:lang w:val="en-AU"/>
              </w:rPr>
            </w:pPr>
            <w:r w:rsidRPr="00C6052E">
              <w:rPr>
                <w:lang w:val="en-AU"/>
              </w:rPr>
              <w:t>15.4</w:t>
            </w:r>
          </w:p>
        </w:tc>
        <w:tc>
          <w:tcPr>
            <w:tcW w:w="1020" w:type="dxa"/>
            <w:noWrap/>
            <w:hideMark/>
          </w:tcPr>
          <w:p w14:paraId="7DBFA66C" w14:textId="77777777" w:rsidR="00EE5BB8" w:rsidRPr="00C6052E" w:rsidRDefault="00EE5BB8" w:rsidP="00B1545C">
            <w:pPr>
              <w:pStyle w:val="TableCopy"/>
              <w:jc w:val="right"/>
              <w:rPr>
                <w:lang w:val="en-AU"/>
              </w:rPr>
            </w:pPr>
            <w:r w:rsidRPr="00C6052E">
              <w:rPr>
                <w:lang w:val="en-AU"/>
              </w:rPr>
              <w:t>16.1</w:t>
            </w:r>
          </w:p>
        </w:tc>
        <w:tc>
          <w:tcPr>
            <w:tcW w:w="1361" w:type="dxa"/>
            <w:noWrap/>
            <w:hideMark/>
          </w:tcPr>
          <w:p w14:paraId="3C608228" w14:textId="77777777" w:rsidR="00EE5BB8" w:rsidRPr="00C6052E" w:rsidRDefault="00EE5BB8" w:rsidP="00B1545C">
            <w:pPr>
              <w:pStyle w:val="TableCopy"/>
              <w:jc w:val="right"/>
              <w:rPr>
                <w:lang w:val="en-AU"/>
              </w:rPr>
            </w:pPr>
            <w:r w:rsidRPr="00C6052E">
              <w:rPr>
                <w:lang w:val="en-AU"/>
              </w:rPr>
              <w:t>-4.3%</w:t>
            </w:r>
          </w:p>
        </w:tc>
        <w:tc>
          <w:tcPr>
            <w:tcW w:w="795" w:type="dxa"/>
            <w:noWrap/>
            <w:hideMark/>
          </w:tcPr>
          <w:p w14:paraId="5D6E1B5C" w14:textId="4E355739" w:rsidR="00EE5BB8" w:rsidRPr="00C6052E" w:rsidRDefault="00B1545C" w:rsidP="00B1545C">
            <w:pPr>
              <w:pStyle w:val="TableCopy"/>
              <w:jc w:val="right"/>
              <w:rPr>
                <w:lang w:val="en-AU"/>
              </w:rPr>
            </w:pPr>
            <w:r w:rsidRPr="00C6052E">
              <w:rPr>
                <w:lang w:val="en-AU"/>
              </w:rPr>
              <w:t>2</w:t>
            </w:r>
          </w:p>
        </w:tc>
      </w:tr>
      <w:tr w:rsidR="00EE5BB8" w:rsidRPr="00C6052E" w14:paraId="5F5731E9" w14:textId="77777777" w:rsidTr="00B1545C">
        <w:trPr>
          <w:cantSplit/>
        </w:trPr>
        <w:tc>
          <w:tcPr>
            <w:tcW w:w="4531" w:type="dxa"/>
            <w:hideMark/>
          </w:tcPr>
          <w:p w14:paraId="1805BA65" w14:textId="77777777" w:rsidR="00EE5BB8" w:rsidRDefault="00EE5BB8" w:rsidP="00B1545C">
            <w:pPr>
              <w:pStyle w:val="TableCopy"/>
              <w:keepNext/>
              <w:rPr>
                <w:lang w:val="en-AU"/>
              </w:rPr>
            </w:pPr>
            <w:r w:rsidRPr="00C6052E">
              <w:rPr>
                <w:lang w:val="en-AU"/>
              </w:rPr>
              <w:t>Visitor</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(international)</w:t>
            </w:r>
          </w:p>
          <w:p w14:paraId="35B3BF58" w14:textId="1171B774" w:rsidR="005D78C4" w:rsidRPr="00C6052E" w:rsidRDefault="005D78C4" w:rsidP="005D78C4">
            <w:pPr>
              <w:pStyle w:val="Tablenotes-indented"/>
              <w:ind w:left="227" w:firstLine="0"/>
              <w:rPr>
                <w:lang w:val="en-AU"/>
              </w:rPr>
            </w:pPr>
            <w:r w:rsidRPr="00C6052E">
              <w:rPr>
                <w:lang w:val="en-AU"/>
              </w:rPr>
              <w:t>Higher result due to stronger-than-expected international tourism expenditure in regional Victoria.</w:t>
            </w:r>
          </w:p>
        </w:tc>
        <w:tc>
          <w:tcPr>
            <w:tcW w:w="1020" w:type="dxa"/>
            <w:hideMark/>
          </w:tcPr>
          <w:p w14:paraId="4BC067CA" w14:textId="0DC3EC16" w:rsidR="00EE5BB8" w:rsidRPr="00C6052E" w:rsidRDefault="00EE5BB8" w:rsidP="00B1545C">
            <w:pPr>
              <w:pStyle w:val="TableCopy"/>
              <w:keepNext/>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2F5A7B8A" w14:textId="77777777" w:rsidR="00EE5BB8" w:rsidRPr="00C6052E" w:rsidRDefault="00EE5BB8" w:rsidP="00B1545C">
            <w:pPr>
              <w:pStyle w:val="TableCopy"/>
              <w:keepNext/>
              <w:jc w:val="right"/>
              <w:rPr>
                <w:lang w:val="en-AU"/>
              </w:rPr>
            </w:pPr>
            <w:r w:rsidRPr="00C6052E">
              <w:rPr>
                <w:lang w:val="en-AU"/>
              </w:rPr>
              <w:t>795</w:t>
            </w:r>
          </w:p>
        </w:tc>
        <w:tc>
          <w:tcPr>
            <w:tcW w:w="1020" w:type="dxa"/>
            <w:noWrap/>
            <w:hideMark/>
          </w:tcPr>
          <w:p w14:paraId="3D4217BA" w14:textId="77777777" w:rsidR="00EE5BB8" w:rsidRPr="00C6052E" w:rsidRDefault="00EE5BB8" w:rsidP="00B1545C">
            <w:pPr>
              <w:pStyle w:val="TableCopy"/>
              <w:keepNext/>
              <w:jc w:val="right"/>
              <w:rPr>
                <w:lang w:val="en-AU"/>
              </w:rPr>
            </w:pPr>
            <w:r w:rsidRPr="00C6052E">
              <w:rPr>
                <w:lang w:val="en-AU"/>
              </w:rPr>
              <w:t>600</w:t>
            </w:r>
          </w:p>
        </w:tc>
        <w:tc>
          <w:tcPr>
            <w:tcW w:w="1361" w:type="dxa"/>
            <w:noWrap/>
            <w:hideMark/>
          </w:tcPr>
          <w:p w14:paraId="2B95160F" w14:textId="77777777" w:rsidR="00EE5BB8" w:rsidRPr="00C6052E" w:rsidRDefault="00EE5BB8" w:rsidP="00B1545C">
            <w:pPr>
              <w:pStyle w:val="TableCopy"/>
              <w:keepNext/>
              <w:jc w:val="right"/>
              <w:rPr>
                <w:lang w:val="en-AU"/>
              </w:rPr>
            </w:pPr>
            <w:r w:rsidRPr="00C6052E">
              <w:rPr>
                <w:lang w:val="en-AU"/>
              </w:rPr>
              <w:t>32.5%</w:t>
            </w:r>
          </w:p>
        </w:tc>
        <w:tc>
          <w:tcPr>
            <w:tcW w:w="795" w:type="dxa"/>
            <w:noWrap/>
            <w:hideMark/>
          </w:tcPr>
          <w:p w14:paraId="117C0EF9" w14:textId="53793166" w:rsidR="00EE5BB8" w:rsidRPr="00C6052E" w:rsidRDefault="00B1545C" w:rsidP="00B1545C">
            <w:pPr>
              <w:pStyle w:val="TableCopy"/>
              <w:keepNext/>
              <w:jc w:val="right"/>
              <w:rPr>
                <w:lang w:val="en-AU"/>
              </w:rPr>
            </w:pPr>
            <w:r w:rsidRPr="00C6052E">
              <w:rPr>
                <w:lang w:val="en-AU"/>
              </w:rPr>
              <w:t>1</w:t>
            </w:r>
          </w:p>
        </w:tc>
      </w:tr>
      <w:tr w:rsidR="00EE5BB8" w:rsidRPr="00C6052E" w14:paraId="13F155E1" w14:textId="77777777" w:rsidTr="00B1545C">
        <w:trPr>
          <w:cantSplit/>
        </w:trPr>
        <w:tc>
          <w:tcPr>
            <w:tcW w:w="4531" w:type="dxa"/>
            <w:hideMark/>
          </w:tcPr>
          <w:p w14:paraId="7284B627" w14:textId="5B74ED79" w:rsidR="00EE5BB8" w:rsidRPr="00C6052E" w:rsidRDefault="00EE5BB8" w:rsidP="0063097D">
            <w:pPr>
              <w:pStyle w:val="TableCopy"/>
              <w:rPr>
                <w:lang w:val="en-AU"/>
              </w:rPr>
            </w:pPr>
            <w:r w:rsidRPr="00C6052E">
              <w:rPr>
                <w:lang w:val="en-AU"/>
              </w:rPr>
              <w:t>Visitor</w:t>
            </w:r>
            <w:r w:rsidR="00177848" w:rsidRPr="00C6052E">
              <w:rPr>
                <w:lang w:val="en-AU"/>
              </w:rPr>
              <w:t xml:space="preserve"> </w:t>
            </w:r>
            <w:r w:rsidRPr="00C6052E">
              <w:rPr>
                <w:lang w:val="en-AU"/>
              </w:rPr>
              <w:t>expenditure:</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(intrastate</w:t>
            </w:r>
            <w:r w:rsidR="00177848" w:rsidRPr="00C6052E">
              <w:rPr>
                <w:lang w:val="en-AU"/>
              </w:rPr>
              <w:t xml:space="preserve"> </w:t>
            </w:r>
            <w:r w:rsidRPr="00C6052E">
              <w:rPr>
                <w:lang w:val="en-AU"/>
              </w:rPr>
              <w:t>overnight)</w:t>
            </w:r>
          </w:p>
        </w:tc>
        <w:tc>
          <w:tcPr>
            <w:tcW w:w="1020" w:type="dxa"/>
            <w:hideMark/>
          </w:tcPr>
          <w:p w14:paraId="684CD9E5" w14:textId="034A89BA" w:rsidR="00EE5BB8" w:rsidRPr="00C6052E" w:rsidRDefault="00EE5BB8" w:rsidP="00B1545C">
            <w:pPr>
              <w:pStyle w:val="TableCopy"/>
              <w:jc w:val="right"/>
              <w:rPr>
                <w:lang w:val="en-AU"/>
              </w:rPr>
            </w:pPr>
            <w:r w:rsidRPr="00C6052E">
              <w:rPr>
                <w:lang w:val="en-AU"/>
              </w:rPr>
              <w:t>$</w:t>
            </w:r>
            <w:r w:rsidR="00177848" w:rsidRPr="00C6052E">
              <w:rPr>
                <w:lang w:val="en-AU"/>
              </w:rPr>
              <w:t xml:space="preserve"> </w:t>
            </w:r>
            <w:r w:rsidRPr="00C6052E">
              <w:rPr>
                <w:lang w:val="en-AU"/>
              </w:rPr>
              <w:t>billion</w:t>
            </w:r>
          </w:p>
        </w:tc>
        <w:tc>
          <w:tcPr>
            <w:tcW w:w="1020" w:type="dxa"/>
            <w:noWrap/>
            <w:hideMark/>
          </w:tcPr>
          <w:p w14:paraId="67501D66" w14:textId="77777777" w:rsidR="00EE5BB8" w:rsidRPr="00C6052E" w:rsidRDefault="00EE5BB8" w:rsidP="00B1545C">
            <w:pPr>
              <w:pStyle w:val="TableCopy"/>
              <w:jc w:val="right"/>
              <w:rPr>
                <w:lang w:val="en-AU"/>
              </w:rPr>
            </w:pPr>
            <w:r w:rsidRPr="00C6052E">
              <w:rPr>
                <w:lang w:val="en-AU"/>
              </w:rPr>
              <w:t>8.4</w:t>
            </w:r>
          </w:p>
        </w:tc>
        <w:tc>
          <w:tcPr>
            <w:tcW w:w="1020" w:type="dxa"/>
            <w:noWrap/>
            <w:hideMark/>
          </w:tcPr>
          <w:p w14:paraId="0784D1E3" w14:textId="77777777" w:rsidR="00EE5BB8" w:rsidRPr="00C6052E" w:rsidRDefault="00EE5BB8" w:rsidP="00B1545C">
            <w:pPr>
              <w:pStyle w:val="TableCopy"/>
              <w:jc w:val="right"/>
              <w:rPr>
                <w:lang w:val="en-AU"/>
              </w:rPr>
            </w:pPr>
            <w:r w:rsidRPr="00C6052E">
              <w:rPr>
                <w:lang w:val="en-AU"/>
              </w:rPr>
              <w:t>8.3</w:t>
            </w:r>
          </w:p>
        </w:tc>
        <w:tc>
          <w:tcPr>
            <w:tcW w:w="1361" w:type="dxa"/>
            <w:noWrap/>
            <w:hideMark/>
          </w:tcPr>
          <w:p w14:paraId="0D74A04C" w14:textId="77777777" w:rsidR="00EE5BB8" w:rsidRPr="00C6052E" w:rsidRDefault="00EE5BB8" w:rsidP="00B1545C">
            <w:pPr>
              <w:pStyle w:val="TableCopy"/>
              <w:jc w:val="right"/>
              <w:rPr>
                <w:lang w:val="en-AU"/>
              </w:rPr>
            </w:pPr>
            <w:r w:rsidRPr="00C6052E">
              <w:rPr>
                <w:lang w:val="en-AU"/>
              </w:rPr>
              <w:t>1.2%</w:t>
            </w:r>
          </w:p>
        </w:tc>
        <w:tc>
          <w:tcPr>
            <w:tcW w:w="795" w:type="dxa"/>
            <w:noWrap/>
            <w:hideMark/>
          </w:tcPr>
          <w:p w14:paraId="4E364B3E" w14:textId="5E7AC372" w:rsidR="00EE5BB8" w:rsidRPr="00C6052E" w:rsidRDefault="00B1545C" w:rsidP="00B1545C">
            <w:pPr>
              <w:pStyle w:val="TableCopy"/>
              <w:jc w:val="right"/>
              <w:rPr>
                <w:lang w:val="en-AU"/>
              </w:rPr>
            </w:pPr>
            <w:r w:rsidRPr="00C6052E">
              <w:rPr>
                <w:lang w:val="en-AU"/>
              </w:rPr>
              <w:t>1</w:t>
            </w:r>
          </w:p>
        </w:tc>
      </w:tr>
      <w:tr w:rsidR="00EE5BB8" w:rsidRPr="00C6052E" w14:paraId="46E170E0" w14:textId="77777777" w:rsidTr="00B1545C">
        <w:trPr>
          <w:cantSplit/>
        </w:trPr>
        <w:tc>
          <w:tcPr>
            <w:tcW w:w="4531" w:type="dxa"/>
            <w:hideMark/>
          </w:tcPr>
          <w:p w14:paraId="1A717C23" w14:textId="77777777" w:rsidR="00EE5BB8"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(domestic</w:t>
            </w:r>
            <w:r w:rsidR="00177848" w:rsidRPr="00C6052E">
              <w:rPr>
                <w:lang w:val="en-AU"/>
              </w:rPr>
              <w:t xml:space="preserve"> </w:t>
            </w:r>
            <w:r w:rsidRPr="00C6052E">
              <w:rPr>
                <w:lang w:val="en-AU"/>
              </w:rPr>
              <w:t>overnight)</w:t>
            </w:r>
          </w:p>
          <w:p w14:paraId="2C784FBD" w14:textId="275B3B19" w:rsidR="005D78C4" w:rsidRPr="00C6052E" w:rsidRDefault="005D78C4" w:rsidP="005D78C4">
            <w:pPr>
              <w:pStyle w:val="Tablenotes-indented"/>
              <w:ind w:left="227" w:firstLine="0"/>
              <w:rPr>
                <w:lang w:val="en-AU"/>
              </w:rPr>
            </w:pPr>
            <w:r w:rsidRPr="00C6052E">
              <w:rPr>
                <w:lang w:val="en-AU"/>
              </w:rPr>
              <w:t>Higher result is driven by increased interstate overnight visitation sustained by a strong events calendar.</w:t>
            </w:r>
          </w:p>
        </w:tc>
        <w:tc>
          <w:tcPr>
            <w:tcW w:w="1020" w:type="dxa"/>
            <w:hideMark/>
          </w:tcPr>
          <w:p w14:paraId="1E97C594" w14:textId="554EA249" w:rsidR="00EE5BB8" w:rsidRPr="00C6052E" w:rsidRDefault="00EE5BB8" w:rsidP="00B1545C">
            <w:pPr>
              <w:pStyle w:val="TableCopy"/>
              <w:jc w:val="right"/>
              <w:rPr>
                <w:lang w:val="en-AU"/>
              </w:rPr>
            </w:pPr>
            <w:r w:rsidRPr="00C6052E">
              <w:rPr>
                <w:lang w:val="en-AU"/>
              </w:rPr>
              <w:t>number</w:t>
            </w:r>
            <w:r w:rsidR="00177848" w:rsidRPr="00C6052E">
              <w:rPr>
                <w:lang w:val="en-AU"/>
              </w:rPr>
              <w:t xml:space="preserve"> </w:t>
            </w:r>
            <w:r w:rsidRPr="00C6052E">
              <w:rPr>
                <w:lang w:val="en-AU"/>
              </w:rPr>
              <w:t>(million)</w:t>
            </w:r>
          </w:p>
        </w:tc>
        <w:tc>
          <w:tcPr>
            <w:tcW w:w="1020" w:type="dxa"/>
            <w:noWrap/>
            <w:hideMark/>
          </w:tcPr>
          <w:p w14:paraId="3F836FEB" w14:textId="77777777" w:rsidR="00EE5BB8" w:rsidRPr="00C6052E" w:rsidRDefault="00EE5BB8" w:rsidP="00B1545C">
            <w:pPr>
              <w:pStyle w:val="TableCopy"/>
              <w:jc w:val="right"/>
              <w:rPr>
                <w:lang w:val="en-AU"/>
              </w:rPr>
            </w:pPr>
            <w:r w:rsidRPr="00C6052E">
              <w:rPr>
                <w:lang w:val="en-AU"/>
              </w:rPr>
              <w:t>31.1</w:t>
            </w:r>
          </w:p>
        </w:tc>
        <w:tc>
          <w:tcPr>
            <w:tcW w:w="1020" w:type="dxa"/>
            <w:noWrap/>
            <w:hideMark/>
          </w:tcPr>
          <w:p w14:paraId="30696A35" w14:textId="77777777" w:rsidR="00EE5BB8" w:rsidRPr="00C6052E" w:rsidRDefault="00EE5BB8" w:rsidP="00B1545C">
            <w:pPr>
              <w:pStyle w:val="TableCopy"/>
              <w:jc w:val="right"/>
              <w:rPr>
                <w:lang w:val="en-AU"/>
              </w:rPr>
            </w:pPr>
            <w:r w:rsidRPr="00C6052E">
              <w:rPr>
                <w:lang w:val="en-AU"/>
              </w:rPr>
              <w:t>29.5</w:t>
            </w:r>
          </w:p>
        </w:tc>
        <w:tc>
          <w:tcPr>
            <w:tcW w:w="1361" w:type="dxa"/>
            <w:noWrap/>
            <w:hideMark/>
          </w:tcPr>
          <w:p w14:paraId="571C32F1" w14:textId="77777777" w:rsidR="00EE5BB8" w:rsidRPr="00C6052E" w:rsidRDefault="00EE5BB8" w:rsidP="00B1545C">
            <w:pPr>
              <w:pStyle w:val="TableCopy"/>
              <w:jc w:val="right"/>
              <w:rPr>
                <w:lang w:val="en-AU"/>
              </w:rPr>
            </w:pPr>
            <w:r w:rsidRPr="00C6052E">
              <w:rPr>
                <w:lang w:val="en-AU"/>
              </w:rPr>
              <w:t>5.4%</w:t>
            </w:r>
          </w:p>
        </w:tc>
        <w:tc>
          <w:tcPr>
            <w:tcW w:w="795" w:type="dxa"/>
            <w:noWrap/>
            <w:hideMark/>
          </w:tcPr>
          <w:p w14:paraId="6FDB3086" w14:textId="366B1F06" w:rsidR="00EE5BB8" w:rsidRPr="00C6052E" w:rsidRDefault="00B1545C" w:rsidP="00B1545C">
            <w:pPr>
              <w:pStyle w:val="TableCopy"/>
              <w:jc w:val="right"/>
              <w:rPr>
                <w:lang w:val="en-AU"/>
              </w:rPr>
            </w:pPr>
            <w:r w:rsidRPr="00C6052E">
              <w:rPr>
                <w:lang w:val="en-AU"/>
              </w:rPr>
              <w:t>1</w:t>
            </w:r>
          </w:p>
        </w:tc>
      </w:tr>
      <w:tr w:rsidR="00EE5BB8" w:rsidRPr="00C6052E" w14:paraId="7C1A2417" w14:textId="77777777" w:rsidTr="00B1545C">
        <w:trPr>
          <w:cantSplit/>
        </w:trPr>
        <w:tc>
          <w:tcPr>
            <w:tcW w:w="4531" w:type="dxa"/>
            <w:hideMark/>
          </w:tcPr>
          <w:p w14:paraId="2A34A5B9" w14:textId="77777777" w:rsidR="00EE5BB8"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(international)</w:t>
            </w:r>
          </w:p>
          <w:p w14:paraId="1613BDE1" w14:textId="59C036B3" w:rsidR="005D78C4" w:rsidRPr="00C6052E" w:rsidRDefault="005D78C4" w:rsidP="005D78C4">
            <w:pPr>
              <w:pStyle w:val="Tablenotes-indented"/>
              <w:ind w:left="227" w:firstLine="0"/>
              <w:rPr>
                <w:lang w:val="en-AU"/>
              </w:rPr>
            </w:pPr>
            <w:r w:rsidRPr="00C6052E">
              <w:rPr>
                <w:lang w:val="en-AU"/>
              </w:rPr>
              <w:t>Lower result due to global market factors which have constrained international visitor growth to Victoria.</w:t>
            </w:r>
          </w:p>
        </w:tc>
        <w:tc>
          <w:tcPr>
            <w:tcW w:w="1020" w:type="dxa"/>
            <w:hideMark/>
          </w:tcPr>
          <w:p w14:paraId="0E6819B0" w14:textId="2CB5D248" w:rsidR="00EE5BB8" w:rsidRPr="00C6052E" w:rsidRDefault="00EE5BB8" w:rsidP="00B1545C">
            <w:pPr>
              <w:pStyle w:val="TableCopy"/>
              <w:jc w:val="right"/>
              <w:rPr>
                <w:lang w:val="en-AU"/>
              </w:rPr>
            </w:pPr>
            <w:r w:rsidRPr="00C6052E">
              <w:rPr>
                <w:lang w:val="en-AU"/>
              </w:rPr>
              <w:t>number</w:t>
            </w:r>
            <w:r w:rsidR="00177848" w:rsidRPr="00C6052E">
              <w:rPr>
                <w:lang w:val="en-AU"/>
              </w:rPr>
              <w:t xml:space="preserve"> </w:t>
            </w:r>
            <w:r w:rsidRPr="00C6052E">
              <w:rPr>
                <w:lang w:val="en-AU"/>
              </w:rPr>
              <w:t>(million)</w:t>
            </w:r>
          </w:p>
        </w:tc>
        <w:tc>
          <w:tcPr>
            <w:tcW w:w="1020" w:type="dxa"/>
            <w:noWrap/>
            <w:hideMark/>
          </w:tcPr>
          <w:p w14:paraId="4AAE2A36" w14:textId="77777777" w:rsidR="00EE5BB8" w:rsidRPr="00C6052E" w:rsidRDefault="00EE5BB8" w:rsidP="00B1545C">
            <w:pPr>
              <w:pStyle w:val="TableCopy"/>
              <w:jc w:val="right"/>
              <w:rPr>
                <w:lang w:val="en-AU"/>
              </w:rPr>
            </w:pPr>
            <w:r w:rsidRPr="00C6052E">
              <w:rPr>
                <w:lang w:val="en-AU"/>
              </w:rPr>
              <w:t>2.7</w:t>
            </w:r>
          </w:p>
        </w:tc>
        <w:tc>
          <w:tcPr>
            <w:tcW w:w="1020" w:type="dxa"/>
            <w:noWrap/>
            <w:hideMark/>
          </w:tcPr>
          <w:p w14:paraId="16963914" w14:textId="77777777" w:rsidR="00EE5BB8" w:rsidRPr="00C6052E" w:rsidRDefault="00EE5BB8" w:rsidP="00B1545C">
            <w:pPr>
              <w:pStyle w:val="TableCopy"/>
              <w:jc w:val="right"/>
              <w:rPr>
                <w:lang w:val="en-AU"/>
              </w:rPr>
            </w:pPr>
            <w:r w:rsidRPr="00C6052E">
              <w:rPr>
                <w:lang w:val="en-AU"/>
              </w:rPr>
              <w:t>3.2</w:t>
            </w:r>
          </w:p>
        </w:tc>
        <w:tc>
          <w:tcPr>
            <w:tcW w:w="1361" w:type="dxa"/>
            <w:noWrap/>
            <w:hideMark/>
          </w:tcPr>
          <w:p w14:paraId="1C18777B" w14:textId="77777777" w:rsidR="00EE5BB8" w:rsidRPr="00C6052E" w:rsidRDefault="00EE5BB8" w:rsidP="00B1545C">
            <w:pPr>
              <w:pStyle w:val="TableCopy"/>
              <w:jc w:val="right"/>
              <w:rPr>
                <w:lang w:val="en-AU"/>
              </w:rPr>
            </w:pPr>
            <w:r w:rsidRPr="00C6052E">
              <w:rPr>
                <w:lang w:val="en-AU"/>
              </w:rPr>
              <w:t>-15.6%</w:t>
            </w:r>
          </w:p>
        </w:tc>
        <w:tc>
          <w:tcPr>
            <w:tcW w:w="795" w:type="dxa"/>
            <w:noWrap/>
            <w:hideMark/>
          </w:tcPr>
          <w:p w14:paraId="71AC5A89" w14:textId="69B03251" w:rsidR="00EE5BB8" w:rsidRPr="00C6052E" w:rsidRDefault="00B1545C" w:rsidP="00B1545C">
            <w:pPr>
              <w:pStyle w:val="TableCopy"/>
              <w:jc w:val="right"/>
              <w:rPr>
                <w:lang w:val="en-AU"/>
              </w:rPr>
            </w:pPr>
            <w:r w:rsidRPr="00C6052E">
              <w:rPr>
                <w:lang w:val="en-AU"/>
              </w:rPr>
              <w:t>3</w:t>
            </w:r>
          </w:p>
        </w:tc>
      </w:tr>
      <w:tr w:rsidR="00EE5BB8" w:rsidRPr="00C6052E" w14:paraId="56EDB91E" w14:textId="77777777" w:rsidTr="00B1545C">
        <w:trPr>
          <w:cantSplit/>
        </w:trPr>
        <w:tc>
          <w:tcPr>
            <w:tcW w:w="4531" w:type="dxa"/>
            <w:hideMark/>
          </w:tcPr>
          <w:p w14:paraId="5F73B404" w14:textId="572E48B9" w:rsidR="00EE5BB8" w:rsidRPr="00C6052E" w:rsidRDefault="00EE5BB8" w:rsidP="0063097D">
            <w:pPr>
              <w:pStyle w:val="TableCopy"/>
              <w:rPr>
                <w:lang w:val="en-AU"/>
              </w:rPr>
            </w:pPr>
            <w:r w:rsidRPr="00C6052E">
              <w:rPr>
                <w:lang w:val="en-AU"/>
              </w:rPr>
              <w:t>Visitors:</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r w:rsidR="00177848" w:rsidRPr="00C6052E">
              <w:rPr>
                <w:lang w:val="en-AU"/>
              </w:rPr>
              <w:t xml:space="preserve"> </w:t>
            </w:r>
            <w:r w:rsidRPr="00C6052E">
              <w:rPr>
                <w:lang w:val="en-AU"/>
              </w:rPr>
              <w:t>(intrastate</w:t>
            </w:r>
            <w:r w:rsidR="00177848" w:rsidRPr="00C6052E">
              <w:rPr>
                <w:lang w:val="en-AU"/>
              </w:rPr>
              <w:t xml:space="preserve"> </w:t>
            </w:r>
            <w:r w:rsidRPr="00C6052E">
              <w:rPr>
                <w:lang w:val="en-AU"/>
              </w:rPr>
              <w:t>overnight)</w:t>
            </w:r>
          </w:p>
        </w:tc>
        <w:tc>
          <w:tcPr>
            <w:tcW w:w="1020" w:type="dxa"/>
            <w:hideMark/>
          </w:tcPr>
          <w:p w14:paraId="74CDE47A" w14:textId="553F0B7A" w:rsidR="00EE5BB8" w:rsidRPr="00C6052E" w:rsidRDefault="00EE5BB8" w:rsidP="00B1545C">
            <w:pPr>
              <w:pStyle w:val="TableCopy"/>
              <w:jc w:val="right"/>
              <w:rPr>
                <w:lang w:val="en-AU"/>
              </w:rPr>
            </w:pPr>
            <w:r w:rsidRPr="00C6052E">
              <w:rPr>
                <w:lang w:val="en-AU"/>
              </w:rPr>
              <w:t>number</w:t>
            </w:r>
            <w:r w:rsidR="00177848" w:rsidRPr="00C6052E">
              <w:rPr>
                <w:lang w:val="en-AU"/>
              </w:rPr>
              <w:t xml:space="preserve"> </w:t>
            </w:r>
            <w:r w:rsidRPr="00C6052E">
              <w:rPr>
                <w:lang w:val="en-AU"/>
              </w:rPr>
              <w:t>(million)</w:t>
            </w:r>
          </w:p>
        </w:tc>
        <w:tc>
          <w:tcPr>
            <w:tcW w:w="1020" w:type="dxa"/>
            <w:noWrap/>
            <w:hideMark/>
          </w:tcPr>
          <w:p w14:paraId="19C31329" w14:textId="77777777" w:rsidR="00EE5BB8" w:rsidRPr="00C6052E" w:rsidRDefault="00EE5BB8" w:rsidP="00B1545C">
            <w:pPr>
              <w:pStyle w:val="TableCopy"/>
              <w:jc w:val="right"/>
              <w:rPr>
                <w:lang w:val="en-AU"/>
              </w:rPr>
            </w:pPr>
            <w:r w:rsidRPr="00C6052E">
              <w:rPr>
                <w:lang w:val="en-AU"/>
              </w:rPr>
              <w:t>16.8</w:t>
            </w:r>
          </w:p>
        </w:tc>
        <w:tc>
          <w:tcPr>
            <w:tcW w:w="1020" w:type="dxa"/>
            <w:noWrap/>
            <w:hideMark/>
          </w:tcPr>
          <w:p w14:paraId="6BC2C2AA" w14:textId="77777777" w:rsidR="00EE5BB8" w:rsidRPr="00C6052E" w:rsidRDefault="00EE5BB8" w:rsidP="00B1545C">
            <w:pPr>
              <w:pStyle w:val="TableCopy"/>
              <w:jc w:val="right"/>
              <w:rPr>
                <w:lang w:val="en-AU"/>
              </w:rPr>
            </w:pPr>
            <w:r w:rsidRPr="00C6052E">
              <w:rPr>
                <w:lang w:val="en-AU"/>
              </w:rPr>
              <w:t>16.4</w:t>
            </w:r>
          </w:p>
        </w:tc>
        <w:tc>
          <w:tcPr>
            <w:tcW w:w="1361" w:type="dxa"/>
            <w:noWrap/>
            <w:hideMark/>
          </w:tcPr>
          <w:p w14:paraId="29B2EB7F" w14:textId="77777777" w:rsidR="00EE5BB8" w:rsidRPr="00C6052E" w:rsidRDefault="00EE5BB8" w:rsidP="00B1545C">
            <w:pPr>
              <w:pStyle w:val="TableCopy"/>
              <w:jc w:val="right"/>
              <w:rPr>
                <w:lang w:val="en-AU"/>
              </w:rPr>
            </w:pPr>
            <w:r w:rsidRPr="00C6052E">
              <w:rPr>
                <w:lang w:val="en-AU"/>
              </w:rPr>
              <w:t>2.4%</w:t>
            </w:r>
          </w:p>
        </w:tc>
        <w:tc>
          <w:tcPr>
            <w:tcW w:w="795" w:type="dxa"/>
            <w:noWrap/>
            <w:hideMark/>
          </w:tcPr>
          <w:p w14:paraId="500124CD" w14:textId="07DA634B" w:rsidR="00EE5BB8" w:rsidRPr="00C6052E" w:rsidRDefault="00B1545C" w:rsidP="00B1545C">
            <w:pPr>
              <w:pStyle w:val="TableCopy"/>
              <w:jc w:val="right"/>
              <w:rPr>
                <w:lang w:val="en-AU"/>
              </w:rPr>
            </w:pPr>
            <w:r w:rsidRPr="00C6052E">
              <w:rPr>
                <w:lang w:val="en-AU"/>
              </w:rPr>
              <w:t>1</w:t>
            </w:r>
          </w:p>
        </w:tc>
      </w:tr>
      <w:tr w:rsidR="00B1545C" w:rsidRPr="00C6052E" w14:paraId="4A38FBF7" w14:textId="77777777" w:rsidTr="0063097D">
        <w:trPr>
          <w:cantSplit/>
        </w:trPr>
        <w:tc>
          <w:tcPr>
            <w:tcW w:w="4531" w:type="dxa"/>
          </w:tcPr>
          <w:p w14:paraId="3899A43C" w14:textId="292B91E9" w:rsidR="00B1545C" w:rsidRPr="00C6052E" w:rsidRDefault="00B1545C" w:rsidP="0063097D">
            <w:pPr>
              <w:pStyle w:val="TableHeading"/>
              <w:rPr>
                <w:lang w:val="en-AU"/>
              </w:rPr>
            </w:pPr>
            <w:r w:rsidRPr="00C6052E">
              <w:rPr>
                <w:lang w:val="en-AU"/>
              </w:rPr>
              <w:lastRenderedPageBreak/>
              <w:t>Quality</w:t>
            </w:r>
          </w:p>
        </w:tc>
        <w:tc>
          <w:tcPr>
            <w:tcW w:w="1020" w:type="dxa"/>
          </w:tcPr>
          <w:p w14:paraId="793E6FD4" w14:textId="77777777" w:rsidR="00B1545C" w:rsidRPr="00C6052E" w:rsidRDefault="00B1545C" w:rsidP="00B1545C">
            <w:pPr>
              <w:pStyle w:val="TableHeading"/>
              <w:jc w:val="right"/>
              <w:rPr>
                <w:lang w:val="en-AU"/>
              </w:rPr>
            </w:pPr>
          </w:p>
        </w:tc>
        <w:tc>
          <w:tcPr>
            <w:tcW w:w="1020" w:type="dxa"/>
            <w:noWrap/>
          </w:tcPr>
          <w:p w14:paraId="6B5516A4" w14:textId="77777777" w:rsidR="00B1545C" w:rsidRPr="00C6052E" w:rsidRDefault="00B1545C" w:rsidP="00B1545C">
            <w:pPr>
              <w:pStyle w:val="TableHeading"/>
              <w:jc w:val="right"/>
              <w:rPr>
                <w:lang w:val="en-AU"/>
              </w:rPr>
            </w:pPr>
          </w:p>
        </w:tc>
        <w:tc>
          <w:tcPr>
            <w:tcW w:w="1020" w:type="dxa"/>
            <w:noWrap/>
          </w:tcPr>
          <w:p w14:paraId="3A5290E2" w14:textId="77777777" w:rsidR="00B1545C" w:rsidRPr="00C6052E" w:rsidRDefault="00B1545C" w:rsidP="00B1545C">
            <w:pPr>
              <w:pStyle w:val="TableHeading"/>
              <w:jc w:val="right"/>
              <w:rPr>
                <w:lang w:val="en-AU"/>
              </w:rPr>
            </w:pPr>
          </w:p>
        </w:tc>
        <w:tc>
          <w:tcPr>
            <w:tcW w:w="1361" w:type="dxa"/>
            <w:noWrap/>
          </w:tcPr>
          <w:p w14:paraId="0C8CF8F5" w14:textId="77777777" w:rsidR="00B1545C" w:rsidRPr="00C6052E" w:rsidRDefault="00B1545C" w:rsidP="00B1545C">
            <w:pPr>
              <w:pStyle w:val="TableHeading"/>
              <w:jc w:val="right"/>
              <w:rPr>
                <w:lang w:val="en-AU"/>
              </w:rPr>
            </w:pPr>
          </w:p>
        </w:tc>
        <w:tc>
          <w:tcPr>
            <w:tcW w:w="795" w:type="dxa"/>
            <w:noWrap/>
          </w:tcPr>
          <w:p w14:paraId="17379417" w14:textId="77777777" w:rsidR="00B1545C" w:rsidRPr="00C6052E" w:rsidRDefault="00B1545C" w:rsidP="00B1545C">
            <w:pPr>
              <w:pStyle w:val="TableHeading"/>
              <w:jc w:val="right"/>
              <w:rPr>
                <w:lang w:val="en-AU"/>
              </w:rPr>
            </w:pPr>
          </w:p>
        </w:tc>
      </w:tr>
      <w:tr w:rsidR="00EE5BB8" w:rsidRPr="00C6052E" w14:paraId="14D98512" w14:textId="77777777" w:rsidTr="00B1545C">
        <w:trPr>
          <w:cantSplit/>
        </w:trPr>
        <w:tc>
          <w:tcPr>
            <w:tcW w:w="4531" w:type="dxa"/>
            <w:hideMark/>
          </w:tcPr>
          <w:p w14:paraId="070A4B43" w14:textId="77777777" w:rsidR="00EE5BB8" w:rsidRDefault="00EE5BB8" w:rsidP="0063097D">
            <w:pPr>
              <w:pStyle w:val="TableCopy"/>
              <w:rPr>
                <w:lang w:val="en-AU"/>
              </w:rPr>
            </w:pPr>
            <w:r w:rsidRPr="00C6052E">
              <w:rPr>
                <w:lang w:val="en-AU"/>
              </w:rPr>
              <w:t>Value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media</w:t>
            </w:r>
            <w:r w:rsidR="00177848" w:rsidRPr="00C6052E">
              <w:rPr>
                <w:lang w:val="en-AU"/>
              </w:rPr>
              <w:t xml:space="preserve"> </w:t>
            </w:r>
            <w:r w:rsidRPr="00C6052E">
              <w:rPr>
                <w:lang w:val="en-AU"/>
              </w:rPr>
              <w:t>coverage</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domestic</w:t>
            </w:r>
          </w:p>
          <w:p w14:paraId="42829E0F" w14:textId="0123E2C3" w:rsidR="005D78C4" w:rsidRPr="00C6052E" w:rsidRDefault="005D78C4" w:rsidP="005D78C4">
            <w:pPr>
              <w:pStyle w:val="Tablenotes-indented"/>
              <w:ind w:left="227" w:firstLine="0"/>
              <w:rPr>
                <w:lang w:val="en-AU"/>
              </w:rPr>
            </w:pPr>
            <w:r w:rsidRPr="00C6052E">
              <w:rPr>
                <w:lang w:val="en-AU"/>
              </w:rPr>
              <w:t>Higher result due to a lag in public relations activities from the previous financial year and additional funding provided to Visit Victoria.</w:t>
            </w:r>
          </w:p>
        </w:tc>
        <w:tc>
          <w:tcPr>
            <w:tcW w:w="1020" w:type="dxa"/>
            <w:hideMark/>
          </w:tcPr>
          <w:p w14:paraId="27F66FA1" w14:textId="1BB6DBE2" w:rsidR="00EE5BB8" w:rsidRPr="00C6052E" w:rsidRDefault="00EE5BB8" w:rsidP="00B1545C">
            <w:pPr>
              <w:pStyle w:val="TableCopy"/>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34254696" w14:textId="77777777" w:rsidR="00EE5BB8" w:rsidRPr="00C6052E" w:rsidRDefault="00EE5BB8" w:rsidP="00B1545C">
            <w:pPr>
              <w:pStyle w:val="TableCopy"/>
              <w:jc w:val="right"/>
              <w:rPr>
                <w:lang w:val="en-AU"/>
              </w:rPr>
            </w:pPr>
            <w:r w:rsidRPr="00C6052E">
              <w:rPr>
                <w:lang w:val="en-AU"/>
              </w:rPr>
              <w:t>13.4</w:t>
            </w:r>
          </w:p>
        </w:tc>
        <w:tc>
          <w:tcPr>
            <w:tcW w:w="1020" w:type="dxa"/>
            <w:noWrap/>
            <w:hideMark/>
          </w:tcPr>
          <w:p w14:paraId="1511ACD4" w14:textId="77777777" w:rsidR="00EE5BB8" w:rsidRPr="00C6052E" w:rsidRDefault="00EE5BB8" w:rsidP="00B1545C">
            <w:pPr>
              <w:pStyle w:val="TableCopy"/>
              <w:jc w:val="right"/>
              <w:rPr>
                <w:lang w:val="en-AU"/>
              </w:rPr>
            </w:pPr>
            <w:r w:rsidRPr="00C6052E">
              <w:rPr>
                <w:lang w:val="en-AU"/>
              </w:rPr>
              <w:t>2</w:t>
            </w:r>
          </w:p>
        </w:tc>
        <w:tc>
          <w:tcPr>
            <w:tcW w:w="1361" w:type="dxa"/>
            <w:noWrap/>
            <w:hideMark/>
          </w:tcPr>
          <w:p w14:paraId="62200DAA" w14:textId="77777777" w:rsidR="00EE5BB8" w:rsidRPr="00C6052E" w:rsidRDefault="00EE5BB8" w:rsidP="00B1545C">
            <w:pPr>
              <w:pStyle w:val="TableCopy"/>
              <w:jc w:val="right"/>
              <w:rPr>
                <w:lang w:val="en-AU"/>
              </w:rPr>
            </w:pPr>
            <w:r w:rsidRPr="00C6052E">
              <w:rPr>
                <w:lang w:val="en-AU"/>
              </w:rPr>
              <w:t>570.0%</w:t>
            </w:r>
          </w:p>
        </w:tc>
        <w:tc>
          <w:tcPr>
            <w:tcW w:w="795" w:type="dxa"/>
            <w:noWrap/>
            <w:hideMark/>
          </w:tcPr>
          <w:p w14:paraId="02B92BFF" w14:textId="40CA8FBF" w:rsidR="00EE5BB8" w:rsidRPr="00C6052E" w:rsidRDefault="00B1545C" w:rsidP="00B1545C">
            <w:pPr>
              <w:pStyle w:val="TableCopy"/>
              <w:jc w:val="right"/>
              <w:rPr>
                <w:lang w:val="en-AU"/>
              </w:rPr>
            </w:pPr>
            <w:r w:rsidRPr="00C6052E">
              <w:rPr>
                <w:lang w:val="en-AU"/>
              </w:rPr>
              <w:t>1</w:t>
            </w:r>
          </w:p>
        </w:tc>
      </w:tr>
      <w:tr w:rsidR="00EE5BB8" w:rsidRPr="00C6052E" w14:paraId="21A38E25" w14:textId="77777777" w:rsidTr="00B1545C">
        <w:trPr>
          <w:cantSplit/>
        </w:trPr>
        <w:tc>
          <w:tcPr>
            <w:tcW w:w="4531" w:type="dxa"/>
            <w:hideMark/>
          </w:tcPr>
          <w:p w14:paraId="3575F6AC" w14:textId="77777777" w:rsidR="00EE5BB8" w:rsidRDefault="00EE5BB8" w:rsidP="0063097D">
            <w:pPr>
              <w:pStyle w:val="TableCopy"/>
              <w:rPr>
                <w:lang w:val="en-AU"/>
              </w:rPr>
            </w:pPr>
            <w:r w:rsidRPr="00C6052E">
              <w:rPr>
                <w:lang w:val="en-AU"/>
              </w:rPr>
              <w:t>Value</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media</w:t>
            </w:r>
            <w:r w:rsidR="00177848" w:rsidRPr="00C6052E">
              <w:rPr>
                <w:lang w:val="en-AU"/>
              </w:rPr>
              <w:t xml:space="preserve"> </w:t>
            </w:r>
            <w:r w:rsidRPr="00C6052E">
              <w:rPr>
                <w:lang w:val="en-AU"/>
              </w:rPr>
              <w:t>coverage</w:t>
            </w:r>
            <w:r w:rsidR="00177848" w:rsidRPr="00C6052E">
              <w:rPr>
                <w:lang w:val="en-AU"/>
              </w:rPr>
              <w:t xml:space="preserve"> </w:t>
            </w:r>
            <w:r w:rsidRPr="00C6052E">
              <w:rPr>
                <w:lang w:val="en-AU"/>
              </w:rPr>
              <w:t>generated:</w:t>
            </w:r>
            <w:r w:rsidR="00177848" w:rsidRPr="00C6052E">
              <w:rPr>
                <w:lang w:val="en-AU"/>
              </w:rPr>
              <w:t xml:space="preserve"> </w:t>
            </w:r>
            <w:r w:rsidRPr="00C6052E">
              <w:rPr>
                <w:lang w:val="en-AU"/>
              </w:rPr>
              <w:t>international</w:t>
            </w:r>
          </w:p>
          <w:p w14:paraId="61CC1EAA" w14:textId="47E7ADB8" w:rsidR="005D78C4" w:rsidRPr="00C6052E" w:rsidRDefault="005D78C4" w:rsidP="005D78C4">
            <w:pPr>
              <w:pStyle w:val="Tablenotes-indented"/>
              <w:ind w:left="227" w:firstLine="0"/>
              <w:rPr>
                <w:lang w:val="en-AU"/>
              </w:rPr>
            </w:pPr>
            <w:r w:rsidRPr="00C6052E">
              <w:rPr>
                <w:lang w:val="en-AU"/>
              </w:rPr>
              <w:t>Higher result due to an increase in media and public relations activities in the international markets of new events and marketing programs.</w:t>
            </w:r>
          </w:p>
        </w:tc>
        <w:tc>
          <w:tcPr>
            <w:tcW w:w="1020" w:type="dxa"/>
            <w:hideMark/>
          </w:tcPr>
          <w:p w14:paraId="6EC1389F" w14:textId="5419C6E4" w:rsidR="00EE5BB8" w:rsidRPr="00C6052E" w:rsidRDefault="00EE5BB8" w:rsidP="00B1545C">
            <w:pPr>
              <w:pStyle w:val="TableCopy"/>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05A615F0" w14:textId="77777777" w:rsidR="00EE5BB8" w:rsidRPr="00C6052E" w:rsidRDefault="00EE5BB8" w:rsidP="00B1545C">
            <w:pPr>
              <w:pStyle w:val="TableCopy"/>
              <w:jc w:val="right"/>
              <w:rPr>
                <w:lang w:val="en-AU"/>
              </w:rPr>
            </w:pPr>
            <w:r w:rsidRPr="00C6052E">
              <w:rPr>
                <w:lang w:val="en-AU"/>
              </w:rPr>
              <w:t>36.7</w:t>
            </w:r>
          </w:p>
        </w:tc>
        <w:tc>
          <w:tcPr>
            <w:tcW w:w="1020" w:type="dxa"/>
            <w:noWrap/>
            <w:hideMark/>
          </w:tcPr>
          <w:p w14:paraId="4FA45A80" w14:textId="77777777" w:rsidR="00EE5BB8" w:rsidRPr="00C6052E" w:rsidRDefault="00EE5BB8" w:rsidP="00B1545C">
            <w:pPr>
              <w:pStyle w:val="TableCopy"/>
              <w:jc w:val="right"/>
              <w:rPr>
                <w:lang w:val="en-AU"/>
              </w:rPr>
            </w:pPr>
            <w:r w:rsidRPr="00C6052E">
              <w:rPr>
                <w:lang w:val="en-AU"/>
              </w:rPr>
              <w:t>2</w:t>
            </w:r>
          </w:p>
        </w:tc>
        <w:tc>
          <w:tcPr>
            <w:tcW w:w="1361" w:type="dxa"/>
            <w:noWrap/>
            <w:hideMark/>
          </w:tcPr>
          <w:p w14:paraId="6F30B0D2" w14:textId="77777777" w:rsidR="00EE5BB8" w:rsidRPr="00C6052E" w:rsidRDefault="00EE5BB8" w:rsidP="00B1545C">
            <w:pPr>
              <w:pStyle w:val="TableCopy"/>
              <w:jc w:val="right"/>
              <w:rPr>
                <w:lang w:val="en-AU"/>
              </w:rPr>
            </w:pPr>
            <w:r w:rsidRPr="00C6052E">
              <w:rPr>
                <w:lang w:val="en-AU"/>
              </w:rPr>
              <w:t>1,735.0%</w:t>
            </w:r>
          </w:p>
        </w:tc>
        <w:tc>
          <w:tcPr>
            <w:tcW w:w="795" w:type="dxa"/>
            <w:noWrap/>
            <w:hideMark/>
          </w:tcPr>
          <w:p w14:paraId="39FC5DB4" w14:textId="39B1A1A9" w:rsidR="00EE5BB8" w:rsidRPr="00C6052E" w:rsidRDefault="00B1545C" w:rsidP="00B1545C">
            <w:pPr>
              <w:pStyle w:val="TableCopy"/>
              <w:jc w:val="right"/>
              <w:rPr>
                <w:lang w:val="en-AU"/>
              </w:rPr>
            </w:pPr>
            <w:r w:rsidRPr="00C6052E">
              <w:rPr>
                <w:lang w:val="en-AU"/>
              </w:rPr>
              <w:t>1</w:t>
            </w:r>
          </w:p>
        </w:tc>
      </w:tr>
      <w:tr w:rsidR="00B1545C" w:rsidRPr="00C6052E" w14:paraId="08ED1F50" w14:textId="77777777" w:rsidTr="0063097D">
        <w:trPr>
          <w:cantSplit/>
        </w:trPr>
        <w:tc>
          <w:tcPr>
            <w:tcW w:w="4531" w:type="dxa"/>
          </w:tcPr>
          <w:p w14:paraId="3FC17DF7" w14:textId="7A537EBA" w:rsidR="00B1545C" w:rsidRPr="00C6052E" w:rsidRDefault="00B1545C" w:rsidP="0063097D">
            <w:pPr>
              <w:pStyle w:val="TableHeading"/>
              <w:rPr>
                <w:lang w:val="en-AU"/>
              </w:rPr>
            </w:pPr>
            <w:r w:rsidRPr="00C6052E">
              <w:rPr>
                <w:lang w:val="en-AU"/>
              </w:rPr>
              <w:t>Timeliness</w:t>
            </w:r>
          </w:p>
        </w:tc>
        <w:tc>
          <w:tcPr>
            <w:tcW w:w="1020" w:type="dxa"/>
          </w:tcPr>
          <w:p w14:paraId="7D0A4751" w14:textId="77777777" w:rsidR="00B1545C" w:rsidRPr="00C6052E" w:rsidRDefault="00B1545C" w:rsidP="00B1545C">
            <w:pPr>
              <w:pStyle w:val="TableHeading"/>
              <w:jc w:val="right"/>
              <w:rPr>
                <w:lang w:val="en-AU"/>
              </w:rPr>
            </w:pPr>
          </w:p>
        </w:tc>
        <w:tc>
          <w:tcPr>
            <w:tcW w:w="1020" w:type="dxa"/>
            <w:noWrap/>
          </w:tcPr>
          <w:p w14:paraId="0E5EDF6C" w14:textId="77777777" w:rsidR="00B1545C" w:rsidRPr="00C6052E" w:rsidRDefault="00B1545C" w:rsidP="00B1545C">
            <w:pPr>
              <w:pStyle w:val="TableHeading"/>
              <w:jc w:val="right"/>
              <w:rPr>
                <w:lang w:val="en-AU"/>
              </w:rPr>
            </w:pPr>
          </w:p>
        </w:tc>
        <w:tc>
          <w:tcPr>
            <w:tcW w:w="1020" w:type="dxa"/>
            <w:noWrap/>
          </w:tcPr>
          <w:p w14:paraId="68ADE269" w14:textId="77777777" w:rsidR="00B1545C" w:rsidRPr="00C6052E" w:rsidRDefault="00B1545C" w:rsidP="00B1545C">
            <w:pPr>
              <w:pStyle w:val="TableHeading"/>
              <w:jc w:val="right"/>
              <w:rPr>
                <w:lang w:val="en-AU"/>
              </w:rPr>
            </w:pPr>
          </w:p>
        </w:tc>
        <w:tc>
          <w:tcPr>
            <w:tcW w:w="1361" w:type="dxa"/>
            <w:noWrap/>
          </w:tcPr>
          <w:p w14:paraId="71D3CE7A" w14:textId="77777777" w:rsidR="00B1545C" w:rsidRPr="00C6052E" w:rsidRDefault="00B1545C" w:rsidP="00B1545C">
            <w:pPr>
              <w:pStyle w:val="TableHeading"/>
              <w:jc w:val="right"/>
              <w:rPr>
                <w:lang w:val="en-AU"/>
              </w:rPr>
            </w:pPr>
          </w:p>
        </w:tc>
        <w:tc>
          <w:tcPr>
            <w:tcW w:w="795" w:type="dxa"/>
            <w:noWrap/>
          </w:tcPr>
          <w:p w14:paraId="65A51395" w14:textId="77777777" w:rsidR="00B1545C" w:rsidRPr="00C6052E" w:rsidRDefault="00B1545C" w:rsidP="00B1545C">
            <w:pPr>
              <w:pStyle w:val="TableHeading"/>
              <w:jc w:val="right"/>
              <w:rPr>
                <w:lang w:val="en-AU"/>
              </w:rPr>
            </w:pPr>
          </w:p>
        </w:tc>
      </w:tr>
      <w:tr w:rsidR="00EE5BB8" w:rsidRPr="00C6052E" w14:paraId="32592189" w14:textId="77777777" w:rsidTr="00B1545C">
        <w:trPr>
          <w:cantSplit/>
        </w:trPr>
        <w:tc>
          <w:tcPr>
            <w:tcW w:w="4531" w:type="dxa"/>
            <w:hideMark/>
          </w:tcPr>
          <w:p w14:paraId="288FC94B" w14:textId="2DA2A9E1" w:rsidR="00EE5BB8" w:rsidRPr="00C6052E" w:rsidRDefault="00EE5BB8" w:rsidP="0063097D">
            <w:pPr>
              <w:pStyle w:val="TableCopy"/>
              <w:rPr>
                <w:lang w:val="en-AU"/>
              </w:rPr>
            </w:pPr>
            <w:r w:rsidRPr="00C6052E">
              <w:rPr>
                <w:lang w:val="en-AU"/>
              </w:rPr>
              <w:t>Completion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post-event</w:t>
            </w:r>
            <w:r w:rsidR="00177848" w:rsidRPr="00C6052E">
              <w:rPr>
                <w:lang w:val="en-AU"/>
              </w:rPr>
              <w:t xml:space="preserve"> </w:t>
            </w:r>
            <w:r w:rsidRPr="00C6052E">
              <w:rPr>
                <w:lang w:val="en-AU"/>
              </w:rPr>
              <w:t>reports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impact</w:t>
            </w:r>
            <w:r w:rsidR="00177848" w:rsidRPr="00C6052E">
              <w:rPr>
                <w:lang w:val="en-AU"/>
              </w:rPr>
              <w:t xml:space="preserve"> </w:t>
            </w:r>
            <w:r w:rsidRPr="00C6052E">
              <w:rPr>
                <w:lang w:val="en-AU"/>
              </w:rPr>
              <w:t>assessments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each</w:t>
            </w:r>
            <w:r w:rsidR="00177848" w:rsidRPr="00C6052E">
              <w:rPr>
                <w:lang w:val="en-AU"/>
              </w:rPr>
              <w:t xml:space="preserve"> </w:t>
            </w:r>
            <w:r w:rsidRPr="00C6052E">
              <w:rPr>
                <w:lang w:val="en-AU"/>
              </w:rPr>
              <w:t>event</w:t>
            </w:r>
            <w:r w:rsidR="00177848" w:rsidRPr="00C6052E">
              <w:rPr>
                <w:lang w:val="en-AU"/>
              </w:rPr>
              <w:t xml:space="preserve"> </w:t>
            </w:r>
            <w:r w:rsidRPr="00C6052E">
              <w:rPr>
                <w:lang w:val="en-AU"/>
              </w:rPr>
              <w:t>(where</w:t>
            </w:r>
            <w:r w:rsidR="00177848" w:rsidRPr="00C6052E">
              <w:rPr>
                <w:lang w:val="en-AU"/>
              </w:rPr>
              <w:t xml:space="preserve"> </w:t>
            </w:r>
            <w:r w:rsidRPr="00C6052E">
              <w:rPr>
                <w:lang w:val="en-AU"/>
              </w:rPr>
              <w:t>required)</w:t>
            </w:r>
            <w:r w:rsidR="00177848" w:rsidRPr="00C6052E">
              <w:rPr>
                <w:lang w:val="en-AU"/>
              </w:rPr>
              <w:t xml:space="preserve"> </w:t>
            </w:r>
            <w:r w:rsidRPr="00C6052E">
              <w:rPr>
                <w:lang w:val="en-AU"/>
              </w:rPr>
              <w:t>within</w:t>
            </w:r>
            <w:r w:rsidR="00177848" w:rsidRPr="00C6052E">
              <w:rPr>
                <w:lang w:val="en-AU"/>
              </w:rPr>
              <w:t xml:space="preserve"> </w:t>
            </w:r>
            <w:r w:rsidRPr="00C6052E">
              <w:rPr>
                <w:lang w:val="en-AU"/>
              </w:rPr>
              <w:t>agreed</w:t>
            </w:r>
            <w:r w:rsidR="00177848" w:rsidRPr="00C6052E">
              <w:rPr>
                <w:lang w:val="en-AU"/>
              </w:rPr>
              <w:t xml:space="preserve"> </w:t>
            </w:r>
            <w:r w:rsidRPr="00C6052E">
              <w:rPr>
                <w:lang w:val="en-AU"/>
              </w:rPr>
              <w:t>timeframes</w:t>
            </w:r>
          </w:p>
        </w:tc>
        <w:tc>
          <w:tcPr>
            <w:tcW w:w="1020" w:type="dxa"/>
            <w:hideMark/>
          </w:tcPr>
          <w:p w14:paraId="2F29FCD7" w14:textId="66C780AB" w:rsidR="00EE5BB8" w:rsidRPr="00C6052E" w:rsidRDefault="00EE5BB8" w:rsidP="00B1545C">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78D59F97" w14:textId="77777777" w:rsidR="00EE5BB8" w:rsidRPr="00C6052E" w:rsidRDefault="00EE5BB8" w:rsidP="00B1545C">
            <w:pPr>
              <w:pStyle w:val="TableCopy"/>
              <w:jc w:val="right"/>
              <w:rPr>
                <w:lang w:val="en-AU"/>
              </w:rPr>
            </w:pPr>
            <w:r w:rsidRPr="00C6052E">
              <w:rPr>
                <w:lang w:val="en-AU"/>
              </w:rPr>
              <w:t>100</w:t>
            </w:r>
          </w:p>
        </w:tc>
        <w:tc>
          <w:tcPr>
            <w:tcW w:w="1020" w:type="dxa"/>
            <w:noWrap/>
            <w:hideMark/>
          </w:tcPr>
          <w:p w14:paraId="36585BBE" w14:textId="77777777" w:rsidR="00EE5BB8" w:rsidRPr="00C6052E" w:rsidRDefault="00EE5BB8" w:rsidP="00B1545C">
            <w:pPr>
              <w:pStyle w:val="TableCopy"/>
              <w:jc w:val="right"/>
              <w:rPr>
                <w:lang w:val="en-AU"/>
              </w:rPr>
            </w:pPr>
            <w:r w:rsidRPr="00C6052E">
              <w:rPr>
                <w:lang w:val="en-AU"/>
              </w:rPr>
              <w:t>100</w:t>
            </w:r>
          </w:p>
        </w:tc>
        <w:tc>
          <w:tcPr>
            <w:tcW w:w="1361" w:type="dxa"/>
            <w:noWrap/>
            <w:hideMark/>
          </w:tcPr>
          <w:p w14:paraId="76C45379" w14:textId="77777777" w:rsidR="00EE5BB8" w:rsidRPr="00C6052E" w:rsidRDefault="00EE5BB8" w:rsidP="00B1545C">
            <w:pPr>
              <w:pStyle w:val="TableCopy"/>
              <w:jc w:val="right"/>
              <w:rPr>
                <w:lang w:val="en-AU"/>
              </w:rPr>
            </w:pPr>
            <w:r w:rsidRPr="00C6052E">
              <w:rPr>
                <w:lang w:val="en-AU"/>
              </w:rPr>
              <w:t>0.0%</w:t>
            </w:r>
          </w:p>
        </w:tc>
        <w:tc>
          <w:tcPr>
            <w:tcW w:w="795" w:type="dxa"/>
            <w:noWrap/>
            <w:hideMark/>
          </w:tcPr>
          <w:p w14:paraId="64C345C9" w14:textId="31EB11FD" w:rsidR="00EE5BB8" w:rsidRPr="00C6052E" w:rsidRDefault="00B1545C" w:rsidP="00B1545C">
            <w:pPr>
              <w:pStyle w:val="TableCopy"/>
              <w:jc w:val="right"/>
              <w:rPr>
                <w:lang w:val="en-AU"/>
              </w:rPr>
            </w:pPr>
            <w:r w:rsidRPr="00C6052E">
              <w:rPr>
                <w:lang w:val="en-AU"/>
              </w:rPr>
              <w:t>1</w:t>
            </w:r>
          </w:p>
        </w:tc>
      </w:tr>
      <w:tr w:rsidR="00B1545C" w:rsidRPr="00C6052E" w14:paraId="749CDF86" w14:textId="77777777" w:rsidTr="0063097D">
        <w:trPr>
          <w:cantSplit/>
        </w:trPr>
        <w:tc>
          <w:tcPr>
            <w:tcW w:w="4531" w:type="dxa"/>
          </w:tcPr>
          <w:p w14:paraId="2BB623F6" w14:textId="243AE385" w:rsidR="00B1545C" w:rsidRPr="00C6052E" w:rsidRDefault="00B1545C" w:rsidP="0063097D">
            <w:pPr>
              <w:pStyle w:val="TableHeading"/>
              <w:rPr>
                <w:lang w:val="en-AU"/>
              </w:rPr>
            </w:pPr>
            <w:r w:rsidRPr="00C6052E">
              <w:rPr>
                <w:lang w:val="en-AU"/>
              </w:rPr>
              <w:t>Cost</w:t>
            </w:r>
          </w:p>
        </w:tc>
        <w:tc>
          <w:tcPr>
            <w:tcW w:w="1020" w:type="dxa"/>
          </w:tcPr>
          <w:p w14:paraId="058E690A" w14:textId="77777777" w:rsidR="00B1545C" w:rsidRPr="00C6052E" w:rsidRDefault="00B1545C" w:rsidP="00B1545C">
            <w:pPr>
              <w:pStyle w:val="TableHeading"/>
              <w:jc w:val="right"/>
              <w:rPr>
                <w:lang w:val="en-AU"/>
              </w:rPr>
            </w:pPr>
          </w:p>
        </w:tc>
        <w:tc>
          <w:tcPr>
            <w:tcW w:w="1020" w:type="dxa"/>
            <w:noWrap/>
          </w:tcPr>
          <w:p w14:paraId="436061D9" w14:textId="77777777" w:rsidR="00B1545C" w:rsidRPr="00C6052E" w:rsidRDefault="00B1545C" w:rsidP="00B1545C">
            <w:pPr>
              <w:pStyle w:val="TableHeading"/>
              <w:jc w:val="right"/>
              <w:rPr>
                <w:lang w:val="en-AU"/>
              </w:rPr>
            </w:pPr>
          </w:p>
        </w:tc>
        <w:tc>
          <w:tcPr>
            <w:tcW w:w="1020" w:type="dxa"/>
            <w:noWrap/>
          </w:tcPr>
          <w:p w14:paraId="6396AB08" w14:textId="77777777" w:rsidR="00B1545C" w:rsidRPr="00C6052E" w:rsidRDefault="00B1545C" w:rsidP="00B1545C">
            <w:pPr>
              <w:pStyle w:val="TableHeading"/>
              <w:jc w:val="right"/>
              <w:rPr>
                <w:lang w:val="en-AU"/>
              </w:rPr>
            </w:pPr>
          </w:p>
        </w:tc>
        <w:tc>
          <w:tcPr>
            <w:tcW w:w="1361" w:type="dxa"/>
            <w:noWrap/>
          </w:tcPr>
          <w:p w14:paraId="262C2CA5" w14:textId="77777777" w:rsidR="00B1545C" w:rsidRPr="00C6052E" w:rsidRDefault="00B1545C" w:rsidP="00B1545C">
            <w:pPr>
              <w:pStyle w:val="TableHeading"/>
              <w:jc w:val="right"/>
              <w:rPr>
                <w:lang w:val="en-AU"/>
              </w:rPr>
            </w:pPr>
          </w:p>
        </w:tc>
        <w:tc>
          <w:tcPr>
            <w:tcW w:w="795" w:type="dxa"/>
            <w:noWrap/>
          </w:tcPr>
          <w:p w14:paraId="07B98E83" w14:textId="77777777" w:rsidR="00B1545C" w:rsidRPr="00C6052E" w:rsidRDefault="00B1545C" w:rsidP="00B1545C">
            <w:pPr>
              <w:pStyle w:val="TableHeading"/>
              <w:jc w:val="right"/>
              <w:rPr>
                <w:lang w:val="en-AU"/>
              </w:rPr>
            </w:pPr>
          </w:p>
        </w:tc>
      </w:tr>
      <w:tr w:rsidR="00EE5BB8" w:rsidRPr="00C6052E" w14:paraId="32372B54" w14:textId="77777777" w:rsidTr="00B1545C">
        <w:trPr>
          <w:cantSplit/>
        </w:trPr>
        <w:tc>
          <w:tcPr>
            <w:tcW w:w="4531" w:type="dxa"/>
            <w:hideMark/>
          </w:tcPr>
          <w:p w14:paraId="0DE83773" w14:textId="77777777" w:rsidR="00EE5BB8"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p w14:paraId="64254CF8" w14:textId="79AAD9FE" w:rsidR="005D78C4" w:rsidRPr="00C6052E" w:rsidRDefault="005D78C4" w:rsidP="005D78C4">
            <w:pPr>
              <w:pStyle w:val="Tablenotes-indented"/>
              <w:ind w:left="227" w:firstLine="0"/>
              <w:rPr>
                <w:lang w:val="en-AU"/>
              </w:rPr>
            </w:pPr>
            <w:r w:rsidRPr="00C6052E">
              <w:rPr>
                <w:lang w:val="en-AU"/>
              </w:rPr>
              <w:t>The 2024–25 result is higher than the 2024–25 budget primarily due to approved funding being released from contingency for contracted major events.</w:t>
            </w:r>
          </w:p>
        </w:tc>
        <w:tc>
          <w:tcPr>
            <w:tcW w:w="1020" w:type="dxa"/>
            <w:hideMark/>
          </w:tcPr>
          <w:p w14:paraId="0606B7EA" w14:textId="500B3078" w:rsidR="00EE5BB8" w:rsidRPr="00C6052E" w:rsidRDefault="00EE5BB8" w:rsidP="00B53837">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4ACA3C1D" w14:textId="77777777" w:rsidR="00EE5BB8" w:rsidRPr="00C6052E" w:rsidRDefault="00EE5BB8" w:rsidP="00B53837">
            <w:pPr>
              <w:pStyle w:val="Tabletotal"/>
              <w:jc w:val="right"/>
              <w:rPr>
                <w:lang w:val="en-AU"/>
              </w:rPr>
            </w:pPr>
            <w:r w:rsidRPr="00C6052E">
              <w:rPr>
                <w:lang w:val="en-AU"/>
              </w:rPr>
              <w:t>363.2</w:t>
            </w:r>
          </w:p>
        </w:tc>
        <w:tc>
          <w:tcPr>
            <w:tcW w:w="1020" w:type="dxa"/>
            <w:noWrap/>
            <w:hideMark/>
          </w:tcPr>
          <w:p w14:paraId="4B70EF8A" w14:textId="7452A30E" w:rsidR="00EE5BB8" w:rsidRPr="00C6052E" w:rsidRDefault="00EE5BB8" w:rsidP="00B53837">
            <w:pPr>
              <w:pStyle w:val="Tabletotal"/>
              <w:jc w:val="right"/>
              <w:rPr>
                <w:lang w:val="en-AU"/>
              </w:rPr>
            </w:pPr>
            <w:r w:rsidRPr="00C6052E">
              <w:rPr>
                <w:lang w:val="en-AU"/>
              </w:rPr>
              <w:t>183.8</w:t>
            </w:r>
            <w:r w:rsidR="00177848" w:rsidRPr="00C6052E">
              <w:rPr>
                <w:lang w:val="en-AU"/>
              </w:rPr>
              <w:t xml:space="preserve"> </w:t>
            </w:r>
          </w:p>
        </w:tc>
        <w:tc>
          <w:tcPr>
            <w:tcW w:w="1361" w:type="dxa"/>
            <w:noWrap/>
            <w:hideMark/>
          </w:tcPr>
          <w:p w14:paraId="46A25427" w14:textId="77777777" w:rsidR="00EE5BB8" w:rsidRPr="00C6052E" w:rsidRDefault="00EE5BB8" w:rsidP="00B53837">
            <w:pPr>
              <w:pStyle w:val="Tabletotal"/>
              <w:jc w:val="right"/>
              <w:rPr>
                <w:lang w:val="en-AU"/>
              </w:rPr>
            </w:pPr>
            <w:r w:rsidRPr="00C6052E">
              <w:rPr>
                <w:lang w:val="en-AU"/>
              </w:rPr>
              <w:t>97.6%</w:t>
            </w:r>
          </w:p>
        </w:tc>
        <w:tc>
          <w:tcPr>
            <w:tcW w:w="795" w:type="dxa"/>
            <w:noWrap/>
            <w:hideMark/>
          </w:tcPr>
          <w:p w14:paraId="5C833FE5" w14:textId="6E56EDB3" w:rsidR="00EE5BB8" w:rsidRPr="00C6052E" w:rsidRDefault="00B1545C" w:rsidP="00B53837">
            <w:pPr>
              <w:pStyle w:val="Tabletotal"/>
              <w:jc w:val="right"/>
              <w:rPr>
                <w:lang w:val="en-AU"/>
              </w:rPr>
            </w:pPr>
            <w:r w:rsidRPr="00C6052E">
              <w:rPr>
                <w:lang w:val="en-AU"/>
              </w:rPr>
              <w:t>3</w:t>
            </w:r>
          </w:p>
        </w:tc>
      </w:tr>
    </w:tbl>
    <w:p w14:paraId="4E5D410A" w14:textId="1E32F53F" w:rsidR="00EE5BB8" w:rsidRPr="00C6052E" w:rsidRDefault="00EE5BB8" w:rsidP="00B1545C">
      <w:pPr>
        <w:pStyle w:val="Tablenotes"/>
        <w:spacing w:after="240"/>
      </w:pPr>
      <w:r w:rsidRPr="00C6052E">
        <w:t>Note:</w:t>
      </w:r>
      <w:r w:rsidR="00177848" w:rsidRPr="00C6052E">
        <w:t xml:space="preserve"> </w:t>
      </w:r>
      <w:r w:rsidR="00B53837">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00B53837">
        <w:t xml:space="preserve"> 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00B53837">
        <w:t xml:space="preserve"> 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6A94EC94" w14:textId="3EC08246" w:rsidR="00EE5BB8" w:rsidRPr="00C6052E" w:rsidRDefault="00EE5BB8" w:rsidP="00B1545C">
      <w:pPr>
        <w:pStyle w:val="Heading3"/>
      </w:pPr>
      <w:bookmarkStart w:id="49" w:name="_Toc152067234"/>
      <w:r w:rsidRPr="00C6052E">
        <w:t>Objective</w:t>
      </w:r>
      <w:r w:rsidR="00177848" w:rsidRPr="00C6052E">
        <w:t xml:space="preserve"> </w:t>
      </w:r>
      <w:r w:rsidRPr="00C6052E">
        <w:t>6:</w:t>
      </w:r>
      <w:r w:rsidR="00177848" w:rsidRPr="00C6052E">
        <w:t xml:space="preserve"> </w:t>
      </w:r>
      <w:r w:rsidRPr="00C6052E">
        <w:t>Deliver</w:t>
      </w:r>
      <w:r w:rsidR="00177848" w:rsidRPr="00C6052E">
        <w:t xml:space="preserve"> </w:t>
      </w:r>
      <w:r w:rsidRPr="00C6052E">
        <w:t>high-quality</w:t>
      </w:r>
      <w:r w:rsidR="00177848" w:rsidRPr="00C6052E">
        <w:t xml:space="preserve"> </w:t>
      </w:r>
      <w:r w:rsidRPr="00C6052E">
        <w:t>training</w:t>
      </w:r>
      <w:r w:rsidR="00177848" w:rsidRPr="00C6052E">
        <w:t xml:space="preserve"> </w:t>
      </w:r>
      <w:r w:rsidRPr="00C6052E">
        <w:t>and</w:t>
      </w:r>
      <w:r w:rsidR="00177848" w:rsidRPr="00C6052E">
        <w:t xml:space="preserve"> </w:t>
      </w:r>
      <w:r w:rsidRPr="00C6052E">
        <w:t>skills</w:t>
      </w:r>
      <w:r w:rsidR="00177848" w:rsidRPr="00C6052E">
        <w:t xml:space="preserve"> </w:t>
      </w:r>
      <w:r w:rsidRPr="00C6052E">
        <w:t>to</w:t>
      </w:r>
      <w:r w:rsidR="00177848" w:rsidRPr="00C6052E">
        <w:t xml:space="preserve"> </w:t>
      </w:r>
      <w:r w:rsidRPr="00C6052E">
        <w:t>meet</w:t>
      </w:r>
      <w:r w:rsidR="00177848" w:rsidRPr="00C6052E">
        <w:t xml:space="preserve"> </w:t>
      </w:r>
      <w:r w:rsidRPr="00C6052E">
        <w:t>industry</w:t>
      </w:r>
      <w:r w:rsidR="00177848" w:rsidRPr="00C6052E">
        <w:t xml:space="preserve"> </w:t>
      </w:r>
      <w:r w:rsidRPr="00C6052E">
        <w:t>needs</w:t>
      </w:r>
      <w:r w:rsidR="00177848" w:rsidRPr="00C6052E">
        <w:t xml:space="preserve"> </w:t>
      </w:r>
      <w:r w:rsidRPr="00C6052E">
        <w:t>and</w:t>
      </w:r>
      <w:r w:rsidR="00177848" w:rsidRPr="00C6052E">
        <w:t xml:space="preserve"> </w:t>
      </w:r>
      <w:r w:rsidRPr="00C6052E">
        <w:t>jobs</w:t>
      </w:r>
      <w:r w:rsidR="00177848" w:rsidRPr="00C6052E">
        <w:t xml:space="preserve"> </w:t>
      </w:r>
      <w:r w:rsidRPr="00C6052E">
        <w:t>for</w:t>
      </w:r>
      <w:r w:rsidR="00177848" w:rsidRPr="00C6052E">
        <w:t xml:space="preserve"> </w:t>
      </w:r>
      <w:r w:rsidRPr="00C6052E">
        <w:t>a</w:t>
      </w:r>
      <w:r w:rsidR="00177848" w:rsidRPr="00C6052E">
        <w:t xml:space="preserve"> </w:t>
      </w:r>
      <w:r w:rsidRPr="00C6052E">
        <w:t>growing</w:t>
      </w:r>
      <w:r w:rsidR="00177848" w:rsidRPr="00C6052E">
        <w:t xml:space="preserve"> </w:t>
      </w:r>
      <w:r w:rsidRPr="00C6052E">
        <w:t>economy</w:t>
      </w:r>
      <w:bookmarkEnd w:id="49"/>
    </w:p>
    <w:p w14:paraId="6E44E2B3" w14:textId="2D162B77" w:rsidR="00EE5BB8" w:rsidRPr="00C6052E" w:rsidRDefault="00EE5BB8" w:rsidP="00EE5BB8">
      <w:r w:rsidRPr="00C6052E">
        <w:t>This</w:t>
      </w:r>
      <w:r w:rsidR="00177848" w:rsidRPr="00C6052E">
        <w:t xml:space="preserve"> </w:t>
      </w:r>
      <w:r w:rsidRPr="00C6052E">
        <w:t>objective</w:t>
      </w:r>
      <w:r w:rsidR="00177848" w:rsidRPr="00C6052E">
        <w:t xml:space="preserve"> </w:t>
      </w:r>
      <w:r w:rsidRPr="00C6052E">
        <w:t>seeks</w:t>
      </w:r>
      <w:r w:rsidR="00177848" w:rsidRPr="00C6052E">
        <w:t xml:space="preserve"> </w:t>
      </w:r>
      <w:r w:rsidRPr="00C6052E">
        <w:t>to</w:t>
      </w:r>
      <w:r w:rsidR="00177848" w:rsidRPr="00C6052E">
        <w:t xml:space="preserve"> </w:t>
      </w:r>
      <w:r w:rsidRPr="00C6052E">
        <w:t>develop</w:t>
      </w:r>
      <w:r w:rsidR="00177848" w:rsidRPr="00C6052E">
        <w:t xml:space="preserve"> </w:t>
      </w:r>
      <w:r w:rsidRPr="00C6052E">
        <w:t>the</w:t>
      </w:r>
      <w:r w:rsidR="00177848" w:rsidRPr="00C6052E">
        <w:t xml:space="preserve"> </w:t>
      </w:r>
      <w:r w:rsidRPr="00C6052E">
        <w:t>skills</w:t>
      </w:r>
      <w:r w:rsidR="00177848" w:rsidRPr="00C6052E">
        <w:t xml:space="preserve"> </w:t>
      </w:r>
      <w:r w:rsidRPr="00C6052E">
        <w:t>of</w:t>
      </w:r>
      <w:r w:rsidR="00177848" w:rsidRPr="00C6052E">
        <w:t xml:space="preserve"> </w:t>
      </w:r>
      <w:r w:rsidRPr="00C6052E">
        <w:t>Victorians</w:t>
      </w:r>
      <w:r w:rsidR="00177848" w:rsidRPr="00C6052E">
        <w:t xml:space="preserve"> </w:t>
      </w:r>
      <w:r w:rsidRPr="00C6052E">
        <w:t>to</w:t>
      </w:r>
      <w:r w:rsidR="00177848" w:rsidRPr="00C6052E">
        <w:t xml:space="preserve"> </w:t>
      </w:r>
      <w:r w:rsidRPr="00C6052E">
        <w:t>meet</w:t>
      </w:r>
      <w:r w:rsidR="00177848" w:rsidRPr="00C6052E">
        <w:t xml:space="preserve"> </w:t>
      </w:r>
      <w:r w:rsidRPr="00C6052E">
        <w:t>the</w:t>
      </w:r>
      <w:r w:rsidR="00177848" w:rsidRPr="00C6052E">
        <w:t xml:space="preserve"> </w:t>
      </w:r>
      <w:r w:rsidRPr="00C6052E">
        <w:t>current</w:t>
      </w:r>
      <w:r w:rsidR="00177848" w:rsidRPr="00C6052E">
        <w:t xml:space="preserve"> </w:t>
      </w:r>
      <w:r w:rsidRPr="00C6052E">
        <w:t>and</w:t>
      </w:r>
      <w:r w:rsidR="00177848" w:rsidRPr="00C6052E">
        <w:t xml:space="preserve"> </w:t>
      </w:r>
      <w:r w:rsidRPr="00C6052E">
        <w:t>future</w:t>
      </w:r>
      <w:r w:rsidR="00177848" w:rsidRPr="00C6052E">
        <w:t xml:space="preserve"> </w:t>
      </w:r>
      <w:r w:rsidRPr="00C6052E">
        <w:t>needs</w:t>
      </w:r>
      <w:r w:rsidR="00177848" w:rsidRPr="00C6052E">
        <w:t xml:space="preserve"> </w:t>
      </w:r>
      <w:r w:rsidRPr="00C6052E">
        <w:t>of</w:t>
      </w:r>
      <w:r w:rsidR="00177848" w:rsidRPr="00C6052E">
        <w:t xml:space="preserve"> </w:t>
      </w:r>
      <w:r w:rsidRPr="00C6052E">
        <w:t>industry</w:t>
      </w:r>
      <w:r w:rsidR="00177848" w:rsidRPr="00C6052E">
        <w:t xml:space="preserve"> </w:t>
      </w:r>
      <w:r w:rsidRPr="00C6052E">
        <w:t>and</w:t>
      </w:r>
      <w:r w:rsidR="00177848" w:rsidRPr="00C6052E">
        <w:t xml:space="preserve"> </w:t>
      </w:r>
      <w:r w:rsidRPr="00C6052E">
        <w:t>business</w:t>
      </w:r>
      <w:r w:rsidR="00177848" w:rsidRPr="00C6052E">
        <w:t xml:space="preserve"> </w:t>
      </w:r>
      <w:r w:rsidRPr="00C6052E">
        <w:t>by</w:t>
      </w:r>
      <w:r w:rsidR="00177848" w:rsidRPr="00C6052E">
        <w:t xml:space="preserve"> </w:t>
      </w:r>
      <w:r w:rsidRPr="00C6052E">
        <w:t>ensuring</w:t>
      </w:r>
      <w:r w:rsidR="00177848" w:rsidRPr="00C6052E">
        <w:t xml:space="preserve"> </w:t>
      </w:r>
      <w:r w:rsidRPr="00C6052E">
        <w:t>that</w:t>
      </w:r>
      <w:r w:rsidR="00177848" w:rsidRPr="00C6052E">
        <w:t xml:space="preserve"> </w:t>
      </w:r>
      <w:r w:rsidRPr="00C6052E">
        <w:t>TAFEs</w:t>
      </w:r>
      <w:r w:rsidR="00177848" w:rsidRPr="00C6052E">
        <w:t xml:space="preserve"> </w:t>
      </w:r>
      <w:r w:rsidRPr="00C6052E">
        <w:t>and</w:t>
      </w:r>
      <w:r w:rsidR="00177848" w:rsidRPr="00C6052E">
        <w:t xml:space="preserve"> </w:t>
      </w:r>
      <w:r w:rsidRPr="00C6052E">
        <w:t>training</w:t>
      </w:r>
      <w:r w:rsidR="00177848" w:rsidRPr="00C6052E">
        <w:t xml:space="preserve"> </w:t>
      </w:r>
      <w:r w:rsidRPr="00C6052E">
        <w:t>providers</w:t>
      </w:r>
      <w:r w:rsidR="00177848" w:rsidRPr="00C6052E">
        <w:t xml:space="preserve"> </w:t>
      </w:r>
      <w:r w:rsidRPr="00C6052E">
        <w:t>deliver</w:t>
      </w:r>
      <w:r w:rsidR="00177848" w:rsidRPr="00C6052E">
        <w:t xml:space="preserve"> </w:t>
      </w:r>
      <w:r w:rsidRPr="00C6052E">
        <w:t>high-quality</w:t>
      </w:r>
      <w:r w:rsidR="00177848" w:rsidRPr="00C6052E">
        <w:t xml:space="preserve"> </w:t>
      </w:r>
      <w:r w:rsidRPr="00C6052E">
        <w:t>and</w:t>
      </w:r>
      <w:r w:rsidR="00177848" w:rsidRPr="00C6052E">
        <w:t xml:space="preserve"> </w:t>
      </w:r>
      <w:r w:rsidRPr="00C6052E">
        <w:t>accessible</w:t>
      </w:r>
      <w:r w:rsidR="00177848" w:rsidRPr="00C6052E">
        <w:t xml:space="preserve"> </w:t>
      </w:r>
      <w:r w:rsidRPr="00C6052E">
        <w:t>training.</w:t>
      </w:r>
    </w:p>
    <w:p w14:paraId="63B9CD4F" w14:textId="04BDD4B9" w:rsidR="00EE5BB8" w:rsidRPr="00C6052E" w:rsidRDefault="00EE5BB8" w:rsidP="00B1545C">
      <w:pPr>
        <w:pStyle w:val="Heading4"/>
      </w:pPr>
      <w:r w:rsidRPr="00C6052E">
        <w:t>Progress</w:t>
      </w:r>
      <w:r w:rsidR="00177848" w:rsidRPr="00C6052E">
        <w:t xml:space="preserve"> </w:t>
      </w:r>
      <w:r w:rsidRPr="00C6052E">
        <w:t>towards</w:t>
      </w:r>
      <w:r w:rsidR="00177848" w:rsidRPr="00C6052E">
        <w:t xml:space="preserve"> </w:t>
      </w:r>
      <w:r w:rsidRPr="00C6052E">
        <w:t>achieving</w:t>
      </w:r>
      <w:r w:rsidR="00177848" w:rsidRPr="00C6052E">
        <w:t xml:space="preserve"> </w:t>
      </w:r>
      <w:r w:rsidRPr="00C6052E">
        <w:t>this</w:t>
      </w:r>
      <w:r w:rsidR="00177848" w:rsidRPr="00C6052E">
        <w:t xml:space="preserve"> </w:t>
      </w:r>
      <w:r w:rsidRPr="00C6052E">
        <w:t>objective</w:t>
      </w:r>
    </w:p>
    <w:p w14:paraId="6A063945" w14:textId="77D930EF" w:rsidR="00EE5BB8" w:rsidRPr="00C6052E" w:rsidRDefault="00EE5BB8" w:rsidP="00EE5BB8">
      <w:pPr>
        <w:keepNext/>
      </w:pPr>
      <w:r w:rsidRPr="00C6052E">
        <w:t>In</w:t>
      </w:r>
      <w:r w:rsidR="00177848" w:rsidRPr="00C6052E">
        <w:t xml:space="preserve"> </w:t>
      </w:r>
      <w:r w:rsidRPr="00C6052E">
        <w:t>2024–25,</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reported</w:t>
      </w:r>
      <w:r w:rsidR="00177848" w:rsidRPr="00C6052E">
        <w:t xml:space="preserve"> </w:t>
      </w:r>
      <w:r w:rsidRPr="00C6052E">
        <w:t>progress</w:t>
      </w:r>
      <w:r w:rsidR="00177848" w:rsidRPr="00C6052E">
        <w:t xml:space="preserve"> </w:t>
      </w:r>
      <w:r w:rsidRPr="00C6052E">
        <w:t>against</w:t>
      </w:r>
      <w:r w:rsidR="00177848" w:rsidRPr="00C6052E">
        <w:t xml:space="preserve"> </w:t>
      </w:r>
      <w:r w:rsidRPr="00C6052E">
        <w:t>this</w:t>
      </w:r>
      <w:r w:rsidR="00177848" w:rsidRPr="00C6052E">
        <w:t xml:space="preserve"> </w:t>
      </w:r>
      <w:r w:rsidRPr="00C6052E">
        <w:t>objective</w:t>
      </w:r>
      <w:r w:rsidR="00177848" w:rsidRPr="00C6052E">
        <w:t xml:space="preserve"> </w:t>
      </w:r>
      <w:r w:rsidRPr="00C6052E">
        <w:t>using</w:t>
      </w:r>
      <w:r w:rsidR="00177848" w:rsidRPr="00C6052E">
        <w:t xml:space="preserve"> </w:t>
      </w:r>
      <w:r w:rsidRPr="00C6052E">
        <w:t>the</w:t>
      </w:r>
      <w:r w:rsidR="00177848" w:rsidRPr="00C6052E">
        <w:t xml:space="preserve"> </w:t>
      </w:r>
      <w:r w:rsidRPr="00C6052E">
        <w:t>following</w:t>
      </w:r>
      <w:r w:rsidR="00177848" w:rsidRPr="00C6052E">
        <w:t xml:space="preserve"> </w:t>
      </w:r>
      <w:r w:rsidRPr="00C6052E">
        <w:t>objective</w:t>
      </w:r>
      <w:r w:rsidR="00177848" w:rsidRPr="00C6052E">
        <w:t xml:space="preserve"> </w:t>
      </w:r>
      <w:r w:rsidRPr="00C6052E">
        <w:t>indicators</w:t>
      </w:r>
      <w:r w:rsidR="00177848" w:rsidRPr="00C6052E">
        <w:t xml:space="preserve"> </w:t>
      </w:r>
      <w:r w:rsidRPr="00C6052E">
        <w:t>and</w:t>
      </w:r>
      <w:r w:rsidR="00177848" w:rsidRPr="00C6052E">
        <w:t xml:space="preserve"> </w:t>
      </w:r>
      <w:r w:rsidRPr="00C6052E">
        <w:t>outputs:</w:t>
      </w:r>
    </w:p>
    <w:p w14:paraId="0BD009A6" w14:textId="7A8D54E5" w:rsidR="00EE5BB8" w:rsidRPr="00C6052E" w:rsidRDefault="00EE5BB8" w:rsidP="00EE5BB8">
      <w:pPr>
        <w:pStyle w:val="Heading4"/>
      </w:pPr>
      <w:r w:rsidRPr="00C6052E">
        <w:t>Objective</w:t>
      </w:r>
      <w:r w:rsidR="00177848" w:rsidRPr="00C6052E">
        <w:t xml:space="preserve"> </w:t>
      </w:r>
      <w:r w:rsidRPr="00C6052E">
        <w:t>Indicators</w:t>
      </w:r>
    </w:p>
    <w:p w14:paraId="470EE944" w14:textId="64A3EFE4" w:rsidR="00EE5BB8" w:rsidRPr="00C6052E" w:rsidRDefault="00EE5BB8" w:rsidP="00EE5BB8">
      <w:pPr>
        <w:pStyle w:val="Bullet1"/>
        <w:numPr>
          <w:ilvl w:val="0"/>
          <w:numId w:val="1"/>
        </w:numPr>
        <w:spacing w:line="278" w:lineRule="auto"/>
        <w:ind w:left="284" w:hanging="284"/>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training</w:t>
      </w:r>
    </w:p>
    <w:p w14:paraId="2217A5E1" w14:textId="5C9FDEDD" w:rsidR="00EE5BB8" w:rsidRPr="00C6052E" w:rsidRDefault="00EE5BB8" w:rsidP="00EE5BB8">
      <w:pPr>
        <w:pStyle w:val="Bullet1"/>
        <w:numPr>
          <w:ilvl w:val="0"/>
          <w:numId w:val="1"/>
        </w:numPr>
        <w:spacing w:line="278" w:lineRule="auto"/>
        <w:ind w:left="284" w:hanging="284"/>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improved</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status</w:t>
      </w:r>
      <w:r w:rsidR="00177848" w:rsidRPr="00C6052E">
        <w:rPr>
          <w:lang w:val="en-AU"/>
        </w:rPr>
        <w:t xml:space="preserve"> </w:t>
      </w:r>
      <w:r w:rsidRPr="00C6052E">
        <w:rPr>
          <w:lang w:val="en-AU"/>
        </w:rPr>
        <w:t>after</w:t>
      </w:r>
      <w:r w:rsidR="00177848" w:rsidRPr="00C6052E">
        <w:rPr>
          <w:lang w:val="en-AU"/>
        </w:rPr>
        <w:t xml:space="preserve"> </w:t>
      </w:r>
      <w:r w:rsidRPr="00C6052E">
        <w:rPr>
          <w:lang w:val="en-AU"/>
        </w:rPr>
        <w:t>training</w:t>
      </w:r>
    </w:p>
    <w:p w14:paraId="004369DB" w14:textId="2150E0AA" w:rsidR="00EE5BB8" w:rsidRPr="00C6052E" w:rsidRDefault="00EE5BB8" w:rsidP="00EE5BB8">
      <w:pPr>
        <w:pStyle w:val="Bullet1last"/>
        <w:numPr>
          <w:ilvl w:val="0"/>
          <w:numId w:val="1"/>
        </w:numPr>
        <w:spacing w:line="278" w:lineRule="auto"/>
        <w:ind w:left="284" w:hanging="284"/>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who</w:t>
      </w:r>
      <w:r w:rsidR="00177848" w:rsidRPr="00C6052E">
        <w:rPr>
          <w:lang w:val="en-AU"/>
        </w:rPr>
        <w:t xml:space="preserve"> </w:t>
      </w:r>
      <w:r w:rsidRPr="00C6052E">
        <w:rPr>
          <w:lang w:val="en-AU"/>
        </w:rPr>
        <w:t>achieved</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main</w:t>
      </w:r>
      <w:r w:rsidR="00177848" w:rsidRPr="00C6052E">
        <w:rPr>
          <w:lang w:val="en-AU"/>
        </w:rPr>
        <w:t xml:space="preserve"> </w:t>
      </w:r>
      <w:r w:rsidRPr="00C6052E">
        <w:rPr>
          <w:lang w:val="en-AU"/>
        </w:rPr>
        <w:t>reason</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training</w:t>
      </w:r>
    </w:p>
    <w:p w14:paraId="3540A41E" w14:textId="77777777" w:rsidR="00EE5BB8" w:rsidRPr="00C6052E" w:rsidRDefault="00EE5BB8" w:rsidP="005D78C4">
      <w:pPr>
        <w:pStyle w:val="Heading5"/>
        <w:keepNext/>
        <w:numPr>
          <w:ilvl w:val="0"/>
          <w:numId w:val="0"/>
        </w:numPr>
      </w:pPr>
      <w:r w:rsidRPr="00C6052E">
        <w:lastRenderedPageBreak/>
        <w:t>Outputs</w:t>
      </w:r>
    </w:p>
    <w:p w14:paraId="0BE4D72A" w14:textId="21D30DC9" w:rsidR="00EE5BB8" w:rsidRPr="00C6052E" w:rsidRDefault="00EE5BB8" w:rsidP="00EE5BB8">
      <w:pPr>
        <w:pStyle w:val="Bullet1last"/>
        <w:numPr>
          <w:ilvl w:val="0"/>
          <w:numId w:val="1"/>
        </w:numPr>
        <w:spacing w:line="278" w:lineRule="auto"/>
        <w:ind w:left="284" w:hanging="284"/>
        <w:rPr>
          <w:lang w:val="en-AU"/>
        </w:rPr>
      </w:pPr>
      <w:r w:rsidRPr="00C6052E">
        <w:rPr>
          <w:lang w:val="en-AU"/>
        </w:rPr>
        <w:t>Training,</w:t>
      </w:r>
      <w:r w:rsidR="00177848" w:rsidRPr="00C6052E">
        <w:rPr>
          <w:lang w:val="en-AU"/>
        </w:rPr>
        <w:t xml:space="preserve"> </w:t>
      </w:r>
      <w:r w:rsidRPr="00C6052E">
        <w:rPr>
          <w:lang w:val="en-AU"/>
        </w:rPr>
        <w:t>Higher</w:t>
      </w:r>
      <w:r w:rsidR="00177848" w:rsidRPr="00C6052E">
        <w:rPr>
          <w:lang w:val="en-AU"/>
        </w:rPr>
        <w:t xml:space="preserve"> </w:t>
      </w:r>
      <w:r w:rsidRPr="00C6052E">
        <w:rPr>
          <w:lang w:val="en-AU"/>
        </w:rPr>
        <w:t>Education</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Workforce</w:t>
      </w:r>
      <w:r w:rsidR="00177848" w:rsidRPr="00C6052E">
        <w:rPr>
          <w:lang w:val="en-AU"/>
        </w:rPr>
        <w:t xml:space="preserve"> </w:t>
      </w:r>
      <w:r w:rsidRPr="00C6052E">
        <w:rPr>
          <w:lang w:val="en-AU"/>
        </w:rPr>
        <w:t>Development</w:t>
      </w:r>
    </w:p>
    <w:p w14:paraId="744DBCED" w14:textId="1389C582" w:rsidR="00EE5BB8" w:rsidRPr="00C6052E" w:rsidRDefault="00EE5BB8" w:rsidP="002A4D98">
      <w:pPr>
        <w:pStyle w:val="Heading3"/>
      </w:pPr>
      <w:bookmarkStart w:id="50" w:name="_Toc152067235"/>
      <w:r w:rsidRPr="00C6052E">
        <w:t>Indicator:</w:t>
      </w:r>
      <w:r w:rsidR="00177848" w:rsidRPr="00C6052E">
        <w:t xml:space="preserve"> </w:t>
      </w:r>
      <w:r w:rsidRPr="00C6052E">
        <w:t>Proportion</w:t>
      </w:r>
      <w:r w:rsidR="00177848" w:rsidRPr="00C6052E">
        <w:t xml:space="preserve"> </w:t>
      </w:r>
      <w:r w:rsidRPr="00C6052E">
        <w:t>of</w:t>
      </w:r>
      <w:r w:rsidR="00177848" w:rsidRPr="00C6052E">
        <w:t xml:space="preserve"> </w:t>
      </w:r>
      <w:r w:rsidRPr="00C6052E">
        <w:t>VET</w:t>
      </w:r>
      <w:r w:rsidR="00177848" w:rsidRPr="00C6052E">
        <w:t xml:space="preserve"> </w:t>
      </w:r>
      <w:r w:rsidRPr="00C6052E">
        <w:t>students</w:t>
      </w:r>
      <w:r w:rsidR="00177848" w:rsidRPr="00C6052E">
        <w:t xml:space="preserve"> </w:t>
      </w:r>
      <w:r w:rsidRPr="00C6052E">
        <w:t>satisfied</w:t>
      </w:r>
      <w:r w:rsidR="00177848" w:rsidRPr="00C6052E">
        <w:t xml:space="preserve"> </w:t>
      </w:r>
      <w:r w:rsidRPr="00C6052E">
        <w:t>with</w:t>
      </w:r>
      <w:r w:rsidR="00177848" w:rsidRPr="00C6052E">
        <w:t xml:space="preserve"> </w:t>
      </w:r>
      <w:r w:rsidRPr="00C6052E">
        <w:t>training</w:t>
      </w:r>
      <w:bookmarkEnd w:id="50"/>
    </w:p>
    <w:p w14:paraId="6555B3E6" w14:textId="1DD75ABE" w:rsidR="00EE5BB8" w:rsidRPr="00C6052E" w:rsidRDefault="00EE5BB8" w:rsidP="002A4D98">
      <w:pPr>
        <w:pStyle w:val="TableColumnHeading"/>
        <w:rPr>
          <w:lang w:val="en-AU"/>
        </w:rPr>
      </w:pPr>
      <w:r w:rsidRPr="00C6052E">
        <w:rPr>
          <w:lang w:val="en-AU"/>
        </w:rPr>
        <w:t>Table</w:t>
      </w:r>
      <w:r w:rsidR="00177848" w:rsidRPr="00C6052E">
        <w:rPr>
          <w:lang w:val="en-AU"/>
        </w:rPr>
        <w:t xml:space="preserve"> </w:t>
      </w:r>
      <w:r w:rsidRPr="00C6052E">
        <w:rPr>
          <w:lang w:val="en-AU"/>
        </w:rPr>
        <w:t>27:</w:t>
      </w:r>
      <w:r w:rsidR="00177848" w:rsidRPr="00C6052E">
        <w:rPr>
          <w:lang w:val="en-AU"/>
        </w:rPr>
        <w:t xml:space="preserve"> </w:t>
      </w: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training</w:t>
      </w:r>
    </w:p>
    <w:tbl>
      <w:tblPr>
        <w:tblStyle w:val="TableGrid"/>
        <w:tblW w:w="9634" w:type="dxa"/>
        <w:tblLayout w:type="fixed"/>
        <w:tblLook w:val="0020" w:firstRow="1" w:lastRow="0" w:firstColumn="0" w:lastColumn="0" w:noHBand="0" w:noVBand="0"/>
      </w:tblPr>
      <w:tblGrid>
        <w:gridCol w:w="4815"/>
        <w:gridCol w:w="1204"/>
        <w:gridCol w:w="1205"/>
        <w:gridCol w:w="1205"/>
        <w:gridCol w:w="1205"/>
      </w:tblGrid>
      <w:tr w:rsidR="00EE5BB8" w:rsidRPr="00C6052E" w14:paraId="26BB754D" w14:textId="77777777" w:rsidTr="002A4D98">
        <w:tc>
          <w:tcPr>
            <w:tcW w:w="4815" w:type="dxa"/>
          </w:tcPr>
          <w:p w14:paraId="23E37CA9" w14:textId="35C35A92" w:rsidR="00EE5BB8" w:rsidRPr="00C6052E" w:rsidRDefault="00EE5BB8" w:rsidP="002A4D98">
            <w:pPr>
              <w:pStyle w:val="TableColumnHeading"/>
              <w:rPr>
                <w:lang w:val="en-AU"/>
              </w:rPr>
            </w:pPr>
            <w:bookmarkStart w:id="51" w:name="TableColumnHeadings_35"/>
            <w:bookmarkEnd w:id="51"/>
            <w:r w:rsidRPr="00C6052E">
              <w:rPr>
                <w:lang w:val="en-AU"/>
              </w:rPr>
              <w:t>Measure</w:t>
            </w:r>
            <w:r w:rsidR="00B1545C"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04" w:type="dxa"/>
          </w:tcPr>
          <w:p w14:paraId="69322DC4" w14:textId="77777777" w:rsidR="00EE5BB8" w:rsidRPr="00C6052E" w:rsidRDefault="00EE5BB8" w:rsidP="002A4D98">
            <w:pPr>
              <w:pStyle w:val="TableColumnHeading"/>
              <w:jc w:val="right"/>
              <w:rPr>
                <w:lang w:val="en-AU"/>
              </w:rPr>
            </w:pPr>
            <w:r w:rsidRPr="00C6052E">
              <w:rPr>
                <w:lang w:val="en-AU"/>
              </w:rPr>
              <w:t>2021–22</w:t>
            </w:r>
          </w:p>
        </w:tc>
        <w:tc>
          <w:tcPr>
            <w:tcW w:w="1205" w:type="dxa"/>
          </w:tcPr>
          <w:p w14:paraId="4512B841" w14:textId="77777777" w:rsidR="00EE5BB8" w:rsidRPr="00C6052E" w:rsidRDefault="00EE5BB8" w:rsidP="002A4D98">
            <w:pPr>
              <w:pStyle w:val="TableColumnHeading"/>
              <w:jc w:val="right"/>
              <w:rPr>
                <w:lang w:val="en-AU"/>
              </w:rPr>
            </w:pPr>
            <w:r w:rsidRPr="00C6052E">
              <w:rPr>
                <w:lang w:val="en-AU"/>
              </w:rPr>
              <w:t>2022–23</w:t>
            </w:r>
          </w:p>
        </w:tc>
        <w:tc>
          <w:tcPr>
            <w:tcW w:w="1205" w:type="dxa"/>
          </w:tcPr>
          <w:p w14:paraId="7A337FB5" w14:textId="77777777" w:rsidR="00EE5BB8" w:rsidRPr="00C6052E" w:rsidRDefault="00EE5BB8" w:rsidP="002A4D98">
            <w:pPr>
              <w:pStyle w:val="TableColumnHeading"/>
              <w:jc w:val="right"/>
              <w:rPr>
                <w:lang w:val="en-AU"/>
              </w:rPr>
            </w:pPr>
            <w:r w:rsidRPr="00C6052E">
              <w:rPr>
                <w:lang w:val="en-AU"/>
              </w:rPr>
              <w:t>2023–24</w:t>
            </w:r>
          </w:p>
        </w:tc>
        <w:tc>
          <w:tcPr>
            <w:tcW w:w="1205" w:type="dxa"/>
          </w:tcPr>
          <w:p w14:paraId="24B74AC0" w14:textId="77777777" w:rsidR="00EE5BB8" w:rsidRPr="00C6052E" w:rsidRDefault="00EE5BB8" w:rsidP="002A4D98">
            <w:pPr>
              <w:pStyle w:val="TableColumnHeading"/>
              <w:jc w:val="right"/>
              <w:rPr>
                <w:lang w:val="en-AU"/>
              </w:rPr>
            </w:pPr>
            <w:r w:rsidRPr="00C6052E">
              <w:rPr>
                <w:lang w:val="en-AU"/>
              </w:rPr>
              <w:t>2024–25</w:t>
            </w:r>
          </w:p>
        </w:tc>
      </w:tr>
      <w:tr w:rsidR="00EE5BB8" w:rsidRPr="00C6052E" w14:paraId="3ACF34D0" w14:textId="77777777" w:rsidTr="002A4D98">
        <w:tc>
          <w:tcPr>
            <w:tcW w:w="4815" w:type="dxa"/>
          </w:tcPr>
          <w:p w14:paraId="008FE4BE" w14:textId="1395BD11" w:rsidR="00EE5BB8" w:rsidRPr="00C6052E" w:rsidRDefault="00EE5BB8" w:rsidP="002A4D98">
            <w:pPr>
              <w:pStyle w:val="TableCopy"/>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training</w:t>
            </w:r>
            <w:r w:rsidR="00177848" w:rsidRPr="00C6052E">
              <w:rPr>
                <w:lang w:val="en-AU"/>
              </w:rPr>
              <w:t xml:space="preserve"> </w:t>
            </w:r>
            <w:r w:rsidRPr="00C6052E">
              <w:rPr>
                <w:lang w:val="en-AU"/>
              </w:rPr>
              <w:t>(per</w:t>
            </w:r>
            <w:r w:rsidR="00177848" w:rsidRPr="00C6052E">
              <w:rPr>
                <w:lang w:val="en-AU"/>
              </w:rPr>
              <w:t xml:space="preserve"> </w:t>
            </w:r>
            <w:r w:rsidRPr="00C6052E">
              <w:rPr>
                <w:lang w:val="en-AU"/>
              </w:rPr>
              <w:t>cent)</w:t>
            </w:r>
          </w:p>
        </w:tc>
        <w:tc>
          <w:tcPr>
            <w:tcW w:w="1204" w:type="dxa"/>
          </w:tcPr>
          <w:p w14:paraId="2B46F15E" w14:textId="77777777" w:rsidR="00EE5BB8" w:rsidRPr="00C6052E" w:rsidRDefault="00EE5BB8" w:rsidP="002A4D98">
            <w:pPr>
              <w:pStyle w:val="TableCopy"/>
              <w:jc w:val="right"/>
              <w:rPr>
                <w:lang w:val="en-AU"/>
              </w:rPr>
            </w:pPr>
            <w:r w:rsidRPr="00C6052E">
              <w:rPr>
                <w:lang w:val="en-AU"/>
              </w:rPr>
              <w:t>86.5</w:t>
            </w:r>
          </w:p>
        </w:tc>
        <w:tc>
          <w:tcPr>
            <w:tcW w:w="1205" w:type="dxa"/>
          </w:tcPr>
          <w:p w14:paraId="5BA65A4C" w14:textId="77777777" w:rsidR="00EE5BB8" w:rsidRPr="00C6052E" w:rsidRDefault="00EE5BB8" w:rsidP="002A4D98">
            <w:pPr>
              <w:pStyle w:val="TableCopy"/>
              <w:jc w:val="right"/>
              <w:rPr>
                <w:lang w:val="en-AU"/>
              </w:rPr>
            </w:pPr>
            <w:r w:rsidRPr="00C6052E">
              <w:rPr>
                <w:lang w:val="en-AU"/>
              </w:rPr>
              <w:t>86.4</w:t>
            </w:r>
          </w:p>
        </w:tc>
        <w:tc>
          <w:tcPr>
            <w:tcW w:w="1205" w:type="dxa"/>
          </w:tcPr>
          <w:p w14:paraId="17E2EEF7" w14:textId="77777777" w:rsidR="00EE5BB8" w:rsidRPr="00C6052E" w:rsidRDefault="00EE5BB8" w:rsidP="002A4D98">
            <w:pPr>
              <w:pStyle w:val="TableCopy"/>
              <w:jc w:val="right"/>
              <w:rPr>
                <w:lang w:val="en-AU"/>
              </w:rPr>
            </w:pPr>
            <w:r w:rsidRPr="00C6052E">
              <w:rPr>
                <w:lang w:val="en-AU"/>
              </w:rPr>
              <w:t>86.0</w:t>
            </w:r>
          </w:p>
        </w:tc>
        <w:tc>
          <w:tcPr>
            <w:tcW w:w="1205" w:type="dxa"/>
          </w:tcPr>
          <w:p w14:paraId="77F63153" w14:textId="77777777" w:rsidR="00EE5BB8" w:rsidRPr="00C6052E" w:rsidRDefault="00EE5BB8" w:rsidP="002A4D98">
            <w:pPr>
              <w:pStyle w:val="TableCopy"/>
              <w:jc w:val="right"/>
              <w:rPr>
                <w:lang w:val="en-AU"/>
              </w:rPr>
            </w:pPr>
            <w:r w:rsidRPr="00C6052E">
              <w:rPr>
                <w:lang w:val="en-AU"/>
              </w:rPr>
              <w:t>87.2</w:t>
            </w:r>
          </w:p>
        </w:tc>
      </w:tr>
    </w:tbl>
    <w:p w14:paraId="3A29EC8D" w14:textId="77777777" w:rsidR="00EE5BB8" w:rsidRPr="00C6052E" w:rsidRDefault="00EE5BB8" w:rsidP="00EE5BB8"/>
    <w:p w14:paraId="7564A0A8" w14:textId="4A9A6E37" w:rsidR="00EE5BB8" w:rsidRPr="00C6052E" w:rsidRDefault="00EE5BB8" w:rsidP="002A4D98">
      <w:pPr>
        <w:pStyle w:val="TableHeading"/>
      </w:pPr>
      <w:r w:rsidRPr="00C6052E">
        <w:t>Figure</w:t>
      </w:r>
      <w:r w:rsidR="00177848" w:rsidRPr="00C6052E">
        <w:t xml:space="preserve"> </w:t>
      </w:r>
      <w:r w:rsidRPr="00C6052E">
        <w:t>26:</w:t>
      </w:r>
      <w:r w:rsidR="00177848" w:rsidRPr="00C6052E">
        <w:t xml:space="preserve"> </w:t>
      </w:r>
      <w:r w:rsidRPr="00C6052E">
        <w:t>Proportion</w:t>
      </w:r>
      <w:r w:rsidR="00177848" w:rsidRPr="00C6052E">
        <w:t xml:space="preserve"> </w:t>
      </w:r>
      <w:r w:rsidRPr="00C6052E">
        <w:t>of</w:t>
      </w:r>
      <w:r w:rsidR="00177848" w:rsidRPr="00C6052E">
        <w:t xml:space="preserve"> </w:t>
      </w:r>
      <w:r w:rsidRPr="00C6052E">
        <w:t>VET</w:t>
      </w:r>
      <w:r w:rsidR="00177848" w:rsidRPr="00C6052E">
        <w:t xml:space="preserve"> </w:t>
      </w:r>
      <w:r w:rsidRPr="00C6052E">
        <w:t>students</w:t>
      </w:r>
      <w:r w:rsidR="00177848" w:rsidRPr="00C6052E">
        <w:t xml:space="preserve"> </w:t>
      </w:r>
      <w:r w:rsidRPr="00C6052E">
        <w:t>satisfied</w:t>
      </w:r>
      <w:r w:rsidR="00177848" w:rsidRPr="00C6052E">
        <w:t xml:space="preserve"> </w:t>
      </w:r>
      <w:r w:rsidRPr="00C6052E">
        <w:t>with</w:t>
      </w:r>
      <w:r w:rsidR="00177848" w:rsidRPr="00C6052E">
        <w:t xml:space="preserve"> </w:t>
      </w:r>
      <w:r w:rsidRPr="00C6052E">
        <w:t>training</w:t>
      </w:r>
    </w:p>
    <w:p w14:paraId="30743927" w14:textId="77777777" w:rsidR="00EE5BB8" w:rsidRPr="00C6052E" w:rsidRDefault="00EE5BB8" w:rsidP="00EE5BB8">
      <w:pPr>
        <w:pStyle w:val="Graph"/>
        <w:rPr>
          <w:noProof w:val="0"/>
        </w:rPr>
      </w:pPr>
      <w:r w:rsidRPr="00C6052E">
        <w:drawing>
          <wp:inline distT="0" distB="0" distL="0" distR="0" wp14:anchorId="536C91AD" wp14:editId="6E2D9519">
            <wp:extent cx="4050000" cy="2700000"/>
            <wp:effectExtent l="0" t="0" r="0" b="0"/>
            <wp:docPr id="91483315" name="Chart 1" descr="Line graph showing data from Table 27: Proportion of VET students satisfied with training (above).">
              <a:extLst xmlns:a="http://schemas.openxmlformats.org/drawingml/2006/main">
                <a:ext uri="{FF2B5EF4-FFF2-40B4-BE49-F238E27FC236}">
                  <a16:creationId xmlns:a16="http://schemas.microsoft.com/office/drawing/2014/main" id="{00000000-0008-0000-0600-000026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5C16B33" w14:textId="0A391704" w:rsidR="00EE5BB8" w:rsidRPr="00C6052E" w:rsidRDefault="00EE5BB8" w:rsidP="00EE5BB8">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has</w:t>
      </w:r>
      <w:r w:rsidR="00177848" w:rsidRPr="00C6052E">
        <w:t xml:space="preserve"> </w:t>
      </w:r>
      <w:r w:rsidRPr="00C6052E">
        <w:t>improved</w:t>
      </w:r>
      <w:r w:rsidR="00177848" w:rsidRPr="00C6052E">
        <w:t xml:space="preserve"> </w:t>
      </w:r>
      <w:r w:rsidRPr="00C6052E">
        <w:t>learners’</w:t>
      </w:r>
      <w:r w:rsidR="00177848" w:rsidRPr="00C6052E">
        <w:t xml:space="preserve"> </w:t>
      </w:r>
      <w:r w:rsidRPr="00C6052E">
        <w:t>experience</w:t>
      </w:r>
      <w:r w:rsidR="00177848" w:rsidRPr="00C6052E">
        <w:t xml:space="preserve"> </w:t>
      </w:r>
      <w:r w:rsidRPr="00C6052E">
        <w:t>of</w:t>
      </w:r>
      <w:r w:rsidR="00177848" w:rsidRPr="00C6052E">
        <w:t xml:space="preserve"> </w:t>
      </w:r>
      <w:r w:rsidRPr="00C6052E">
        <w:t>training</w:t>
      </w:r>
      <w:r w:rsidR="00177848" w:rsidRPr="00C6052E">
        <w:t xml:space="preserve"> </w:t>
      </w:r>
      <w:r w:rsidRPr="00C6052E">
        <w:t>by</w:t>
      </w:r>
      <w:r w:rsidR="00177848" w:rsidRPr="00C6052E">
        <w:t xml:space="preserve"> </w:t>
      </w:r>
      <w:r w:rsidRPr="00C6052E">
        <w:t>investing</w:t>
      </w:r>
      <w:r w:rsidR="00177848" w:rsidRPr="00C6052E">
        <w:t xml:space="preserve"> </w:t>
      </w:r>
      <w:r w:rsidRPr="00C6052E">
        <w:t>in</w:t>
      </w:r>
      <w:r w:rsidR="00177848" w:rsidRPr="00C6052E">
        <w:t xml:space="preserve"> </w:t>
      </w:r>
      <w:r w:rsidRPr="00C6052E">
        <w:t>initiatives</w:t>
      </w:r>
      <w:r w:rsidR="00177848" w:rsidRPr="00C6052E">
        <w:t xml:space="preserve"> </w:t>
      </w:r>
      <w:r w:rsidRPr="00C6052E">
        <w:t>that</w:t>
      </w:r>
      <w:r w:rsidR="00177848" w:rsidRPr="00C6052E">
        <w:t xml:space="preserve"> </w:t>
      </w:r>
      <w:r w:rsidRPr="00C6052E">
        <w:t>enhance</w:t>
      </w:r>
      <w:r w:rsidR="00177848" w:rsidRPr="00C6052E">
        <w:t xml:space="preserve"> </w:t>
      </w:r>
      <w:r w:rsidRPr="00C6052E">
        <w:t>training</w:t>
      </w:r>
      <w:r w:rsidR="00177848" w:rsidRPr="00C6052E">
        <w:t xml:space="preserve"> </w:t>
      </w:r>
      <w:r w:rsidRPr="00C6052E">
        <w:t>quality,</w:t>
      </w:r>
      <w:r w:rsidR="00177848" w:rsidRPr="00C6052E">
        <w:t xml:space="preserve"> </w:t>
      </w:r>
      <w:r w:rsidRPr="00C6052E">
        <w:t>accessibility</w:t>
      </w:r>
      <w:r w:rsidR="00177848" w:rsidRPr="00C6052E">
        <w:t xml:space="preserve"> </w:t>
      </w:r>
      <w:r w:rsidRPr="00C6052E">
        <w:t>and</w:t>
      </w:r>
      <w:r w:rsidR="00177848" w:rsidRPr="00C6052E">
        <w:t xml:space="preserve"> </w:t>
      </w:r>
      <w:r w:rsidRPr="00C6052E">
        <w:t>learner</w:t>
      </w:r>
      <w:r w:rsidR="00177848" w:rsidRPr="00C6052E">
        <w:t xml:space="preserve"> </w:t>
      </w:r>
      <w:r w:rsidRPr="00C6052E">
        <w:t>support.</w:t>
      </w:r>
      <w:r w:rsidR="00177848" w:rsidRPr="00C6052E">
        <w:t xml:space="preserve"> </w:t>
      </w:r>
      <w:r w:rsidRPr="00C6052E">
        <w:t>Satisfaction</w:t>
      </w:r>
      <w:r w:rsidR="00177848" w:rsidRPr="00C6052E">
        <w:t xml:space="preserve"> </w:t>
      </w:r>
      <w:r w:rsidRPr="00C6052E">
        <w:t>with</w:t>
      </w:r>
      <w:r w:rsidR="00177848" w:rsidRPr="00C6052E">
        <w:t xml:space="preserve"> </w:t>
      </w:r>
      <w:r w:rsidRPr="00C6052E">
        <w:t>training</w:t>
      </w:r>
      <w:r w:rsidR="00177848" w:rsidRPr="00C6052E">
        <w:t xml:space="preserve"> </w:t>
      </w:r>
      <w:r w:rsidRPr="00C6052E">
        <w:t>among</w:t>
      </w:r>
      <w:r w:rsidR="00177848" w:rsidRPr="00C6052E">
        <w:t xml:space="preserve"> </w:t>
      </w:r>
      <w:r w:rsidRPr="00C6052E">
        <w:t>VET</w:t>
      </w:r>
      <w:r w:rsidR="00177848" w:rsidRPr="00C6052E">
        <w:t xml:space="preserve"> </w:t>
      </w:r>
      <w:r w:rsidRPr="00C6052E">
        <w:t>completers</w:t>
      </w:r>
      <w:r w:rsidR="00177848" w:rsidRPr="00C6052E">
        <w:t xml:space="preserve"> </w:t>
      </w:r>
      <w:r w:rsidRPr="00C6052E">
        <w:t>has</w:t>
      </w:r>
      <w:r w:rsidR="00177848" w:rsidRPr="00C6052E">
        <w:t xml:space="preserve"> </w:t>
      </w:r>
      <w:r w:rsidRPr="00C6052E">
        <w:t>remained</w:t>
      </w:r>
      <w:r w:rsidR="00177848" w:rsidRPr="00C6052E">
        <w:t xml:space="preserve"> </w:t>
      </w:r>
      <w:r w:rsidRPr="00C6052E">
        <w:t>consistently</w:t>
      </w:r>
      <w:r w:rsidR="00177848" w:rsidRPr="00C6052E">
        <w:t xml:space="preserve"> </w:t>
      </w:r>
      <w:r w:rsidRPr="00C6052E">
        <w:t>strong</w:t>
      </w:r>
      <w:r w:rsidR="00177848" w:rsidRPr="00C6052E">
        <w:t xml:space="preserve"> </w:t>
      </w:r>
      <w:r w:rsidRPr="00C6052E">
        <w:t>over</w:t>
      </w:r>
      <w:r w:rsidR="00177848" w:rsidRPr="00C6052E">
        <w:t xml:space="preserve"> </w:t>
      </w:r>
      <w:r w:rsidRPr="00C6052E">
        <w:t>the</w:t>
      </w:r>
      <w:r w:rsidR="00177848" w:rsidRPr="00C6052E">
        <w:t xml:space="preserve"> </w:t>
      </w:r>
      <w:r w:rsidRPr="00C6052E">
        <w:t>past</w:t>
      </w:r>
      <w:r w:rsidR="00177848" w:rsidRPr="00C6052E">
        <w:t xml:space="preserve"> </w:t>
      </w:r>
      <w:r w:rsidRPr="00C6052E">
        <w:t>4</w:t>
      </w:r>
      <w:r w:rsidR="00177848" w:rsidRPr="00C6052E">
        <w:t xml:space="preserve"> </w:t>
      </w:r>
      <w:r w:rsidRPr="00C6052E">
        <w:t>years.</w:t>
      </w:r>
      <w:r w:rsidR="00177848" w:rsidRPr="00C6052E">
        <w:t xml:space="preserve"> </w:t>
      </w:r>
      <w:r w:rsidRPr="00C6052E">
        <w:t>The</w:t>
      </w:r>
      <w:r w:rsidR="00177848" w:rsidRPr="00C6052E">
        <w:t xml:space="preserve"> </w:t>
      </w:r>
      <w:r w:rsidRPr="00C6052E">
        <w:t>2024–25</w:t>
      </w:r>
      <w:r w:rsidR="00177848" w:rsidRPr="00C6052E">
        <w:t xml:space="preserve"> </w:t>
      </w:r>
      <w:r w:rsidRPr="00C6052E">
        <w:t>result</w:t>
      </w:r>
      <w:r w:rsidR="00177848" w:rsidRPr="00C6052E">
        <w:t xml:space="preserve"> </w:t>
      </w:r>
      <w:r w:rsidRPr="00C6052E">
        <w:t>of</w:t>
      </w:r>
      <w:r w:rsidR="00177848" w:rsidRPr="00C6052E">
        <w:t xml:space="preserve"> </w:t>
      </w:r>
      <w:r w:rsidRPr="00C6052E">
        <w:t>87.2%</w:t>
      </w:r>
      <w:r w:rsidR="00177848" w:rsidRPr="00C6052E">
        <w:t xml:space="preserve"> </w:t>
      </w:r>
      <w:r w:rsidRPr="00C6052E">
        <w:t>satisfaction</w:t>
      </w:r>
      <w:r w:rsidR="00177848" w:rsidRPr="00C6052E">
        <w:t xml:space="preserve"> </w:t>
      </w:r>
      <w:r w:rsidRPr="00C6052E">
        <w:t>is</w:t>
      </w:r>
      <w:r w:rsidR="00177848" w:rsidRPr="00C6052E">
        <w:t xml:space="preserve"> </w:t>
      </w:r>
      <w:r w:rsidRPr="00C6052E">
        <w:t>an</w:t>
      </w:r>
      <w:r w:rsidR="00177848" w:rsidRPr="00C6052E">
        <w:t xml:space="preserve"> </w:t>
      </w:r>
      <w:r w:rsidRPr="00C6052E">
        <w:t>improvement</w:t>
      </w:r>
      <w:r w:rsidR="00177848" w:rsidRPr="00C6052E">
        <w:t xml:space="preserve"> </w:t>
      </w:r>
      <w:r w:rsidRPr="00C6052E">
        <w:t>over</w:t>
      </w:r>
      <w:r w:rsidR="00177848" w:rsidRPr="00C6052E">
        <w:t xml:space="preserve"> </w:t>
      </w:r>
      <w:r w:rsidRPr="00C6052E">
        <w:t>results</w:t>
      </w:r>
      <w:r w:rsidR="00177848" w:rsidRPr="00C6052E">
        <w:t xml:space="preserve"> </w:t>
      </w:r>
      <w:r w:rsidRPr="00C6052E">
        <w:t>from</w:t>
      </w:r>
      <w:r w:rsidR="00177848" w:rsidRPr="00C6052E">
        <w:t xml:space="preserve"> </w:t>
      </w:r>
      <w:r w:rsidRPr="00C6052E">
        <w:t>the</w:t>
      </w:r>
      <w:r w:rsidR="00177848" w:rsidRPr="00C6052E">
        <w:t xml:space="preserve"> </w:t>
      </w:r>
      <w:r w:rsidRPr="00C6052E">
        <w:t>prior</w:t>
      </w:r>
      <w:r w:rsidR="00177848" w:rsidRPr="00C6052E">
        <w:t xml:space="preserve"> </w:t>
      </w:r>
      <w:r w:rsidRPr="00C6052E">
        <w:t>3</w:t>
      </w:r>
      <w:r w:rsidR="00177848" w:rsidRPr="00C6052E">
        <w:t xml:space="preserve"> </w:t>
      </w:r>
      <w:r w:rsidRPr="00C6052E">
        <w:t>years.</w:t>
      </w:r>
    </w:p>
    <w:p w14:paraId="183A8229" w14:textId="06B95921" w:rsidR="00EE5BB8" w:rsidRPr="00C6052E" w:rsidRDefault="00EE5BB8" w:rsidP="00EE5BB8">
      <w:pPr>
        <w:keepLines/>
      </w:pPr>
      <w:r w:rsidRPr="00C6052E">
        <w:t>Free</w:t>
      </w:r>
      <w:r w:rsidR="00177848" w:rsidRPr="00C6052E">
        <w:t xml:space="preserve"> </w:t>
      </w:r>
      <w:r w:rsidRPr="00C6052E">
        <w:t>TAFE,</w:t>
      </w:r>
      <w:r w:rsidR="00177848" w:rsidRPr="00C6052E">
        <w:t xml:space="preserve"> </w:t>
      </w:r>
      <w:r w:rsidRPr="00C6052E">
        <w:t>which</w:t>
      </w:r>
      <w:r w:rsidR="00177848" w:rsidRPr="00C6052E">
        <w:t xml:space="preserve"> </w:t>
      </w:r>
      <w:r w:rsidRPr="00C6052E">
        <w:t>now</w:t>
      </w:r>
      <w:r w:rsidR="00177848" w:rsidRPr="00C6052E">
        <w:t xml:space="preserve"> </w:t>
      </w:r>
      <w:r w:rsidRPr="00C6052E">
        <w:t>covers</w:t>
      </w:r>
      <w:r w:rsidR="00177848" w:rsidRPr="00C6052E">
        <w:t xml:space="preserve"> </w:t>
      </w:r>
      <w:r w:rsidRPr="00C6052E">
        <w:t>more</w:t>
      </w:r>
      <w:r w:rsidR="00177848" w:rsidRPr="00C6052E">
        <w:t xml:space="preserve"> </w:t>
      </w:r>
      <w:r w:rsidRPr="00C6052E">
        <w:t>than</w:t>
      </w:r>
      <w:r w:rsidR="00177848" w:rsidRPr="00C6052E">
        <w:t xml:space="preserve"> </w:t>
      </w:r>
      <w:r w:rsidRPr="00C6052E">
        <w:t>80</w:t>
      </w:r>
      <w:r w:rsidR="00177848" w:rsidRPr="00C6052E">
        <w:t xml:space="preserve"> </w:t>
      </w:r>
      <w:r w:rsidRPr="00C6052E">
        <w:t>priority</w:t>
      </w:r>
      <w:r w:rsidR="00177848" w:rsidRPr="00C6052E">
        <w:t xml:space="preserve"> </w:t>
      </w:r>
      <w:r w:rsidRPr="00C6052E">
        <w:t>courses,</w:t>
      </w:r>
      <w:r w:rsidR="00177848" w:rsidRPr="00C6052E">
        <w:t xml:space="preserve"> </w:t>
      </w:r>
      <w:r w:rsidRPr="00C6052E">
        <w:t>has</w:t>
      </w:r>
      <w:r w:rsidR="00177848" w:rsidRPr="00C6052E">
        <w:t xml:space="preserve"> </w:t>
      </w:r>
      <w:r w:rsidRPr="00C6052E">
        <w:t>improved</w:t>
      </w:r>
      <w:r w:rsidR="00177848" w:rsidRPr="00C6052E">
        <w:t xml:space="preserve"> </w:t>
      </w:r>
      <w:r w:rsidRPr="00C6052E">
        <w:t>student</w:t>
      </w:r>
      <w:r w:rsidR="00177848" w:rsidRPr="00C6052E">
        <w:t xml:space="preserve"> </w:t>
      </w:r>
      <w:r w:rsidRPr="00C6052E">
        <w:t>satisfaction.</w:t>
      </w:r>
      <w:r w:rsidR="00177848" w:rsidRPr="00C6052E">
        <w:t xml:space="preserve"> </w:t>
      </w:r>
      <w:r w:rsidRPr="00C6052E">
        <w:t>By</w:t>
      </w:r>
      <w:r w:rsidR="00177848" w:rsidRPr="00C6052E">
        <w:t xml:space="preserve"> </w:t>
      </w:r>
      <w:r w:rsidRPr="00C6052E">
        <w:t>removing</w:t>
      </w:r>
      <w:r w:rsidR="00177848" w:rsidRPr="00C6052E">
        <w:t xml:space="preserve"> </w:t>
      </w:r>
      <w:r w:rsidRPr="00C6052E">
        <w:t>financial</w:t>
      </w:r>
      <w:r w:rsidR="00177848" w:rsidRPr="00C6052E">
        <w:t xml:space="preserve"> </w:t>
      </w:r>
      <w:r w:rsidRPr="00C6052E">
        <w:t>barriers,</w:t>
      </w:r>
      <w:r w:rsidR="00177848" w:rsidRPr="00C6052E">
        <w:t xml:space="preserve"> </w:t>
      </w:r>
      <w:r w:rsidRPr="00C6052E">
        <w:t>more</w:t>
      </w:r>
      <w:r w:rsidR="00177848" w:rsidRPr="00C6052E">
        <w:t xml:space="preserve"> </w:t>
      </w:r>
      <w:r w:rsidRPr="00C6052E">
        <w:t>students</w:t>
      </w:r>
      <w:r w:rsidR="00177848" w:rsidRPr="00C6052E">
        <w:t xml:space="preserve"> </w:t>
      </w:r>
      <w:r w:rsidRPr="00C6052E">
        <w:t>have</w:t>
      </w:r>
      <w:r w:rsidR="00177848" w:rsidRPr="00C6052E">
        <w:t xml:space="preserve"> </w:t>
      </w:r>
      <w:r w:rsidRPr="00C6052E">
        <w:t>been</w:t>
      </w:r>
      <w:r w:rsidR="00177848" w:rsidRPr="00C6052E">
        <w:t xml:space="preserve"> </w:t>
      </w:r>
      <w:r w:rsidRPr="00C6052E">
        <w:t>able</w:t>
      </w:r>
      <w:r w:rsidR="00177848" w:rsidRPr="00C6052E">
        <w:t xml:space="preserve"> </w:t>
      </w:r>
      <w:r w:rsidRPr="00C6052E">
        <w:t>to</w:t>
      </w:r>
      <w:r w:rsidR="00177848" w:rsidRPr="00C6052E">
        <w:t xml:space="preserve"> </w:t>
      </w:r>
      <w:r w:rsidRPr="00C6052E">
        <w:t>access</w:t>
      </w:r>
      <w:r w:rsidR="00177848" w:rsidRPr="00C6052E">
        <w:t xml:space="preserve"> </w:t>
      </w:r>
      <w:r w:rsidRPr="00C6052E">
        <w:t>quality</w:t>
      </w:r>
      <w:r w:rsidR="00177848" w:rsidRPr="00C6052E">
        <w:t xml:space="preserve"> </w:t>
      </w:r>
      <w:r w:rsidRPr="00C6052E">
        <w:t>training</w:t>
      </w:r>
      <w:r w:rsidR="00177848" w:rsidRPr="00C6052E">
        <w:t xml:space="preserve"> </w:t>
      </w:r>
      <w:r w:rsidRPr="00C6052E">
        <w:t>in</w:t>
      </w:r>
      <w:r w:rsidR="00177848" w:rsidRPr="00C6052E">
        <w:t xml:space="preserve"> </w:t>
      </w:r>
      <w:r w:rsidRPr="00C6052E">
        <w:t>priority</w:t>
      </w:r>
      <w:r w:rsidR="00177848" w:rsidRPr="00C6052E">
        <w:t xml:space="preserve"> </w:t>
      </w:r>
      <w:r w:rsidRPr="00C6052E">
        <w:t>areas.</w:t>
      </w:r>
    </w:p>
    <w:p w14:paraId="17A01179" w14:textId="11095E5C" w:rsidR="00EE5BB8" w:rsidRPr="00C6052E" w:rsidRDefault="00EE5BB8" w:rsidP="00EE5BB8">
      <w:pPr>
        <w:keepLines/>
      </w:pPr>
      <w:r w:rsidRPr="00C6052E">
        <w:t>Through</w:t>
      </w:r>
      <w:r w:rsidR="00177848" w:rsidRPr="00C6052E">
        <w:t xml:space="preserve"> </w:t>
      </w:r>
      <w:r w:rsidRPr="00C6052E">
        <w:t>the</w:t>
      </w:r>
      <w:r w:rsidR="00177848" w:rsidRPr="00C6052E">
        <w:t xml:space="preserve"> </w:t>
      </w:r>
      <w:r w:rsidRPr="00C6052E">
        <w:t>TAFE</w:t>
      </w:r>
      <w:r w:rsidR="00177848" w:rsidRPr="00C6052E">
        <w:t xml:space="preserve"> </w:t>
      </w:r>
      <w:r w:rsidRPr="00C6052E">
        <w:t>Services</w:t>
      </w:r>
      <w:r w:rsidR="00177848" w:rsidRPr="00C6052E">
        <w:t xml:space="preserve"> </w:t>
      </w:r>
      <w:r w:rsidRPr="00C6052E">
        <w:t>Fund,</w:t>
      </w:r>
      <w:r w:rsidR="00177848" w:rsidRPr="00C6052E">
        <w:t xml:space="preserve"> </w:t>
      </w:r>
      <w:r w:rsidRPr="00C6052E">
        <w:t>TAFEs</w:t>
      </w:r>
      <w:r w:rsidR="00177848" w:rsidRPr="00C6052E">
        <w:t xml:space="preserve"> </w:t>
      </w:r>
      <w:r w:rsidRPr="00C6052E">
        <w:t>provide</w:t>
      </w:r>
      <w:r w:rsidR="00177848" w:rsidRPr="00C6052E">
        <w:t xml:space="preserve"> </w:t>
      </w:r>
      <w:r w:rsidRPr="00C6052E">
        <w:t>a</w:t>
      </w:r>
      <w:r w:rsidR="00177848" w:rsidRPr="00C6052E">
        <w:t xml:space="preserve"> </w:t>
      </w:r>
      <w:r w:rsidRPr="00C6052E">
        <w:t>suite</w:t>
      </w:r>
      <w:r w:rsidR="00177848" w:rsidRPr="00C6052E">
        <w:t xml:space="preserve"> </w:t>
      </w:r>
      <w:r w:rsidRPr="00C6052E">
        <w:t>of</w:t>
      </w:r>
      <w:r w:rsidR="00177848" w:rsidRPr="00C6052E">
        <w:t xml:space="preserve"> </w:t>
      </w:r>
      <w:r w:rsidRPr="00C6052E">
        <w:t>wraparound</w:t>
      </w:r>
      <w:r w:rsidR="00177848" w:rsidRPr="00C6052E">
        <w:t xml:space="preserve"> </w:t>
      </w:r>
      <w:r w:rsidRPr="00C6052E">
        <w:t>student</w:t>
      </w:r>
      <w:r w:rsidR="00177848" w:rsidRPr="00C6052E">
        <w:t xml:space="preserve"> </w:t>
      </w:r>
      <w:r w:rsidRPr="00C6052E">
        <w:t>support</w:t>
      </w:r>
      <w:r w:rsidR="00177848" w:rsidRPr="00C6052E">
        <w:t xml:space="preserve"> </w:t>
      </w:r>
      <w:r w:rsidRPr="00C6052E">
        <w:t>services,</w:t>
      </w:r>
      <w:r w:rsidR="00177848" w:rsidRPr="00C6052E">
        <w:t xml:space="preserve"> </w:t>
      </w:r>
      <w:r w:rsidRPr="00C6052E">
        <w:t>including</w:t>
      </w:r>
      <w:r w:rsidR="00177848" w:rsidRPr="00C6052E">
        <w:t xml:space="preserve"> </w:t>
      </w:r>
      <w:r w:rsidRPr="00C6052E">
        <w:t>dedicated</w:t>
      </w:r>
      <w:r w:rsidR="00177848" w:rsidRPr="00C6052E">
        <w:t xml:space="preserve"> </w:t>
      </w:r>
      <w:r w:rsidRPr="00C6052E">
        <w:t>wellbeing</w:t>
      </w:r>
      <w:r w:rsidR="00177848" w:rsidRPr="00C6052E">
        <w:t xml:space="preserve"> </w:t>
      </w:r>
      <w:r w:rsidRPr="00C6052E">
        <w:t>officers,</w:t>
      </w:r>
      <w:r w:rsidR="00177848" w:rsidRPr="00C6052E">
        <w:t xml:space="preserve"> </w:t>
      </w:r>
      <w:r w:rsidRPr="00C6052E">
        <w:t>mental</w:t>
      </w:r>
      <w:r w:rsidR="00177848" w:rsidRPr="00C6052E">
        <w:t xml:space="preserve"> </w:t>
      </w:r>
      <w:r w:rsidRPr="00C6052E">
        <w:t>health</w:t>
      </w:r>
      <w:r w:rsidR="00177848" w:rsidRPr="00C6052E">
        <w:t xml:space="preserve"> </w:t>
      </w:r>
      <w:r w:rsidRPr="00C6052E">
        <w:t>services</w:t>
      </w:r>
      <w:r w:rsidR="00177848" w:rsidRPr="00C6052E">
        <w:t xml:space="preserve"> </w:t>
      </w:r>
      <w:r w:rsidRPr="00C6052E">
        <w:t>and</w:t>
      </w:r>
      <w:r w:rsidR="00177848" w:rsidRPr="00C6052E">
        <w:t xml:space="preserve"> </w:t>
      </w:r>
      <w:r w:rsidRPr="00C6052E">
        <w:t>career</w:t>
      </w:r>
      <w:r w:rsidR="00177848" w:rsidRPr="00C6052E">
        <w:t xml:space="preserve"> </w:t>
      </w:r>
      <w:r w:rsidRPr="00C6052E">
        <w:t>counselling</w:t>
      </w:r>
      <w:r w:rsidR="00177848" w:rsidRPr="00C6052E">
        <w:t xml:space="preserve"> </w:t>
      </w:r>
      <w:r w:rsidRPr="00C6052E">
        <w:t>–</w:t>
      </w:r>
      <w:r w:rsidR="00177848" w:rsidRPr="00C6052E">
        <w:t xml:space="preserve"> </w:t>
      </w:r>
      <w:r w:rsidRPr="00C6052E">
        <w:t>ensuring</w:t>
      </w:r>
      <w:r w:rsidR="00177848" w:rsidRPr="00C6052E">
        <w:t xml:space="preserve"> </w:t>
      </w:r>
      <w:r w:rsidRPr="00C6052E">
        <w:t>students</w:t>
      </w:r>
      <w:r w:rsidR="00177848" w:rsidRPr="00C6052E">
        <w:t xml:space="preserve"> </w:t>
      </w:r>
      <w:r w:rsidRPr="00C6052E">
        <w:t>feel</w:t>
      </w:r>
      <w:r w:rsidR="00177848" w:rsidRPr="00C6052E">
        <w:t xml:space="preserve"> </w:t>
      </w:r>
      <w:r w:rsidRPr="00C6052E">
        <w:t>supported</w:t>
      </w:r>
      <w:r w:rsidR="00177848" w:rsidRPr="00C6052E">
        <w:t xml:space="preserve"> </w:t>
      </w:r>
      <w:r w:rsidRPr="00C6052E">
        <w:t>both</w:t>
      </w:r>
      <w:r w:rsidR="00177848" w:rsidRPr="00C6052E">
        <w:t xml:space="preserve"> </w:t>
      </w:r>
      <w:r w:rsidRPr="00C6052E">
        <w:t>in</w:t>
      </w:r>
      <w:r w:rsidR="00177848" w:rsidRPr="00C6052E">
        <w:t xml:space="preserve"> </w:t>
      </w:r>
      <w:r w:rsidRPr="00C6052E">
        <w:t>and</w:t>
      </w:r>
      <w:r w:rsidR="00177848" w:rsidRPr="00C6052E">
        <w:t xml:space="preserve"> </w:t>
      </w:r>
      <w:r w:rsidRPr="00C6052E">
        <w:t>out</w:t>
      </w:r>
      <w:r w:rsidR="00177848" w:rsidRPr="00C6052E">
        <w:t xml:space="preserve"> </w:t>
      </w:r>
      <w:r w:rsidRPr="00C6052E">
        <w:t>of</w:t>
      </w:r>
      <w:r w:rsidR="00177848" w:rsidRPr="00C6052E">
        <w:t xml:space="preserve"> </w:t>
      </w:r>
      <w:r w:rsidRPr="00C6052E">
        <w:t>the</w:t>
      </w:r>
      <w:r w:rsidR="00177848" w:rsidRPr="00C6052E">
        <w:t xml:space="preserve"> </w:t>
      </w:r>
      <w:r w:rsidRPr="00C6052E">
        <w:t>classroom.</w:t>
      </w:r>
    </w:p>
    <w:p w14:paraId="72CB19BC" w14:textId="6497752A" w:rsidR="00EE5BB8" w:rsidRPr="00C6052E" w:rsidRDefault="00EE5BB8" w:rsidP="00EE5BB8">
      <w:r w:rsidRPr="00C6052E">
        <w:t>The</w:t>
      </w:r>
      <w:r w:rsidR="00177848" w:rsidRPr="00C6052E">
        <w:t xml:space="preserve"> </w:t>
      </w:r>
      <w:r w:rsidRPr="00C6052E">
        <w:t>introduction</w:t>
      </w:r>
      <w:r w:rsidR="00177848" w:rsidRPr="00C6052E">
        <w:t xml:space="preserve"> </w:t>
      </w:r>
      <w:r w:rsidRPr="00C6052E">
        <w:t>of</w:t>
      </w:r>
      <w:r w:rsidR="00177848" w:rsidRPr="00C6052E">
        <w:t xml:space="preserve"> </w:t>
      </w:r>
      <w:r w:rsidRPr="00C6052E">
        <w:t>Literacy</w:t>
      </w:r>
      <w:r w:rsidR="00177848" w:rsidRPr="00C6052E">
        <w:t xml:space="preserve"> </w:t>
      </w:r>
      <w:r w:rsidRPr="00C6052E">
        <w:t>and</w:t>
      </w:r>
      <w:r w:rsidR="00177848" w:rsidRPr="00C6052E">
        <w:t xml:space="preserve"> </w:t>
      </w:r>
      <w:r w:rsidRPr="00C6052E">
        <w:t>Numeracy</w:t>
      </w:r>
      <w:r w:rsidR="00177848" w:rsidRPr="00C6052E">
        <w:t xml:space="preserve"> </w:t>
      </w:r>
      <w:r w:rsidRPr="00C6052E">
        <w:t>Support</w:t>
      </w:r>
      <w:r w:rsidR="00177848" w:rsidRPr="00C6052E">
        <w:t xml:space="preserve"> </w:t>
      </w:r>
      <w:r w:rsidRPr="00C6052E">
        <w:t>(LNSUPPORT)</w:t>
      </w:r>
      <w:r w:rsidR="00177848" w:rsidRPr="00C6052E">
        <w:t xml:space="preserve"> </w:t>
      </w:r>
      <w:r w:rsidRPr="00C6052E">
        <w:t>to</w:t>
      </w:r>
      <w:r w:rsidR="00177848" w:rsidRPr="00C6052E">
        <w:t xml:space="preserve"> </w:t>
      </w:r>
      <w:r w:rsidRPr="00C6052E">
        <w:t>Free</w:t>
      </w:r>
      <w:r w:rsidR="00177848" w:rsidRPr="00C6052E">
        <w:t xml:space="preserve"> </w:t>
      </w:r>
      <w:r w:rsidRPr="00C6052E">
        <w:t>TAFE</w:t>
      </w:r>
      <w:r w:rsidR="00177848" w:rsidRPr="00C6052E">
        <w:t xml:space="preserve"> </w:t>
      </w:r>
      <w:r w:rsidRPr="00C6052E">
        <w:t>has</w:t>
      </w:r>
      <w:r w:rsidR="00177848" w:rsidRPr="00C6052E">
        <w:t xml:space="preserve"> </w:t>
      </w:r>
      <w:r w:rsidRPr="00C6052E">
        <w:t>helped</w:t>
      </w:r>
      <w:r w:rsidR="00177848" w:rsidRPr="00C6052E">
        <w:t xml:space="preserve"> </w:t>
      </w:r>
      <w:r w:rsidRPr="00C6052E">
        <w:t>learners</w:t>
      </w:r>
      <w:r w:rsidR="00177848" w:rsidRPr="00C6052E">
        <w:t xml:space="preserve"> </w:t>
      </w:r>
      <w:r w:rsidRPr="00C6052E">
        <w:t>build</w:t>
      </w:r>
      <w:r w:rsidR="00177848" w:rsidRPr="00C6052E">
        <w:t xml:space="preserve"> </w:t>
      </w:r>
      <w:r w:rsidRPr="00C6052E">
        <w:t>core</w:t>
      </w:r>
      <w:r w:rsidR="00177848" w:rsidRPr="00C6052E">
        <w:t xml:space="preserve"> </w:t>
      </w:r>
      <w:r w:rsidRPr="00C6052E">
        <w:t>foundation</w:t>
      </w:r>
      <w:r w:rsidR="00177848" w:rsidRPr="00C6052E">
        <w:t xml:space="preserve"> </w:t>
      </w:r>
      <w:r w:rsidRPr="00C6052E">
        <w:t>skills</w:t>
      </w:r>
      <w:r w:rsidR="00177848" w:rsidRPr="00C6052E">
        <w:t xml:space="preserve"> </w:t>
      </w:r>
      <w:r w:rsidRPr="00C6052E">
        <w:t>to</w:t>
      </w:r>
      <w:r w:rsidR="00177848" w:rsidRPr="00C6052E">
        <w:t xml:space="preserve"> </w:t>
      </w:r>
      <w:r w:rsidRPr="00C6052E">
        <w:t>support</w:t>
      </w:r>
      <w:r w:rsidR="00177848" w:rsidRPr="00C6052E">
        <w:t xml:space="preserve"> </w:t>
      </w:r>
      <w:r w:rsidRPr="00C6052E">
        <w:t>completion</w:t>
      </w:r>
      <w:r w:rsidR="00177848" w:rsidRPr="00C6052E">
        <w:t xml:space="preserve"> </w:t>
      </w:r>
      <w:r w:rsidRPr="00C6052E">
        <w:t>of</w:t>
      </w:r>
      <w:r w:rsidR="00177848" w:rsidRPr="00C6052E">
        <w:t xml:space="preserve"> </w:t>
      </w:r>
      <w:r w:rsidRPr="00C6052E">
        <w:t>their</w:t>
      </w:r>
      <w:r w:rsidR="00177848" w:rsidRPr="00C6052E">
        <w:rPr>
          <w:spacing w:val="-2"/>
        </w:rPr>
        <w:t xml:space="preserve"> </w:t>
      </w:r>
      <w:r w:rsidRPr="00C6052E">
        <w:rPr>
          <w:spacing w:val="-2"/>
        </w:rPr>
        <w:t>main</w:t>
      </w:r>
      <w:r w:rsidR="00177848" w:rsidRPr="00C6052E">
        <w:rPr>
          <w:spacing w:val="-2"/>
        </w:rPr>
        <w:t xml:space="preserve"> </w:t>
      </w:r>
      <w:r w:rsidRPr="00C6052E">
        <w:rPr>
          <w:spacing w:val="-2"/>
        </w:rPr>
        <w:t>qualification,</w:t>
      </w:r>
      <w:r w:rsidR="00177848" w:rsidRPr="00C6052E">
        <w:rPr>
          <w:spacing w:val="-2"/>
        </w:rPr>
        <w:t xml:space="preserve"> </w:t>
      </w:r>
      <w:r w:rsidRPr="00C6052E">
        <w:rPr>
          <w:spacing w:val="-2"/>
        </w:rPr>
        <w:t>contributing</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increased</w:t>
      </w:r>
      <w:r w:rsidR="00177848" w:rsidRPr="00C6052E">
        <w:rPr>
          <w:spacing w:val="-2"/>
        </w:rPr>
        <w:t xml:space="preserve"> </w:t>
      </w:r>
      <w:r w:rsidRPr="00C6052E">
        <w:rPr>
          <w:spacing w:val="-2"/>
        </w:rPr>
        <w:t>satisfaction.</w:t>
      </w:r>
    </w:p>
    <w:p w14:paraId="74A725C6" w14:textId="66DD8271" w:rsidR="00EE5BB8" w:rsidRPr="00C6052E" w:rsidRDefault="00EE5BB8" w:rsidP="00EE5BB8">
      <w:pPr>
        <w:rPr>
          <w:highlight w:val="yellow"/>
        </w:rPr>
      </w:pPr>
      <w:r w:rsidRPr="00C6052E">
        <w:lastRenderedPageBreak/>
        <w:t>In</w:t>
      </w:r>
      <w:r w:rsidR="00177848" w:rsidRPr="00C6052E">
        <w:t xml:space="preserve"> </w:t>
      </w:r>
      <w:r w:rsidRPr="00C6052E">
        <w:t>2024–25,</w:t>
      </w:r>
      <w:r w:rsidR="00177848" w:rsidRPr="00C6052E">
        <w:t xml:space="preserve"> </w:t>
      </w:r>
      <w:r w:rsidRPr="00C6052E">
        <w:t>government</w:t>
      </w:r>
      <w:r w:rsidR="00177848" w:rsidRPr="00C6052E">
        <w:t xml:space="preserve"> </w:t>
      </w:r>
      <w:r w:rsidRPr="00C6052E">
        <w:t>investment</w:t>
      </w:r>
      <w:r w:rsidR="00177848" w:rsidRPr="00C6052E">
        <w:t xml:space="preserve"> </w:t>
      </w:r>
      <w:r w:rsidRPr="00C6052E">
        <w:t>in</w:t>
      </w:r>
      <w:r w:rsidR="00177848" w:rsidRPr="00C6052E">
        <w:t xml:space="preserve"> </w:t>
      </w:r>
      <w:r w:rsidRPr="00C6052E">
        <w:t>modernised</w:t>
      </w:r>
      <w:r w:rsidR="00177848" w:rsidRPr="00C6052E">
        <w:t xml:space="preserve"> </w:t>
      </w:r>
      <w:r w:rsidRPr="00C6052E">
        <w:t>TAFE</w:t>
      </w:r>
      <w:r w:rsidR="00177848" w:rsidRPr="00C6052E">
        <w:t xml:space="preserve"> </w:t>
      </w:r>
      <w:r w:rsidRPr="00C6052E">
        <w:t>facilities</w:t>
      </w:r>
      <w:r w:rsidR="00177848" w:rsidRPr="00C6052E">
        <w:t xml:space="preserve"> </w:t>
      </w:r>
      <w:r w:rsidRPr="00C6052E">
        <w:t>continued,</w:t>
      </w:r>
      <w:r w:rsidR="00177848" w:rsidRPr="00C6052E">
        <w:t xml:space="preserve"> </w:t>
      </w:r>
      <w:r w:rsidRPr="00C6052E">
        <w:t>building</w:t>
      </w:r>
      <w:r w:rsidR="00177848" w:rsidRPr="00C6052E">
        <w:t xml:space="preserve"> </w:t>
      </w:r>
      <w:r w:rsidRPr="00C6052E">
        <w:t>on</w:t>
      </w:r>
      <w:r w:rsidR="00177848" w:rsidRPr="00C6052E">
        <w:t xml:space="preserve"> </w:t>
      </w:r>
      <w:r w:rsidRPr="00C6052E">
        <w:t>more</w:t>
      </w:r>
      <w:r w:rsidR="00177848" w:rsidRPr="00C6052E">
        <w:t xml:space="preserve"> </w:t>
      </w:r>
      <w:r w:rsidRPr="00C6052E">
        <w:t>than</w:t>
      </w:r>
      <w:r w:rsidR="00177848" w:rsidRPr="00C6052E">
        <w:t xml:space="preserve"> </w:t>
      </w:r>
      <w:r w:rsidRPr="00C6052E">
        <w:t>a</w:t>
      </w:r>
      <w:r w:rsidR="00177848" w:rsidRPr="00C6052E">
        <w:t xml:space="preserve"> </w:t>
      </w:r>
      <w:r w:rsidRPr="00C6052E">
        <w:t>decade</w:t>
      </w:r>
      <w:r w:rsidR="00177848" w:rsidRPr="00C6052E">
        <w:t xml:space="preserve"> </w:t>
      </w:r>
      <w:r w:rsidRPr="00C6052E">
        <w:t>of</w:t>
      </w:r>
      <w:r w:rsidR="00177848" w:rsidRPr="00C6052E">
        <w:t xml:space="preserve"> </w:t>
      </w:r>
      <w:r w:rsidRPr="00C6052E">
        <w:t>infrastructure</w:t>
      </w:r>
      <w:r w:rsidR="00177848" w:rsidRPr="00C6052E">
        <w:t xml:space="preserve"> </w:t>
      </w:r>
      <w:r w:rsidRPr="00C6052E">
        <w:t>upgrades</w:t>
      </w:r>
      <w:r w:rsidR="00177848" w:rsidRPr="00C6052E">
        <w:t xml:space="preserve"> </w:t>
      </w:r>
      <w:r w:rsidRPr="00C6052E">
        <w:t>and</w:t>
      </w:r>
      <w:r w:rsidR="00177848" w:rsidRPr="00C6052E">
        <w:t xml:space="preserve"> </w:t>
      </w:r>
      <w:r w:rsidRPr="00C6052E">
        <w:t>contributing</w:t>
      </w:r>
      <w:r w:rsidR="00177848" w:rsidRPr="00C6052E">
        <w:t xml:space="preserve"> </w:t>
      </w:r>
      <w:r w:rsidRPr="00C6052E">
        <w:t>to</w:t>
      </w:r>
      <w:r w:rsidR="00177848" w:rsidRPr="00C6052E">
        <w:t xml:space="preserve"> </w:t>
      </w:r>
      <w:r w:rsidRPr="00C6052E">
        <w:t>a</w:t>
      </w:r>
      <w:r w:rsidR="00177848" w:rsidRPr="00C6052E">
        <w:t xml:space="preserve"> </w:t>
      </w:r>
      <w:r w:rsidRPr="00C6052E">
        <w:t>total</w:t>
      </w:r>
      <w:r w:rsidR="00177848" w:rsidRPr="00C6052E">
        <w:t xml:space="preserve"> </w:t>
      </w:r>
      <w:r w:rsidRPr="00C6052E">
        <w:t>of</w:t>
      </w:r>
      <w:r w:rsidR="00177848" w:rsidRPr="00C6052E">
        <w:t xml:space="preserve"> </w:t>
      </w:r>
      <w:r w:rsidRPr="00C6052E">
        <w:t>$669</w:t>
      </w:r>
      <w:r w:rsidR="00177848" w:rsidRPr="00C6052E">
        <w:t xml:space="preserve"> </w:t>
      </w:r>
      <w:r w:rsidRPr="00C6052E">
        <w:t>million</w:t>
      </w:r>
      <w:r w:rsidR="00177848" w:rsidRPr="00C6052E">
        <w:t xml:space="preserve"> </w:t>
      </w:r>
      <w:r w:rsidRPr="00C6052E">
        <w:t>invested</w:t>
      </w:r>
      <w:r w:rsidR="00177848" w:rsidRPr="00C6052E">
        <w:t xml:space="preserve"> </w:t>
      </w:r>
      <w:r w:rsidRPr="00C6052E">
        <w:t>over</w:t>
      </w:r>
      <w:r w:rsidR="00177848" w:rsidRPr="00C6052E">
        <w:t xml:space="preserve"> </w:t>
      </w:r>
      <w:r w:rsidRPr="00C6052E">
        <w:t>the</w:t>
      </w:r>
      <w:r w:rsidR="00177848" w:rsidRPr="00C6052E">
        <w:t xml:space="preserve"> </w:t>
      </w:r>
      <w:r w:rsidRPr="00C6052E">
        <w:t>past</w:t>
      </w:r>
      <w:r w:rsidR="00177848" w:rsidRPr="00C6052E">
        <w:t xml:space="preserve"> </w:t>
      </w:r>
      <w:r w:rsidRPr="00C6052E">
        <w:t>decade.</w:t>
      </w:r>
      <w:r w:rsidR="00177848" w:rsidRPr="00C6052E">
        <w:t xml:space="preserve"> </w:t>
      </w:r>
      <w:r w:rsidRPr="00C6052E">
        <w:t>Recently</w:t>
      </w:r>
      <w:r w:rsidR="00177848" w:rsidRPr="00C6052E">
        <w:t xml:space="preserve"> </w:t>
      </w:r>
      <w:r w:rsidRPr="00C6052E">
        <w:t>completed</w:t>
      </w:r>
      <w:r w:rsidR="00177848" w:rsidRPr="00C6052E">
        <w:rPr>
          <w:spacing w:val="-4"/>
        </w:rPr>
        <w:t xml:space="preserve"> </w:t>
      </w:r>
      <w:r w:rsidRPr="00C6052E">
        <w:rPr>
          <w:spacing w:val="-4"/>
        </w:rPr>
        <w:t>projects</w:t>
      </w:r>
      <w:r w:rsidR="00177848" w:rsidRPr="00C6052E">
        <w:rPr>
          <w:spacing w:val="-4"/>
        </w:rPr>
        <w:t xml:space="preserve"> </w:t>
      </w:r>
      <w:r w:rsidRPr="00C6052E">
        <w:rPr>
          <w:spacing w:val="-4"/>
        </w:rPr>
        <w:t>include</w:t>
      </w:r>
      <w:r w:rsidR="00177848" w:rsidRPr="00C6052E">
        <w:rPr>
          <w:spacing w:val="-4"/>
        </w:rPr>
        <w:t xml:space="preserve"> </w:t>
      </w:r>
      <w:r w:rsidRPr="00C6052E">
        <w:rPr>
          <w:spacing w:val="-4"/>
        </w:rPr>
        <w:t>the</w:t>
      </w:r>
      <w:r w:rsidR="00177848" w:rsidRPr="00C6052E">
        <w:rPr>
          <w:spacing w:val="-4"/>
        </w:rPr>
        <w:t xml:space="preserve"> </w:t>
      </w:r>
      <w:r w:rsidRPr="00C6052E">
        <w:rPr>
          <w:spacing w:val="-4"/>
        </w:rPr>
        <w:t>multi-level</w:t>
      </w:r>
      <w:r w:rsidR="00177848" w:rsidRPr="00C6052E">
        <w:rPr>
          <w:spacing w:val="-4"/>
        </w:rPr>
        <w:t xml:space="preserve"> </w:t>
      </w:r>
      <w:r w:rsidRPr="00C6052E">
        <w:rPr>
          <w:spacing w:val="-4"/>
        </w:rPr>
        <w:t>training</w:t>
      </w:r>
      <w:r w:rsidR="00177848" w:rsidRPr="00C6052E">
        <w:rPr>
          <w:spacing w:val="-4"/>
        </w:rPr>
        <w:t xml:space="preserve"> </w:t>
      </w:r>
      <w:r w:rsidRPr="00C6052E">
        <w:rPr>
          <w:spacing w:val="-4"/>
        </w:rPr>
        <w:t>hub</w:t>
      </w:r>
      <w:r w:rsidR="00177848" w:rsidRPr="00C6052E">
        <w:rPr>
          <w:spacing w:val="-4"/>
        </w:rPr>
        <w:t xml:space="preserve"> </w:t>
      </w:r>
      <w:r w:rsidRPr="00C6052E">
        <w:rPr>
          <w:spacing w:val="-4"/>
        </w:rPr>
        <w:t>at</w:t>
      </w:r>
      <w:r w:rsidR="00177848" w:rsidRPr="00C6052E">
        <w:rPr>
          <w:spacing w:val="-4"/>
        </w:rPr>
        <w:t xml:space="preserve"> </w:t>
      </w:r>
      <w:r w:rsidRPr="00C6052E">
        <w:rPr>
          <w:spacing w:val="-4"/>
        </w:rPr>
        <w:t>Chisholm’s</w:t>
      </w:r>
      <w:r w:rsidR="00177848" w:rsidRPr="00C6052E">
        <w:rPr>
          <w:spacing w:val="-4"/>
        </w:rPr>
        <w:t xml:space="preserve"> </w:t>
      </w:r>
      <w:r w:rsidRPr="00C6052E">
        <w:t>Frankston</w:t>
      </w:r>
      <w:r w:rsidR="00177848" w:rsidRPr="00C6052E">
        <w:t xml:space="preserve"> </w:t>
      </w:r>
      <w:r w:rsidRPr="00C6052E">
        <w:t>campus</w:t>
      </w:r>
      <w:r w:rsidR="00177848" w:rsidRPr="00C6052E">
        <w:t xml:space="preserve"> </w:t>
      </w:r>
      <w:r w:rsidRPr="00C6052E">
        <w:t>and</w:t>
      </w:r>
      <w:r w:rsidR="00177848" w:rsidRPr="00C6052E">
        <w:t xml:space="preserve"> </w:t>
      </w:r>
      <w:r w:rsidRPr="00C6052E">
        <w:t>Victoria’s</w:t>
      </w:r>
      <w:r w:rsidR="00177848" w:rsidRPr="00C6052E">
        <w:t xml:space="preserve"> </w:t>
      </w:r>
      <w:r w:rsidRPr="00C6052E">
        <w:t>first</w:t>
      </w:r>
      <w:r w:rsidR="00177848" w:rsidRPr="00C6052E">
        <w:t xml:space="preserve"> </w:t>
      </w:r>
      <w:r w:rsidRPr="00C6052E">
        <w:t>all-electric</w:t>
      </w:r>
      <w:r w:rsidR="00177848" w:rsidRPr="00C6052E">
        <w:t xml:space="preserve"> </w:t>
      </w:r>
      <w:r w:rsidRPr="00C6052E">
        <w:t>TAFE</w:t>
      </w:r>
      <w:r w:rsidR="00177848" w:rsidRPr="00C6052E">
        <w:rPr>
          <w:spacing w:val="-4"/>
        </w:rPr>
        <w:t xml:space="preserve"> </w:t>
      </w:r>
      <w:r w:rsidRPr="00C6052E">
        <w:rPr>
          <w:spacing w:val="-4"/>
        </w:rPr>
        <w:t>campus</w:t>
      </w:r>
      <w:r w:rsidR="00177848" w:rsidRPr="00C6052E">
        <w:rPr>
          <w:spacing w:val="-4"/>
        </w:rPr>
        <w:t xml:space="preserve"> </w:t>
      </w:r>
      <w:r w:rsidRPr="00C6052E">
        <w:rPr>
          <w:spacing w:val="-4"/>
        </w:rPr>
        <w:t>at</w:t>
      </w:r>
      <w:r w:rsidR="00177848" w:rsidRPr="00C6052E">
        <w:rPr>
          <w:spacing w:val="-4"/>
        </w:rPr>
        <w:t xml:space="preserve"> </w:t>
      </w:r>
      <w:r w:rsidRPr="00C6052E">
        <w:rPr>
          <w:spacing w:val="-4"/>
        </w:rPr>
        <w:t>Melbourne</w:t>
      </w:r>
      <w:r w:rsidR="00177848" w:rsidRPr="00C6052E">
        <w:rPr>
          <w:spacing w:val="-4"/>
        </w:rPr>
        <w:t xml:space="preserve"> </w:t>
      </w:r>
      <w:r w:rsidRPr="00C6052E">
        <w:rPr>
          <w:spacing w:val="-4"/>
        </w:rPr>
        <w:t>Polytechnic’s</w:t>
      </w:r>
      <w:r w:rsidR="00177848" w:rsidRPr="00C6052E">
        <w:rPr>
          <w:spacing w:val="-4"/>
        </w:rPr>
        <w:t xml:space="preserve"> </w:t>
      </w:r>
      <w:r w:rsidRPr="00C6052E">
        <w:rPr>
          <w:spacing w:val="-4"/>
        </w:rPr>
        <w:t>Collingwood</w:t>
      </w:r>
      <w:r w:rsidR="00177848" w:rsidRPr="00C6052E">
        <w:rPr>
          <w:spacing w:val="-4"/>
        </w:rPr>
        <w:t xml:space="preserve"> </w:t>
      </w:r>
      <w:r w:rsidRPr="00C6052E">
        <w:rPr>
          <w:spacing w:val="-4"/>
        </w:rPr>
        <w:t>campus.</w:t>
      </w:r>
      <w:r w:rsidR="00177848" w:rsidRPr="00C6052E">
        <w:rPr>
          <w:spacing w:val="-4"/>
        </w:rPr>
        <w:t xml:space="preserve"> </w:t>
      </w:r>
      <w:r w:rsidRPr="00C6052E">
        <w:t>These</w:t>
      </w:r>
      <w:r w:rsidR="00177848" w:rsidRPr="00C6052E">
        <w:t xml:space="preserve"> </w:t>
      </w:r>
      <w:r w:rsidRPr="00C6052E">
        <w:t>developments</w:t>
      </w:r>
      <w:r w:rsidR="00177848" w:rsidRPr="00C6052E">
        <w:t xml:space="preserve"> </w:t>
      </w:r>
      <w:r w:rsidRPr="00C6052E">
        <w:t>build</w:t>
      </w:r>
      <w:r w:rsidR="00177848" w:rsidRPr="00C6052E">
        <w:t xml:space="preserve"> </w:t>
      </w:r>
      <w:r w:rsidRPr="00C6052E">
        <w:t>on</w:t>
      </w:r>
      <w:r w:rsidR="00177848" w:rsidRPr="00C6052E">
        <w:t xml:space="preserve"> </w:t>
      </w:r>
      <w:r w:rsidRPr="00C6052E">
        <w:t>other</w:t>
      </w:r>
      <w:r w:rsidR="00177848" w:rsidRPr="00C6052E">
        <w:t xml:space="preserve"> </w:t>
      </w:r>
      <w:r w:rsidRPr="00C6052E">
        <w:t>modern</w:t>
      </w:r>
      <w:r w:rsidR="00177848" w:rsidRPr="00C6052E">
        <w:t xml:space="preserve"> </w:t>
      </w:r>
      <w:r w:rsidRPr="00C6052E">
        <w:t>learning</w:t>
      </w:r>
      <w:r w:rsidR="00177848" w:rsidRPr="00C6052E">
        <w:t xml:space="preserve"> </w:t>
      </w:r>
      <w:r w:rsidRPr="00C6052E">
        <w:t>environments</w:t>
      </w:r>
      <w:r w:rsidR="00177848" w:rsidRPr="00C6052E">
        <w:t xml:space="preserve"> </w:t>
      </w:r>
      <w:r w:rsidRPr="00C6052E">
        <w:t>established</w:t>
      </w:r>
      <w:r w:rsidR="00177848" w:rsidRPr="00C6052E">
        <w:t xml:space="preserve"> </w:t>
      </w:r>
      <w:r w:rsidRPr="00C6052E">
        <w:t>in</w:t>
      </w:r>
      <w:r w:rsidR="00177848" w:rsidRPr="00C6052E">
        <w:t xml:space="preserve"> </w:t>
      </w:r>
      <w:r w:rsidRPr="00C6052E">
        <w:t>recent</w:t>
      </w:r>
      <w:r w:rsidR="00177848" w:rsidRPr="00C6052E">
        <w:t xml:space="preserve"> </w:t>
      </w:r>
      <w:r w:rsidRPr="00C6052E">
        <w:t>years,</w:t>
      </w:r>
      <w:r w:rsidR="00177848" w:rsidRPr="00C6052E">
        <w:t xml:space="preserve"> </w:t>
      </w:r>
      <w:r w:rsidRPr="00C6052E">
        <w:t>including</w:t>
      </w:r>
      <w:r w:rsidR="00177848" w:rsidRPr="00C6052E">
        <w:t xml:space="preserve"> </w:t>
      </w:r>
      <w:r w:rsidRPr="00C6052E">
        <w:t>the</w:t>
      </w:r>
      <w:r w:rsidR="00177848" w:rsidRPr="00C6052E">
        <w:t xml:space="preserve"> </w:t>
      </w:r>
      <w:r w:rsidRPr="00C6052E">
        <w:t>Warrnambool</w:t>
      </w:r>
      <w:r w:rsidR="00177848" w:rsidRPr="00C6052E">
        <w:t xml:space="preserve"> </w:t>
      </w:r>
      <w:r w:rsidRPr="00C6052E">
        <w:t>Library</w:t>
      </w:r>
      <w:r w:rsidR="00177848" w:rsidRPr="00C6052E">
        <w:t xml:space="preserve"> </w:t>
      </w:r>
      <w:r w:rsidRPr="00C6052E">
        <w:t>and</w:t>
      </w:r>
      <w:r w:rsidR="00177848" w:rsidRPr="00C6052E">
        <w:t xml:space="preserve"> </w:t>
      </w:r>
      <w:r w:rsidRPr="00C6052E">
        <w:t>Learning</w:t>
      </w:r>
      <w:r w:rsidR="00177848" w:rsidRPr="00C6052E">
        <w:t xml:space="preserve"> </w:t>
      </w:r>
      <w:r w:rsidRPr="00C6052E">
        <w:t>Centre</w:t>
      </w:r>
      <w:r w:rsidR="00177848" w:rsidRPr="00C6052E">
        <w:t xml:space="preserve"> </w:t>
      </w:r>
      <w:r w:rsidRPr="00C6052E">
        <w:t>at</w:t>
      </w:r>
      <w:r w:rsidR="00177848" w:rsidRPr="00C6052E">
        <w:t xml:space="preserve"> </w:t>
      </w:r>
      <w:r w:rsidRPr="00C6052E">
        <w:t>South</w:t>
      </w:r>
      <w:r w:rsidR="00177848" w:rsidRPr="00C6052E">
        <w:t xml:space="preserve"> </w:t>
      </w:r>
      <w:r w:rsidRPr="00C6052E">
        <w:t>West</w:t>
      </w:r>
      <w:r w:rsidR="00177848" w:rsidRPr="00C6052E">
        <w:t xml:space="preserve"> </w:t>
      </w:r>
      <w:r w:rsidRPr="00C6052E">
        <w:t>TAFE</w:t>
      </w:r>
      <w:r w:rsidR="00177848" w:rsidRPr="00C6052E">
        <w:t xml:space="preserve"> </w:t>
      </w:r>
      <w:r w:rsidRPr="00C6052E">
        <w:t>and</w:t>
      </w:r>
      <w:r w:rsidR="00177848" w:rsidRPr="00C6052E">
        <w:t xml:space="preserve"> </w:t>
      </w:r>
      <w:r w:rsidRPr="00C6052E">
        <w:t>the</w:t>
      </w:r>
      <w:r w:rsidR="00177848" w:rsidRPr="00C6052E">
        <w:t xml:space="preserve"> </w:t>
      </w:r>
      <w:r w:rsidRPr="00C6052E">
        <w:t>Health</w:t>
      </w:r>
      <w:r w:rsidR="00177848" w:rsidRPr="00C6052E">
        <w:t xml:space="preserve"> </w:t>
      </w:r>
      <w:r w:rsidRPr="00C6052E">
        <w:t>and</w:t>
      </w:r>
      <w:r w:rsidR="00177848" w:rsidRPr="00C6052E">
        <w:t xml:space="preserve"> </w:t>
      </w:r>
      <w:r w:rsidRPr="00C6052E">
        <w:t>Community</w:t>
      </w:r>
      <w:r w:rsidR="00177848" w:rsidRPr="00C6052E">
        <w:t xml:space="preserve"> </w:t>
      </w:r>
      <w:r w:rsidRPr="00C6052E">
        <w:t>Services</w:t>
      </w:r>
      <w:r w:rsidR="00177848" w:rsidRPr="00C6052E">
        <w:t xml:space="preserve"> </w:t>
      </w:r>
      <w:r w:rsidRPr="00C6052E">
        <w:t>Training</w:t>
      </w:r>
      <w:r w:rsidR="00177848" w:rsidRPr="00C6052E">
        <w:t xml:space="preserve"> </w:t>
      </w:r>
      <w:r w:rsidRPr="00C6052E">
        <w:t>facility</w:t>
      </w:r>
      <w:r w:rsidR="00177848" w:rsidRPr="00C6052E">
        <w:t xml:space="preserve"> </w:t>
      </w:r>
      <w:r w:rsidRPr="00C6052E">
        <w:t>at</w:t>
      </w:r>
      <w:r w:rsidR="00177848" w:rsidRPr="00C6052E">
        <w:t xml:space="preserve"> </w:t>
      </w:r>
      <w:r w:rsidRPr="00C6052E">
        <w:t>GOTAFE’s</w:t>
      </w:r>
      <w:r w:rsidR="00177848" w:rsidRPr="00C6052E">
        <w:t xml:space="preserve"> </w:t>
      </w:r>
      <w:r w:rsidRPr="00C6052E">
        <w:t>Seymour</w:t>
      </w:r>
      <w:r w:rsidR="00177848" w:rsidRPr="00C6052E">
        <w:t xml:space="preserve"> </w:t>
      </w:r>
      <w:r w:rsidRPr="00C6052E">
        <w:t>campus.</w:t>
      </w:r>
    </w:p>
    <w:p w14:paraId="4B610D19" w14:textId="121B85F9" w:rsidR="00EE5BB8" w:rsidRPr="00C6052E" w:rsidRDefault="00EE5BB8" w:rsidP="00EE5BB8">
      <w:pPr>
        <w:keepLines/>
      </w:pPr>
      <w:r w:rsidRPr="00C6052E">
        <w:t>The</w:t>
      </w:r>
      <w:r w:rsidR="00177848" w:rsidRPr="00C6052E">
        <w:t xml:space="preserve"> </w:t>
      </w:r>
      <w:r w:rsidRPr="00C6052E">
        <w:t>Victorian</w:t>
      </w:r>
      <w:r w:rsidR="00177848" w:rsidRPr="00C6052E">
        <w:t xml:space="preserve"> </w:t>
      </w:r>
      <w:r w:rsidRPr="00C6052E">
        <w:t>Government</w:t>
      </w:r>
      <w:r w:rsidR="00177848" w:rsidRPr="00C6052E">
        <w:t xml:space="preserve"> </w:t>
      </w:r>
      <w:r w:rsidRPr="00C6052E">
        <w:t>is</w:t>
      </w:r>
      <w:r w:rsidR="00177848" w:rsidRPr="00C6052E">
        <w:t xml:space="preserve"> </w:t>
      </w:r>
      <w:r w:rsidRPr="00C6052E">
        <w:t>also</w:t>
      </w:r>
      <w:r w:rsidR="00177848" w:rsidRPr="00C6052E">
        <w:t xml:space="preserve"> </w:t>
      </w:r>
      <w:r w:rsidRPr="00C6052E">
        <w:t>investing</w:t>
      </w:r>
      <w:r w:rsidR="00177848" w:rsidRPr="00C6052E">
        <w:t xml:space="preserve"> </w:t>
      </w:r>
      <w:r w:rsidRPr="00C6052E">
        <w:t>in</w:t>
      </w:r>
      <w:r w:rsidR="00177848" w:rsidRPr="00C6052E">
        <w:t xml:space="preserve"> </w:t>
      </w:r>
      <w:r w:rsidRPr="00C6052E">
        <w:t>supporting</w:t>
      </w:r>
      <w:r w:rsidR="00177848" w:rsidRPr="00C6052E">
        <w:t xml:space="preserve"> </w:t>
      </w:r>
      <w:r w:rsidRPr="00C6052E">
        <w:t>the</w:t>
      </w:r>
      <w:r w:rsidR="00177848" w:rsidRPr="00C6052E">
        <w:t xml:space="preserve"> </w:t>
      </w:r>
      <w:r w:rsidRPr="00C6052E">
        <w:t>TAFE</w:t>
      </w:r>
      <w:r w:rsidR="00177848" w:rsidRPr="00C6052E">
        <w:t xml:space="preserve"> </w:t>
      </w:r>
      <w:r w:rsidRPr="00C6052E">
        <w:t>teacher</w:t>
      </w:r>
      <w:r w:rsidR="00177848" w:rsidRPr="00C6052E">
        <w:t xml:space="preserve"> </w:t>
      </w:r>
      <w:r w:rsidRPr="00C6052E">
        <w:t>workforce.</w:t>
      </w:r>
      <w:r w:rsidR="00177848" w:rsidRPr="00C6052E">
        <w:t xml:space="preserve"> </w:t>
      </w:r>
      <w:r w:rsidRPr="00C6052E">
        <w:t>This</w:t>
      </w:r>
      <w:r w:rsidR="00177848" w:rsidRPr="00C6052E">
        <w:t xml:space="preserve"> </w:t>
      </w:r>
      <w:r w:rsidRPr="00C6052E">
        <w:t>includes</w:t>
      </w:r>
      <w:r w:rsidR="00177848" w:rsidRPr="00C6052E">
        <w:t xml:space="preserve"> </w:t>
      </w:r>
      <w:r w:rsidRPr="00C6052E">
        <w:t>the</w:t>
      </w:r>
      <w:r w:rsidR="00177848" w:rsidRPr="00C6052E">
        <w:t xml:space="preserve"> </w:t>
      </w:r>
      <w:r w:rsidRPr="00C6052E">
        <w:t>addition</w:t>
      </w:r>
      <w:r w:rsidR="00177848" w:rsidRPr="00C6052E">
        <w:t xml:space="preserve"> </w:t>
      </w:r>
      <w:r w:rsidRPr="00C6052E">
        <w:t>of</w:t>
      </w:r>
      <w:r w:rsidR="00177848" w:rsidRPr="00C6052E">
        <w:t xml:space="preserve"> </w:t>
      </w:r>
      <w:r w:rsidRPr="00C6052E">
        <w:t>the</w:t>
      </w:r>
      <w:r w:rsidR="00177848" w:rsidRPr="00C6052E">
        <w:t xml:space="preserve"> </w:t>
      </w:r>
      <w:r w:rsidRPr="00C6052E">
        <w:t>Certificate</w:t>
      </w:r>
      <w:r w:rsidR="00177848" w:rsidRPr="00C6052E">
        <w:t xml:space="preserve"> </w:t>
      </w:r>
      <w:r w:rsidRPr="00C6052E">
        <w:t>IV</w:t>
      </w:r>
      <w:r w:rsidR="00177848" w:rsidRPr="00C6052E">
        <w:t xml:space="preserve"> </w:t>
      </w:r>
      <w:r w:rsidRPr="00C6052E">
        <w:t>in</w:t>
      </w:r>
      <w:r w:rsidR="00177848" w:rsidRPr="00C6052E">
        <w:t xml:space="preserve"> </w:t>
      </w:r>
      <w:r w:rsidRPr="00C6052E">
        <w:t>Training</w:t>
      </w:r>
      <w:r w:rsidR="00177848" w:rsidRPr="00C6052E">
        <w:t xml:space="preserve"> </w:t>
      </w:r>
      <w:r w:rsidRPr="00C6052E">
        <w:t>and</w:t>
      </w:r>
      <w:r w:rsidR="00177848" w:rsidRPr="00C6052E">
        <w:t xml:space="preserve"> </w:t>
      </w:r>
      <w:r w:rsidRPr="00C6052E">
        <w:t>Assessment</w:t>
      </w:r>
      <w:r w:rsidR="00177848" w:rsidRPr="00C6052E">
        <w:t xml:space="preserve"> </w:t>
      </w:r>
      <w:r w:rsidRPr="00C6052E">
        <w:t>to</w:t>
      </w:r>
      <w:r w:rsidR="00177848" w:rsidRPr="00C6052E">
        <w:t xml:space="preserve"> </w:t>
      </w:r>
      <w:r w:rsidRPr="00C6052E">
        <w:t>the</w:t>
      </w:r>
      <w:r w:rsidR="00177848" w:rsidRPr="00C6052E">
        <w:t xml:space="preserve"> </w:t>
      </w:r>
      <w:r w:rsidRPr="00C6052E">
        <w:t>Free</w:t>
      </w:r>
      <w:r w:rsidR="00177848" w:rsidRPr="00C6052E">
        <w:t xml:space="preserve"> </w:t>
      </w:r>
      <w:r w:rsidRPr="00C6052E">
        <w:t>TAFE</w:t>
      </w:r>
      <w:r w:rsidR="00177848" w:rsidRPr="00C6052E">
        <w:t xml:space="preserve"> </w:t>
      </w:r>
      <w:r w:rsidRPr="00C6052E">
        <w:t>list,</w:t>
      </w:r>
      <w:r w:rsidR="00177848" w:rsidRPr="00C6052E">
        <w:t xml:space="preserve"> </w:t>
      </w:r>
      <w:r w:rsidRPr="00C6052E">
        <w:t>removing</w:t>
      </w:r>
      <w:r w:rsidR="00177848" w:rsidRPr="00C6052E">
        <w:t xml:space="preserve"> </w:t>
      </w:r>
      <w:r w:rsidRPr="00C6052E">
        <w:t>tuition</w:t>
      </w:r>
      <w:r w:rsidR="00177848" w:rsidRPr="00C6052E">
        <w:t xml:space="preserve"> </w:t>
      </w:r>
      <w:r w:rsidRPr="00C6052E">
        <w:t>fees</w:t>
      </w:r>
      <w:r w:rsidR="00177848" w:rsidRPr="00C6052E">
        <w:t xml:space="preserve"> </w:t>
      </w:r>
      <w:r w:rsidRPr="00C6052E">
        <w:t>for</w:t>
      </w:r>
      <w:r w:rsidR="00177848" w:rsidRPr="00C6052E">
        <w:t xml:space="preserve"> </w:t>
      </w:r>
      <w:r w:rsidRPr="00C6052E">
        <w:t>people</w:t>
      </w:r>
      <w:r w:rsidR="00177848" w:rsidRPr="00C6052E">
        <w:t xml:space="preserve"> </w:t>
      </w:r>
      <w:r w:rsidRPr="00C6052E">
        <w:t>wanting</w:t>
      </w:r>
      <w:r w:rsidR="00177848" w:rsidRPr="00C6052E">
        <w:t xml:space="preserve"> </w:t>
      </w:r>
      <w:r w:rsidRPr="00C6052E">
        <w:t>to</w:t>
      </w:r>
      <w:r w:rsidR="00177848" w:rsidRPr="00C6052E">
        <w:t xml:space="preserve"> </w:t>
      </w:r>
      <w:r w:rsidRPr="00C6052E">
        <w:t>become</w:t>
      </w:r>
      <w:r w:rsidR="00177848" w:rsidRPr="00C6052E">
        <w:t xml:space="preserve"> </w:t>
      </w:r>
      <w:r w:rsidRPr="00C6052E">
        <w:t>a</w:t>
      </w:r>
      <w:r w:rsidR="00177848" w:rsidRPr="00C6052E">
        <w:t xml:space="preserve"> </w:t>
      </w:r>
      <w:r w:rsidRPr="00C6052E">
        <w:t>TAFE</w:t>
      </w:r>
      <w:r w:rsidR="00177848" w:rsidRPr="00C6052E">
        <w:t xml:space="preserve"> </w:t>
      </w:r>
      <w:r w:rsidRPr="00C6052E">
        <w:t>teacher.</w:t>
      </w:r>
    </w:p>
    <w:p w14:paraId="65404EC6" w14:textId="07E619B5" w:rsidR="00EE5BB8" w:rsidRPr="00C6052E" w:rsidRDefault="00EE5BB8" w:rsidP="002A4D98">
      <w:pPr>
        <w:pStyle w:val="Heading3"/>
      </w:pPr>
      <w:bookmarkStart w:id="52" w:name="_Toc152067236"/>
      <w:r w:rsidRPr="00C6052E">
        <w:t>Indicator:</w:t>
      </w:r>
      <w:r w:rsidR="00177848" w:rsidRPr="00C6052E">
        <w:t xml:space="preserve"> </w:t>
      </w:r>
      <w:r w:rsidRPr="00C6052E">
        <w:t>Proportion</w:t>
      </w:r>
      <w:r w:rsidR="00177848" w:rsidRPr="00C6052E">
        <w:t xml:space="preserve"> </w:t>
      </w:r>
      <w:r w:rsidRPr="00C6052E">
        <w:t>of</w:t>
      </w:r>
      <w:r w:rsidR="00177848" w:rsidRPr="00C6052E">
        <w:t xml:space="preserve"> </w:t>
      </w:r>
      <w:r w:rsidRPr="00C6052E">
        <w:t>VET</w:t>
      </w:r>
      <w:r w:rsidR="00177848" w:rsidRPr="00C6052E">
        <w:t xml:space="preserve"> </w:t>
      </w:r>
      <w:r w:rsidRPr="00C6052E">
        <w:t>students</w:t>
      </w:r>
      <w:r w:rsidR="00177848" w:rsidRPr="00C6052E">
        <w:t xml:space="preserve"> </w:t>
      </w:r>
      <w:r w:rsidRPr="00C6052E">
        <w:t>with</w:t>
      </w:r>
      <w:r w:rsidR="00177848" w:rsidRPr="00C6052E">
        <w:t xml:space="preserve"> </w:t>
      </w:r>
      <w:r w:rsidRPr="00C6052E">
        <w:t>an</w:t>
      </w:r>
      <w:r w:rsidR="00177848" w:rsidRPr="00C6052E">
        <w:t xml:space="preserve"> </w:t>
      </w:r>
      <w:r w:rsidRPr="00C6052E">
        <w:t>improved</w:t>
      </w:r>
      <w:r w:rsidR="00177848" w:rsidRPr="00C6052E">
        <w:t xml:space="preserve"> </w:t>
      </w:r>
      <w:r w:rsidRPr="00C6052E">
        <w:t>employment</w:t>
      </w:r>
      <w:r w:rsidR="00177848" w:rsidRPr="00C6052E">
        <w:t xml:space="preserve"> </w:t>
      </w:r>
      <w:r w:rsidRPr="00C6052E">
        <w:t>status</w:t>
      </w:r>
      <w:r w:rsidR="00177848" w:rsidRPr="00C6052E">
        <w:t xml:space="preserve"> </w:t>
      </w:r>
      <w:r w:rsidRPr="00C6052E">
        <w:t>after</w:t>
      </w:r>
      <w:r w:rsidR="00177848" w:rsidRPr="00C6052E">
        <w:t xml:space="preserve"> </w:t>
      </w:r>
      <w:r w:rsidRPr="00C6052E">
        <w:t>training</w:t>
      </w:r>
      <w:bookmarkEnd w:id="52"/>
    </w:p>
    <w:p w14:paraId="6F1AE1D6" w14:textId="2CF0654D" w:rsidR="00EE5BB8" w:rsidRPr="00C6052E" w:rsidRDefault="00EE5BB8" w:rsidP="00D52474">
      <w:pPr>
        <w:pStyle w:val="TableHeading"/>
      </w:pPr>
      <w:bookmarkStart w:id="53" w:name="TableColumnHeadings_36"/>
      <w:bookmarkEnd w:id="53"/>
      <w:r w:rsidRPr="00C6052E">
        <w:t>Table</w:t>
      </w:r>
      <w:r w:rsidR="00177848" w:rsidRPr="00C6052E">
        <w:t xml:space="preserve"> </w:t>
      </w:r>
      <w:r w:rsidRPr="00C6052E">
        <w:t>28:</w:t>
      </w:r>
      <w:r w:rsidR="00177848" w:rsidRPr="00C6052E">
        <w:t xml:space="preserve"> </w:t>
      </w:r>
      <w:r w:rsidRPr="00C6052E">
        <w:t>Proportion</w:t>
      </w:r>
      <w:r w:rsidR="00177848" w:rsidRPr="00C6052E">
        <w:t xml:space="preserve"> </w:t>
      </w:r>
      <w:r w:rsidRPr="00C6052E">
        <w:t>of</w:t>
      </w:r>
      <w:r w:rsidR="00177848" w:rsidRPr="00C6052E">
        <w:t xml:space="preserve"> </w:t>
      </w:r>
      <w:r w:rsidRPr="00C6052E">
        <w:t>VET</w:t>
      </w:r>
      <w:r w:rsidR="00177848" w:rsidRPr="00C6052E">
        <w:t xml:space="preserve"> </w:t>
      </w:r>
      <w:r w:rsidRPr="00C6052E">
        <w:t>students</w:t>
      </w:r>
      <w:r w:rsidR="00177848" w:rsidRPr="00C6052E">
        <w:t xml:space="preserve"> </w:t>
      </w:r>
      <w:r w:rsidRPr="00C6052E">
        <w:t>with</w:t>
      </w:r>
      <w:r w:rsidR="00177848" w:rsidRPr="00C6052E">
        <w:t xml:space="preserve"> </w:t>
      </w:r>
      <w:r w:rsidRPr="00C6052E">
        <w:t>an</w:t>
      </w:r>
      <w:r w:rsidR="00177848" w:rsidRPr="00C6052E">
        <w:t xml:space="preserve"> </w:t>
      </w:r>
      <w:r w:rsidRPr="00C6052E">
        <w:t>improved</w:t>
      </w:r>
      <w:r w:rsidR="00177848" w:rsidRPr="00C6052E">
        <w:t xml:space="preserve"> </w:t>
      </w:r>
      <w:r w:rsidRPr="00C6052E">
        <w:t>employment</w:t>
      </w:r>
      <w:r w:rsidR="00177848" w:rsidRPr="00C6052E">
        <w:t xml:space="preserve"> </w:t>
      </w:r>
      <w:r w:rsidRPr="00C6052E">
        <w:t>status</w:t>
      </w:r>
      <w:r w:rsidR="00177848" w:rsidRPr="00C6052E">
        <w:t xml:space="preserve"> </w:t>
      </w:r>
      <w:r w:rsidRPr="00C6052E">
        <w:t>after</w:t>
      </w:r>
      <w:r w:rsidR="00177848" w:rsidRPr="00C6052E">
        <w:t xml:space="preserve"> </w:t>
      </w:r>
      <w:r w:rsidRPr="00C6052E">
        <w:t>training</w:t>
      </w:r>
    </w:p>
    <w:tbl>
      <w:tblPr>
        <w:tblStyle w:val="TableGrid"/>
        <w:tblW w:w="9639" w:type="dxa"/>
        <w:tblInd w:w="-5" w:type="dxa"/>
        <w:tblLayout w:type="fixed"/>
        <w:tblLook w:val="0020" w:firstRow="1" w:lastRow="0" w:firstColumn="0" w:lastColumn="0" w:noHBand="0" w:noVBand="0"/>
      </w:tblPr>
      <w:tblGrid>
        <w:gridCol w:w="4678"/>
        <w:gridCol w:w="1240"/>
        <w:gridCol w:w="1240"/>
        <w:gridCol w:w="1240"/>
        <w:gridCol w:w="1241"/>
      </w:tblGrid>
      <w:tr w:rsidR="00EE5BB8" w:rsidRPr="00C6052E" w14:paraId="7CD982A3" w14:textId="77777777" w:rsidTr="00D52474">
        <w:tc>
          <w:tcPr>
            <w:tcW w:w="4678" w:type="dxa"/>
          </w:tcPr>
          <w:p w14:paraId="7556BBC3" w14:textId="307E907A" w:rsidR="00EE5BB8" w:rsidRPr="00C6052E" w:rsidRDefault="00EE5BB8" w:rsidP="00D52474">
            <w:pPr>
              <w:pStyle w:val="TableColumnHeading"/>
              <w:rPr>
                <w:lang w:val="en-AU"/>
              </w:rPr>
            </w:pPr>
            <w:r w:rsidRPr="00C6052E">
              <w:rPr>
                <w:lang w:val="en-AU"/>
              </w:rPr>
              <w:t>Measure</w:t>
            </w:r>
            <w:r w:rsidR="00B1545C"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40" w:type="dxa"/>
          </w:tcPr>
          <w:p w14:paraId="1B6E0CC5" w14:textId="77777777" w:rsidR="00EE5BB8" w:rsidRPr="00C6052E" w:rsidRDefault="00EE5BB8" w:rsidP="00D52474">
            <w:pPr>
              <w:pStyle w:val="TableColumnHeading"/>
              <w:jc w:val="right"/>
              <w:rPr>
                <w:lang w:val="en-AU"/>
              </w:rPr>
            </w:pPr>
            <w:r w:rsidRPr="00C6052E">
              <w:rPr>
                <w:lang w:val="en-AU"/>
              </w:rPr>
              <w:t>2021–22</w:t>
            </w:r>
          </w:p>
        </w:tc>
        <w:tc>
          <w:tcPr>
            <w:tcW w:w="1240" w:type="dxa"/>
          </w:tcPr>
          <w:p w14:paraId="67ECAED1" w14:textId="77777777" w:rsidR="00EE5BB8" w:rsidRPr="00C6052E" w:rsidRDefault="00EE5BB8" w:rsidP="00D52474">
            <w:pPr>
              <w:pStyle w:val="TableColumnHeading"/>
              <w:jc w:val="right"/>
              <w:rPr>
                <w:lang w:val="en-AU"/>
              </w:rPr>
            </w:pPr>
            <w:r w:rsidRPr="00C6052E">
              <w:rPr>
                <w:lang w:val="en-AU"/>
              </w:rPr>
              <w:t>2022–23</w:t>
            </w:r>
          </w:p>
        </w:tc>
        <w:tc>
          <w:tcPr>
            <w:tcW w:w="1240" w:type="dxa"/>
          </w:tcPr>
          <w:p w14:paraId="7DFB6C2D" w14:textId="77777777" w:rsidR="00EE5BB8" w:rsidRPr="00C6052E" w:rsidRDefault="00EE5BB8" w:rsidP="00D52474">
            <w:pPr>
              <w:pStyle w:val="TableColumnHeading"/>
              <w:jc w:val="right"/>
              <w:rPr>
                <w:lang w:val="en-AU"/>
              </w:rPr>
            </w:pPr>
            <w:r w:rsidRPr="00C6052E">
              <w:rPr>
                <w:lang w:val="en-AU"/>
              </w:rPr>
              <w:t>2023–24</w:t>
            </w:r>
          </w:p>
        </w:tc>
        <w:tc>
          <w:tcPr>
            <w:tcW w:w="1241" w:type="dxa"/>
          </w:tcPr>
          <w:p w14:paraId="3171FBE6" w14:textId="77777777" w:rsidR="00EE5BB8" w:rsidRPr="00C6052E" w:rsidRDefault="00EE5BB8" w:rsidP="00D52474">
            <w:pPr>
              <w:pStyle w:val="TableColumnHeading"/>
              <w:jc w:val="right"/>
              <w:rPr>
                <w:lang w:val="en-AU"/>
              </w:rPr>
            </w:pPr>
            <w:r w:rsidRPr="00C6052E">
              <w:rPr>
                <w:lang w:val="en-AU"/>
              </w:rPr>
              <w:t>2024–25</w:t>
            </w:r>
          </w:p>
        </w:tc>
      </w:tr>
      <w:tr w:rsidR="00EE5BB8" w:rsidRPr="00C6052E" w14:paraId="324A26BE" w14:textId="77777777" w:rsidTr="00D52474">
        <w:tc>
          <w:tcPr>
            <w:tcW w:w="4678" w:type="dxa"/>
          </w:tcPr>
          <w:p w14:paraId="3F75B07C" w14:textId="2C81F67A" w:rsidR="00EE5BB8" w:rsidRPr="00C6052E" w:rsidRDefault="00EE5BB8" w:rsidP="0063097D">
            <w:pPr>
              <w:pStyle w:val="TableCopy"/>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improved</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status</w:t>
            </w:r>
            <w:r w:rsidR="00177848" w:rsidRPr="00C6052E">
              <w:rPr>
                <w:lang w:val="en-AU"/>
              </w:rPr>
              <w:t xml:space="preserve"> </w:t>
            </w:r>
            <w:r w:rsidRPr="00C6052E">
              <w:rPr>
                <w:lang w:val="en-AU"/>
              </w:rPr>
              <w:t>after</w:t>
            </w:r>
            <w:r w:rsidR="00177848" w:rsidRPr="00C6052E">
              <w:rPr>
                <w:lang w:val="en-AU"/>
              </w:rPr>
              <w:t xml:space="preserve"> </w:t>
            </w:r>
            <w:r w:rsidRPr="00C6052E">
              <w:rPr>
                <w:lang w:val="en-AU"/>
              </w:rPr>
              <w:t>training</w:t>
            </w:r>
            <w:r w:rsidR="00177848" w:rsidRPr="00C6052E">
              <w:rPr>
                <w:lang w:val="en-AU"/>
              </w:rPr>
              <w:t xml:space="preserve"> </w:t>
            </w:r>
            <w:r w:rsidRPr="00C6052E">
              <w:rPr>
                <w:lang w:val="en-AU"/>
              </w:rPr>
              <w:t>(per</w:t>
            </w:r>
            <w:r w:rsidR="00177848" w:rsidRPr="00C6052E">
              <w:rPr>
                <w:lang w:val="en-AU"/>
              </w:rPr>
              <w:t xml:space="preserve"> </w:t>
            </w:r>
            <w:r w:rsidRPr="00C6052E">
              <w:rPr>
                <w:lang w:val="en-AU"/>
              </w:rPr>
              <w:t>cent)</w:t>
            </w:r>
          </w:p>
        </w:tc>
        <w:tc>
          <w:tcPr>
            <w:tcW w:w="1240" w:type="dxa"/>
          </w:tcPr>
          <w:p w14:paraId="210055E6" w14:textId="77777777" w:rsidR="00EE5BB8" w:rsidRPr="00C6052E" w:rsidRDefault="00EE5BB8" w:rsidP="00D52474">
            <w:pPr>
              <w:pStyle w:val="TableCopy"/>
              <w:jc w:val="right"/>
              <w:rPr>
                <w:lang w:val="en-AU"/>
              </w:rPr>
            </w:pPr>
            <w:r w:rsidRPr="00C6052E">
              <w:rPr>
                <w:lang w:val="en-AU"/>
              </w:rPr>
              <w:t>55.7</w:t>
            </w:r>
          </w:p>
        </w:tc>
        <w:tc>
          <w:tcPr>
            <w:tcW w:w="1240" w:type="dxa"/>
          </w:tcPr>
          <w:p w14:paraId="24EC0BA8" w14:textId="77777777" w:rsidR="00EE5BB8" w:rsidRPr="00C6052E" w:rsidRDefault="00EE5BB8" w:rsidP="00D52474">
            <w:pPr>
              <w:pStyle w:val="TableCopy"/>
              <w:jc w:val="right"/>
              <w:rPr>
                <w:lang w:val="en-AU"/>
              </w:rPr>
            </w:pPr>
            <w:r w:rsidRPr="00C6052E">
              <w:rPr>
                <w:lang w:val="en-AU"/>
              </w:rPr>
              <w:t>64.8</w:t>
            </w:r>
          </w:p>
        </w:tc>
        <w:tc>
          <w:tcPr>
            <w:tcW w:w="1240" w:type="dxa"/>
          </w:tcPr>
          <w:p w14:paraId="0E88013A" w14:textId="77777777" w:rsidR="00EE5BB8" w:rsidRPr="00C6052E" w:rsidRDefault="00EE5BB8" w:rsidP="00D52474">
            <w:pPr>
              <w:pStyle w:val="TableCopy"/>
              <w:jc w:val="right"/>
              <w:rPr>
                <w:lang w:val="en-AU"/>
              </w:rPr>
            </w:pPr>
            <w:r w:rsidRPr="00C6052E">
              <w:rPr>
                <w:lang w:val="en-AU"/>
              </w:rPr>
              <w:t>65.5</w:t>
            </w:r>
          </w:p>
        </w:tc>
        <w:tc>
          <w:tcPr>
            <w:tcW w:w="1241" w:type="dxa"/>
          </w:tcPr>
          <w:p w14:paraId="12A3D5B4" w14:textId="77777777" w:rsidR="00EE5BB8" w:rsidRPr="00C6052E" w:rsidRDefault="00EE5BB8" w:rsidP="00D52474">
            <w:pPr>
              <w:pStyle w:val="TableCopy"/>
              <w:jc w:val="right"/>
              <w:rPr>
                <w:lang w:val="en-AU"/>
              </w:rPr>
            </w:pPr>
            <w:r w:rsidRPr="00C6052E">
              <w:rPr>
                <w:lang w:val="en-AU"/>
              </w:rPr>
              <w:t>64.5</w:t>
            </w:r>
          </w:p>
        </w:tc>
      </w:tr>
    </w:tbl>
    <w:p w14:paraId="61BD2462" w14:textId="77777777" w:rsidR="00EE5BB8" w:rsidRPr="00C6052E" w:rsidRDefault="00EE5BB8" w:rsidP="00EE5BB8"/>
    <w:p w14:paraId="3029A9E1" w14:textId="6490C6F2" w:rsidR="00EE5BB8" w:rsidRPr="00C6052E" w:rsidRDefault="00EE5BB8" w:rsidP="00D52474">
      <w:pPr>
        <w:pStyle w:val="TableHeading"/>
      </w:pPr>
      <w:r w:rsidRPr="00C6052E">
        <w:t>Figure</w:t>
      </w:r>
      <w:r w:rsidR="00177848" w:rsidRPr="00C6052E">
        <w:t xml:space="preserve"> </w:t>
      </w:r>
      <w:r w:rsidRPr="00C6052E">
        <w:t>27:</w:t>
      </w:r>
      <w:r w:rsidR="00177848" w:rsidRPr="00C6052E">
        <w:t xml:space="preserve"> </w:t>
      </w:r>
      <w:r w:rsidRPr="00C6052E">
        <w:t>Proportion</w:t>
      </w:r>
      <w:r w:rsidR="00177848" w:rsidRPr="00C6052E">
        <w:t xml:space="preserve"> </w:t>
      </w:r>
      <w:r w:rsidRPr="00C6052E">
        <w:t>of</w:t>
      </w:r>
      <w:r w:rsidR="00177848" w:rsidRPr="00C6052E">
        <w:t xml:space="preserve"> </w:t>
      </w:r>
      <w:r w:rsidRPr="00C6052E">
        <w:t>VET</w:t>
      </w:r>
      <w:r w:rsidR="00177848" w:rsidRPr="00C6052E">
        <w:t xml:space="preserve"> </w:t>
      </w:r>
      <w:r w:rsidRPr="00C6052E">
        <w:t>students</w:t>
      </w:r>
      <w:r w:rsidR="00177848" w:rsidRPr="00C6052E">
        <w:t xml:space="preserve"> </w:t>
      </w:r>
      <w:r w:rsidRPr="00C6052E">
        <w:t>with</w:t>
      </w:r>
      <w:r w:rsidR="00177848" w:rsidRPr="00C6052E">
        <w:t xml:space="preserve"> </w:t>
      </w:r>
      <w:r w:rsidRPr="00C6052E">
        <w:t>an</w:t>
      </w:r>
      <w:r w:rsidR="00177848" w:rsidRPr="00C6052E">
        <w:t xml:space="preserve"> </w:t>
      </w:r>
      <w:r w:rsidRPr="00C6052E">
        <w:t>improved</w:t>
      </w:r>
      <w:r w:rsidR="00177848" w:rsidRPr="00C6052E">
        <w:t xml:space="preserve"> </w:t>
      </w:r>
      <w:r w:rsidRPr="00C6052E">
        <w:t>employment</w:t>
      </w:r>
      <w:r w:rsidR="00177848" w:rsidRPr="00C6052E">
        <w:t xml:space="preserve"> </w:t>
      </w:r>
      <w:r w:rsidRPr="00C6052E">
        <w:t>status</w:t>
      </w:r>
      <w:r w:rsidR="00177848" w:rsidRPr="00C6052E">
        <w:t xml:space="preserve"> </w:t>
      </w:r>
      <w:r w:rsidRPr="00C6052E">
        <w:t>after</w:t>
      </w:r>
      <w:r w:rsidR="00177848" w:rsidRPr="00C6052E">
        <w:t xml:space="preserve"> </w:t>
      </w:r>
      <w:r w:rsidRPr="00C6052E">
        <w:t>training</w:t>
      </w:r>
    </w:p>
    <w:p w14:paraId="4966F441" w14:textId="77777777" w:rsidR="00EE5BB8" w:rsidRPr="00C6052E" w:rsidRDefault="00EE5BB8" w:rsidP="00EE5BB8">
      <w:pPr>
        <w:pStyle w:val="Graph"/>
        <w:rPr>
          <w:noProof w:val="0"/>
        </w:rPr>
      </w:pPr>
      <w:r w:rsidRPr="00C6052E">
        <w:drawing>
          <wp:inline distT="0" distB="0" distL="0" distR="0" wp14:anchorId="10E32D7E" wp14:editId="1CB5E335">
            <wp:extent cx="4050000" cy="2700000"/>
            <wp:effectExtent l="0" t="0" r="8255" b="0"/>
            <wp:docPr id="464429178" name="Chart 1" descr="Line graph showing data from Table 28: Proportion of VET students with an improved employment status after training (above).">
              <a:extLst xmlns:a="http://schemas.openxmlformats.org/drawingml/2006/main">
                <a:ext uri="{FF2B5EF4-FFF2-40B4-BE49-F238E27FC236}">
                  <a16:creationId xmlns:a16="http://schemas.microsoft.com/office/drawing/2014/main" id="{00000000-0008-0000-0600-000027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DB54173" w14:textId="3E67C812" w:rsidR="00EE5BB8" w:rsidRPr="00C6052E" w:rsidRDefault="00EE5BB8" w:rsidP="00EE5BB8">
      <w:pPr>
        <w:keepLines/>
      </w:pPr>
      <w:bookmarkStart w:id="54" w:name="_Toc152067237"/>
      <w:r w:rsidRPr="00C6052E">
        <w:t>The</w:t>
      </w:r>
      <w:r w:rsidR="00177848" w:rsidRPr="00C6052E">
        <w:t xml:space="preserve"> </w:t>
      </w:r>
      <w:r w:rsidRPr="00C6052E">
        <w:t>Victorian</w:t>
      </w:r>
      <w:r w:rsidR="00177848" w:rsidRPr="00C6052E">
        <w:t xml:space="preserve"> </w:t>
      </w:r>
      <w:r w:rsidRPr="00C6052E">
        <w:t>Government’s</w:t>
      </w:r>
      <w:r w:rsidR="00177848" w:rsidRPr="00C6052E">
        <w:t xml:space="preserve"> </w:t>
      </w:r>
      <w:r w:rsidRPr="00C6052E">
        <w:t>focus</w:t>
      </w:r>
      <w:r w:rsidR="00177848" w:rsidRPr="00C6052E">
        <w:t xml:space="preserve"> </w:t>
      </w:r>
      <w:r w:rsidRPr="00C6052E">
        <w:t>on</w:t>
      </w:r>
      <w:r w:rsidR="00177848" w:rsidRPr="00C6052E">
        <w:t xml:space="preserve"> </w:t>
      </w:r>
      <w:r w:rsidRPr="00C6052E">
        <w:t>delivering</w:t>
      </w:r>
      <w:r w:rsidR="00177848" w:rsidRPr="00C6052E">
        <w:t xml:space="preserve"> </w:t>
      </w:r>
      <w:r w:rsidRPr="00C6052E">
        <w:t>high-quality,</w:t>
      </w:r>
      <w:r w:rsidR="00177848" w:rsidRPr="00C6052E">
        <w:t xml:space="preserve"> </w:t>
      </w:r>
      <w:r w:rsidRPr="00C6052E">
        <w:t>relevant</w:t>
      </w:r>
      <w:r w:rsidR="00177848" w:rsidRPr="00C6052E">
        <w:t xml:space="preserve"> </w:t>
      </w:r>
      <w:r w:rsidRPr="00C6052E">
        <w:t>training</w:t>
      </w:r>
      <w:r w:rsidR="00177848" w:rsidRPr="00C6052E">
        <w:t xml:space="preserve"> </w:t>
      </w:r>
      <w:r w:rsidRPr="00C6052E">
        <w:t>that</w:t>
      </w:r>
      <w:r w:rsidR="00177848" w:rsidRPr="00C6052E">
        <w:t xml:space="preserve"> </w:t>
      </w:r>
      <w:r w:rsidRPr="00C6052E">
        <w:t>leads</w:t>
      </w:r>
      <w:r w:rsidR="00177848" w:rsidRPr="00C6052E">
        <w:t xml:space="preserve"> </w:t>
      </w:r>
      <w:r w:rsidRPr="00C6052E">
        <w:t>to</w:t>
      </w:r>
      <w:r w:rsidR="00177848" w:rsidRPr="00C6052E">
        <w:t xml:space="preserve"> </w:t>
      </w:r>
      <w:r w:rsidRPr="00C6052E">
        <w:t>employment</w:t>
      </w:r>
      <w:r w:rsidR="00177848" w:rsidRPr="00C6052E">
        <w:t xml:space="preserve"> </w:t>
      </w:r>
      <w:r w:rsidRPr="00C6052E">
        <w:t>is</w:t>
      </w:r>
      <w:r w:rsidR="00177848" w:rsidRPr="00C6052E">
        <w:t xml:space="preserve"> </w:t>
      </w:r>
      <w:r w:rsidRPr="00C6052E">
        <w:t>improving</w:t>
      </w:r>
      <w:r w:rsidR="00177848" w:rsidRPr="00C6052E">
        <w:t xml:space="preserve"> </w:t>
      </w:r>
      <w:r w:rsidRPr="00C6052E">
        <w:t>job</w:t>
      </w:r>
      <w:r w:rsidR="00177848" w:rsidRPr="00C6052E">
        <w:t xml:space="preserve"> </w:t>
      </w:r>
      <w:r w:rsidRPr="00C6052E">
        <w:t>prospects</w:t>
      </w:r>
      <w:r w:rsidR="00177848" w:rsidRPr="00C6052E">
        <w:t xml:space="preserve"> </w:t>
      </w:r>
      <w:r w:rsidRPr="00C6052E">
        <w:t>for</w:t>
      </w:r>
      <w:r w:rsidR="00177848" w:rsidRPr="00C6052E">
        <w:t xml:space="preserve"> </w:t>
      </w:r>
      <w:r w:rsidRPr="00C6052E">
        <w:t>Victorians</w:t>
      </w:r>
      <w:r w:rsidR="00177848" w:rsidRPr="00C6052E">
        <w:t xml:space="preserve"> </w:t>
      </w:r>
      <w:r w:rsidRPr="00C6052E">
        <w:t>completing</w:t>
      </w:r>
      <w:r w:rsidR="00177848" w:rsidRPr="00C6052E">
        <w:t xml:space="preserve"> </w:t>
      </w:r>
      <w:r w:rsidRPr="00C6052E">
        <w:t>TAFE</w:t>
      </w:r>
      <w:r w:rsidR="00177848" w:rsidRPr="00C6052E">
        <w:t xml:space="preserve"> </w:t>
      </w:r>
      <w:r w:rsidRPr="00C6052E">
        <w:t>and</w:t>
      </w:r>
      <w:r w:rsidR="00177848" w:rsidRPr="00C6052E">
        <w:t xml:space="preserve"> </w:t>
      </w:r>
      <w:r w:rsidRPr="00C6052E">
        <w:t>training.</w:t>
      </w:r>
      <w:r w:rsidR="00177848" w:rsidRPr="00C6052E">
        <w:t xml:space="preserve"> </w:t>
      </w:r>
      <w:r w:rsidRPr="00C6052E">
        <w:t>In</w:t>
      </w:r>
      <w:r w:rsidR="00177848" w:rsidRPr="00C6052E">
        <w:t xml:space="preserve"> </w:t>
      </w:r>
      <w:r w:rsidRPr="00C6052E">
        <w:t>2024–25,</w:t>
      </w:r>
      <w:r w:rsidR="00177848" w:rsidRPr="00C6052E">
        <w:t xml:space="preserve"> </w:t>
      </w:r>
      <w:r w:rsidRPr="00C6052E">
        <w:t>employment</w:t>
      </w:r>
      <w:r w:rsidR="00177848" w:rsidRPr="00C6052E">
        <w:t xml:space="preserve"> </w:t>
      </w:r>
      <w:r w:rsidRPr="00C6052E">
        <w:t>outcomes</w:t>
      </w:r>
      <w:r w:rsidR="00177848" w:rsidRPr="00C6052E">
        <w:t xml:space="preserve"> </w:t>
      </w:r>
      <w:r w:rsidRPr="00C6052E">
        <w:t>for</w:t>
      </w:r>
      <w:r w:rsidR="00177848" w:rsidRPr="00C6052E">
        <w:t xml:space="preserve"> </w:t>
      </w:r>
      <w:r w:rsidRPr="00C6052E">
        <w:t>Victorian</w:t>
      </w:r>
      <w:r w:rsidR="00177848" w:rsidRPr="00C6052E">
        <w:t xml:space="preserve"> </w:t>
      </w:r>
      <w:r w:rsidRPr="00C6052E">
        <w:t>VET</w:t>
      </w:r>
      <w:r w:rsidR="00177848" w:rsidRPr="00C6052E">
        <w:t xml:space="preserve"> </w:t>
      </w:r>
      <w:r w:rsidRPr="00C6052E">
        <w:t>students</w:t>
      </w:r>
      <w:r w:rsidR="00177848" w:rsidRPr="00C6052E">
        <w:t xml:space="preserve"> </w:t>
      </w:r>
      <w:r w:rsidRPr="00C6052E">
        <w:t>reached</w:t>
      </w:r>
      <w:r w:rsidR="00177848" w:rsidRPr="00C6052E">
        <w:t xml:space="preserve"> </w:t>
      </w:r>
      <w:r w:rsidRPr="00C6052E">
        <w:t>64.5%</w:t>
      </w:r>
      <w:r w:rsidR="00177848" w:rsidRPr="00C6052E">
        <w:t xml:space="preserve"> </w:t>
      </w:r>
      <w:r w:rsidRPr="00C6052E">
        <w:t>–</w:t>
      </w:r>
      <w:r w:rsidR="00177848" w:rsidRPr="00C6052E">
        <w:t xml:space="preserve"> </w:t>
      </w:r>
      <w:r w:rsidRPr="00C6052E">
        <w:t>an</w:t>
      </w:r>
      <w:r w:rsidR="00177848" w:rsidRPr="00C6052E">
        <w:t xml:space="preserve"> </w:t>
      </w:r>
      <w:r w:rsidRPr="00C6052E">
        <w:t>increase</w:t>
      </w:r>
      <w:r w:rsidR="00177848" w:rsidRPr="00C6052E">
        <w:t xml:space="preserve"> </w:t>
      </w:r>
      <w:r w:rsidRPr="00C6052E">
        <w:t>of</w:t>
      </w:r>
      <w:r w:rsidR="00177848" w:rsidRPr="00C6052E">
        <w:t xml:space="preserve"> </w:t>
      </w:r>
      <w:r w:rsidRPr="00C6052E">
        <w:t>8.8</w:t>
      </w:r>
      <w:r w:rsidR="00177848" w:rsidRPr="00C6052E">
        <w:t xml:space="preserve"> </w:t>
      </w:r>
      <w:r w:rsidRPr="00C6052E">
        <w:t>percentage</w:t>
      </w:r>
      <w:r w:rsidR="00177848" w:rsidRPr="00C6052E">
        <w:t xml:space="preserve"> </w:t>
      </w:r>
      <w:r w:rsidRPr="00C6052E">
        <w:t>points</w:t>
      </w:r>
      <w:r w:rsidR="00177848" w:rsidRPr="00C6052E">
        <w:t xml:space="preserve"> </w:t>
      </w:r>
      <w:r w:rsidRPr="00C6052E">
        <w:t>compared</w:t>
      </w:r>
      <w:r w:rsidR="00177848" w:rsidRPr="00C6052E">
        <w:t xml:space="preserve"> </w:t>
      </w:r>
      <w:r w:rsidRPr="00C6052E">
        <w:t>to</w:t>
      </w:r>
      <w:r w:rsidR="00177848" w:rsidRPr="00C6052E">
        <w:t xml:space="preserve"> </w:t>
      </w:r>
      <w:r w:rsidRPr="00C6052E">
        <w:t>2021–22.</w:t>
      </w:r>
      <w:r w:rsidR="00177848" w:rsidRPr="00C6052E">
        <w:t xml:space="preserve"> </w:t>
      </w:r>
    </w:p>
    <w:p w14:paraId="7D9C9877" w14:textId="449839F6" w:rsidR="00EE5BB8" w:rsidRPr="00C6052E" w:rsidRDefault="00EE5BB8" w:rsidP="00EE5BB8">
      <w:r w:rsidRPr="00C6052E">
        <w:lastRenderedPageBreak/>
        <w:t>These</w:t>
      </w:r>
      <w:r w:rsidR="00177848" w:rsidRPr="00C6052E">
        <w:t xml:space="preserve"> </w:t>
      </w:r>
      <w:r w:rsidRPr="00C6052E">
        <w:t>survey</w:t>
      </w:r>
      <w:r w:rsidR="00177848" w:rsidRPr="00C6052E">
        <w:t xml:space="preserve"> </w:t>
      </w:r>
      <w:r w:rsidRPr="00C6052E">
        <w:t>results</w:t>
      </w:r>
      <w:r w:rsidR="00177848" w:rsidRPr="00C6052E">
        <w:t xml:space="preserve"> </w:t>
      </w:r>
      <w:r w:rsidRPr="00C6052E">
        <w:t>are</w:t>
      </w:r>
      <w:r w:rsidR="00177848" w:rsidRPr="00C6052E">
        <w:t xml:space="preserve"> </w:t>
      </w:r>
      <w:r w:rsidRPr="00C6052E">
        <w:t>derived</w:t>
      </w:r>
      <w:r w:rsidR="00177848" w:rsidRPr="00C6052E">
        <w:t xml:space="preserve"> </w:t>
      </w:r>
      <w:r w:rsidRPr="00C6052E">
        <w:t>from</w:t>
      </w:r>
      <w:r w:rsidR="00177848" w:rsidRPr="00C6052E">
        <w:t xml:space="preserve"> </w:t>
      </w:r>
      <w:r w:rsidRPr="00C6052E">
        <w:t>the</w:t>
      </w:r>
      <w:r w:rsidR="00177848" w:rsidRPr="00C6052E">
        <w:t xml:space="preserve"> </w:t>
      </w:r>
      <w:r w:rsidRPr="00C6052E">
        <w:t>annual</w:t>
      </w:r>
      <w:r w:rsidR="00177848" w:rsidRPr="00C6052E">
        <w:t xml:space="preserve"> </w:t>
      </w:r>
      <w:r w:rsidRPr="00C6052E">
        <w:t>Student</w:t>
      </w:r>
      <w:r w:rsidR="00177848" w:rsidRPr="00C6052E">
        <w:t xml:space="preserve"> </w:t>
      </w:r>
      <w:r w:rsidRPr="00C6052E">
        <w:t>Satisfaction</w:t>
      </w:r>
      <w:r w:rsidR="00177848" w:rsidRPr="00C6052E">
        <w:t xml:space="preserve"> </w:t>
      </w:r>
      <w:r w:rsidRPr="00C6052E">
        <w:t>and</w:t>
      </w:r>
      <w:r w:rsidR="00177848" w:rsidRPr="00C6052E">
        <w:t xml:space="preserve"> </w:t>
      </w:r>
      <w:r w:rsidRPr="00C6052E">
        <w:t>the</w:t>
      </w:r>
      <w:r w:rsidR="00177848" w:rsidRPr="00C6052E">
        <w:t xml:space="preserve"> </w:t>
      </w:r>
      <w:r w:rsidRPr="00C6052E">
        <w:t>Employer</w:t>
      </w:r>
      <w:r w:rsidR="00177848" w:rsidRPr="00C6052E">
        <w:t xml:space="preserve"> </w:t>
      </w:r>
      <w:r w:rsidRPr="00C6052E">
        <w:t>Satisfaction</w:t>
      </w:r>
      <w:r w:rsidR="00177848" w:rsidRPr="00C6052E">
        <w:t xml:space="preserve"> </w:t>
      </w:r>
      <w:r w:rsidRPr="00C6052E">
        <w:t>surveys</w:t>
      </w:r>
      <w:r w:rsidR="00177848" w:rsidRPr="00C6052E">
        <w:t xml:space="preserve"> </w:t>
      </w:r>
      <w:r w:rsidRPr="00C6052E">
        <w:t>conducted</w:t>
      </w:r>
      <w:r w:rsidR="00177848" w:rsidRPr="00C6052E">
        <w:t xml:space="preserve"> </w:t>
      </w:r>
      <w:r w:rsidRPr="00C6052E">
        <w:t>by</w:t>
      </w:r>
      <w:r w:rsidR="00177848" w:rsidRPr="00C6052E">
        <w:t xml:space="preserve"> </w:t>
      </w:r>
      <w:r w:rsidRPr="00C6052E">
        <w:t>the</w:t>
      </w:r>
      <w:r w:rsidR="00177848" w:rsidRPr="00C6052E">
        <w:t xml:space="preserve"> </w:t>
      </w:r>
      <w:r w:rsidRPr="00C6052E">
        <w:t>Victorian</w:t>
      </w:r>
      <w:r w:rsidR="00177848" w:rsidRPr="00C6052E">
        <w:t xml:space="preserve"> </w:t>
      </w:r>
      <w:r w:rsidRPr="00C6052E">
        <w:t>Skills</w:t>
      </w:r>
      <w:r w:rsidR="00177848" w:rsidRPr="00C6052E">
        <w:t xml:space="preserve"> </w:t>
      </w:r>
      <w:r w:rsidRPr="00C6052E">
        <w:t>Authority</w:t>
      </w:r>
      <w:r w:rsidR="00177848" w:rsidRPr="00C6052E">
        <w:t xml:space="preserve"> </w:t>
      </w:r>
      <w:r w:rsidRPr="00C6052E">
        <w:t>(VSA),</w:t>
      </w:r>
      <w:r w:rsidR="00177848" w:rsidRPr="00C6052E">
        <w:t xml:space="preserve"> </w:t>
      </w:r>
      <w:r w:rsidRPr="00C6052E">
        <w:t>which</w:t>
      </w:r>
      <w:r w:rsidR="00177848" w:rsidRPr="00C6052E">
        <w:t xml:space="preserve"> </w:t>
      </w:r>
      <w:r w:rsidRPr="00C6052E">
        <w:t>gather</w:t>
      </w:r>
      <w:r w:rsidR="00177848" w:rsidRPr="00C6052E">
        <w:t xml:space="preserve"> </w:t>
      </w:r>
      <w:r w:rsidRPr="00C6052E">
        <w:t>feedback</w:t>
      </w:r>
      <w:r w:rsidR="00177848" w:rsidRPr="00C6052E">
        <w:t xml:space="preserve"> </w:t>
      </w:r>
      <w:r w:rsidRPr="00C6052E">
        <w:t>from</w:t>
      </w:r>
      <w:r w:rsidR="00177848" w:rsidRPr="00C6052E">
        <w:t xml:space="preserve"> </w:t>
      </w:r>
      <w:r w:rsidRPr="00C6052E">
        <w:t>both</w:t>
      </w:r>
      <w:r w:rsidR="00177848" w:rsidRPr="00C6052E">
        <w:t xml:space="preserve"> </w:t>
      </w:r>
      <w:r w:rsidRPr="00C6052E">
        <w:t>students</w:t>
      </w:r>
      <w:r w:rsidR="00177848" w:rsidRPr="00C6052E">
        <w:t xml:space="preserve"> </w:t>
      </w:r>
      <w:r w:rsidRPr="00C6052E">
        <w:t>who</w:t>
      </w:r>
      <w:r w:rsidR="00177848" w:rsidRPr="00C6052E">
        <w:t xml:space="preserve"> </w:t>
      </w:r>
      <w:r w:rsidRPr="00C6052E">
        <w:t>undertook</w:t>
      </w:r>
      <w:r w:rsidR="00177848" w:rsidRPr="00C6052E">
        <w:t xml:space="preserve"> </w:t>
      </w:r>
      <w:r w:rsidRPr="00C6052E">
        <w:t>VET</w:t>
      </w:r>
      <w:r w:rsidR="00177848" w:rsidRPr="00C6052E">
        <w:t xml:space="preserve"> </w:t>
      </w:r>
      <w:r w:rsidRPr="00C6052E">
        <w:t>courses</w:t>
      </w:r>
      <w:r w:rsidR="00177848" w:rsidRPr="00C6052E">
        <w:t xml:space="preserve"> </w:t>
      </w:r>
      <w:r w:rsidRPr="00C6052E">
        <w:t>and</w:t>
      </w:r>
      <w:r w:rsidR="00177848" w:rsidRPr="00C6052E">
        <w:t xml:space="preserve"> </w:t>
      </w:r>
      <w:r w:rsidRPr="00C6052E">
        <w:t>employers</w:t>
      </w:r>
      <w:r w:rsidR="00177848" w:rsidRPr="00C6052E">
        <w:t xml:space="preserve"> </w:t>
      </w:r>
      <w:r w:rsidRPr="00C6052E">
        <w:t>of</w:t>
      </w:r>
      <w:r w:rsidR="00177848" w:rsidRPr="00C6052E">
        <w:t xml:space="preserve"> </w:t>
      </w:r>
      <w:r w:rsidRPr="00C6052E">
        <w:t>VET</w:t>
      </w:r>
      <w:r w:rsidR="00177848" w:rsidRPr="00C6052E">
        <w:t xml:space="preserve"> </w:t>
      </w:r>
      <w:r w:rsidRPr="00C6052E">
        <w:t>graduates</w:t>
      </w:r>
      <w:r w:rsidR="00177848" w:rsidRPr="00C6052E">
        <w:t xml:space="preserve"> </w:t>
      </w:r>
      <w:r w:rsidRPr="00C6052E">
        <w:t>in</w:t>
      </w:r>
      <w:r w:rsidR="00177848" w:rsidRPr="00C6052E">
        <w:t xml:space="preserve"> </w:t>
      </w:r>
      <w:r w:rsidRPr="00C6052E">
        <w:t>Victoria</w:t>
      </w:r>
      <w:r w:rsidR="00177848" w:rsidRPr="00C6052E">
        <w:t xml:space="preserve"> </w:t>
      </w:r>
      <w:r w:rsidRPr="00C6052E">
        <w:t>during</w:t>
      </w:r>
      <w:r w:rsidR="00177848" w:rsidRPr="00C6052E">
        <w:t xml:space="preserve"> </w:t>
      </w:r>
      <w:r w:rsidRPr="00C6052E">
        <w:t>the</w:t>
      </w:r>
      <w:r w:rsidR="00177848" w:rsidRPr="00C6052E">
        <w:t xml:space="preserve"> </w:t>
      </w:r>
      <w:r w:rsidRPr="00C6052E">
        <w:t>previous</w:t>
      </w:r>
      <w:r w:rsidR="00177848" w:rsidRPr="00C6052E">
        <w:t xml:space="preserve"> </w:t>
      </w:r>
      <w:r w:rsidRPr="00C6052E">
        <w:t>calendar</w:t>
      </w:r>
      <w:r w:rsidR="00177848" w:rsidRPr="00C6052E">
        <w:t xml:space="preserve"> </w:t>
      </w:r>
      <w:r w:rsidRPr="00C6052E">
        <w:t>year.</w:t>
      </w:r>
    </w:p>
    <w:p w14:paraId="7B91F634" w14:textId="692FE092" w:rsidR="00EE5BB8" w:rsidRPr="00C6052E" w:rsidRDefault="00EE5BB8" w:rsidP="00EE5BB8">
      <w:r w:rsidRPr="00C6052E">
        <w:t>The</w:t>
      </w:r>
      <w:r w:rsidR="00177848" w:rsidRPr="00C6052E">
        <w:t xml:space="preserve"> </w:t>
      </w:r>
      <w:r w:rsidRPr="00C6052E">
        <w:t>result</w:t>
      </w:r>
      <w:r w:rsidR="00177848" w:rsidRPr="00C6052E">
        <w:t xml:space="preserve"> </w:t>
      </w:r>
      <w:r w:rsidRPr="00C6052E">
        <w:t>reflects</w:t>
      </w:r>
      <w:r w:rsidR="00177848" w:rsidRPr="00C6052E">
        <w:t xml:space="preserve"> </w:t>
      </w:r>
      <w:r w:rsidRPr="00C6052E">
        <w:t>a</w:t>
      </w:r>
      <w:r w:rsidR="00177848" w:rsidRPr="00C6052E">
        <w:t xml:space="preserve"> </w:t>
      </w:r>
      <w:r w:rsidRPr="00C6052E">
        <w:t>strong</w:t>
      </w:r>
      <w:r w:rsidR="00177848" w:rsidRPr="00C6052E">
        <w:t xml:space="preserve"> </w:t>
      </w:r>
      <w:r w:rsidRPr="00C6052E">
        <w:t>Victorian</w:t>
      </w:r>
      <w:r w:rsidR="00177848" w:rsidRPr="00C6052E">
        <w:t xml:space="preserve"> </w:t>
      </w:r>
      <w:r w:rsidRPr="00C6052E">
        <w:t>labour</w:t>
      </w:r>
      <w:r w:rsidR="00177848" w:rsidRPr="00C6052E">
        <w:t xml:space="preserve"> </w:t>
      </w:r>
      <w:r w:rsidRPr="00C6052E">
        <w:t>market,</w:t>
      </w:r>
      <w:r w:rsidR="00177848" w:rsidRPr="00C6052E">
        <w:t xml:space="preserve"> </w:t>
      </w:r>
      <w:r w:rsidRPr="00C6052E">
        <w:t>as</w:t>
      </w:r>
      <w:r w:rsidR="00177848" w:rsidRPr="00C6052E">
        <w:t xml:space="preserve"> </w:t>
      </w:r>
      <w:r w:rsidRPr="00C6052E">
        <w:t>well</w:t>
      </w:r>
      <w:r w:rsidR="00177848" w:rsidRPr="00C6052E">
        <w:t xml:space="preserve"> </w:t>
      </w:r>
      <w:r w:rsidRPr="00C6052E">
        <w:t>as</w:t>
      </w:r>
      <w:r w:rsidR="00177848" w:rsidRPr="00C6052E">
        <w:t xml:space="preserve"> </w:t>
      </w:r>
      <w:r w:rsidRPr="00C6052E">
        <w:t>DJSIR</w:t>
      </w:r>
      <w:r w:rsidR="00177848" w:rsidRPr="00C6052E">
        <w:t xml:space="preserve"> </w:t>
      </w:r>
      <w:r w:rsidRPr="00C6052E">
        <w:t>system</w:t>
      </w:r>
      <w:r w:rsidR="00177848" w:rsidRPr="00C6052E">
        <w:t xml:space="preserve"> </w:t>
      </w:r>
      <w:r w:rsidRPr="00C6052E">
        <w:t>stewardship,</w:t>
      </w:r>
      <w:r w:rsidR="00177848" w:rsidRPr="00C6052E">
        <w:t xml:space="preserve"> </w:t>
      </w:r>
      <w:r w:rsidRPr="00C6052E">
        <w:t>which</w:t>
      </w:r>
      <w:r w:rsidR="00177848" w:rsidRPr="00C6052E">
        <w:t xml:space="preserve"> </w:t>
      </w:r>
      <w:r w:rsidRPr="00C6052E">
        <w:t>seeks</w:t>
      </w:r>
      <w:r w:rsidR="00177848" w:rsidRPr="00C6052E">
        <w:t xml:space="preserve"> </w:t>
      </w:r>
      <w:r w:rsidRPr="00C6052E">
        <w:t>to</w:t>
      </w:r>
      <w:r w:rsidR="00177848" w:rsidRPr="00C6052E">
        <w:t xml:space="preserve"> </w:t>
      </w:r>
      <w:r w:rsidRPr="00C6052E">
        <w:t>align</w:t>
      </w:r>
      <w:r w:rsidR="00177848" w:rsidRPr="00C6052E">
        <w:t xml:space="preserve"> </w:t>
      </w:r>
      <w:r w:rsidRPr="00C6052E">
        <w:t>training</w:t>
      </w:r>
      <w:r w:rsidR="00177848" w:rsidRPr="00C6052E">
        <w:t xml:space="preserve"> </w:t>
      </w:r>
      <w:r w:rsidRPr="00C6052E">
        <w:t>and</w:t>
      </w:r>
      <w:r w:rsidR="00177848" w:rsidRPr="00C6052E">
        <w:t xml:space="preserve"> </w:t>
      </w:r>
      <w:r w:rsidRPr="00C6052E">
        <w:t>workforce</w:t>
      </w:r>
      <w:r w:rsidR="00177848" w:rsidRPr="00C6052E">
        <w:t xml:space="preserve"> </w:t>
      </w:r>
      <w:r w:rsidRPr="00C6052E">
        <w:t>needs.</w:t>
      </w:r>
      <w:r w:rsidR="00177848" w:rsidRPr="00C6052E">
        <w:t xml:space="preserve"> </w:t>
      </w:r>
      <w:r w:rsidRPr="00C6052E">
        <w:t>The</w:t>
      </w:r>
      <w:r w:rsidR="00177848" w:rsidRPr="00C6052E">
        <w:t xml:space="preserve"> </w:t>
      </w:r>
      <w:r w:rsidRPr="00C6052E">
        <w:t>annual</w:t>
      </w:r>
      <w:r w:rsidR="00177848" w:rsidRPr="00C6052E">
        <w:t xml:space="preserve"> </w:t>
      </w:r>
      <w:r w:rsidRPr="00C6052E">
        <w:t>Victorian</w:t>
      </w:r>
      <w:r w:rsidR="00177848" w:rsidRPr="00C6052E">
        <w:t xml:space="preserve"> </w:t>
      </w:r>
      <w:r w:rsidRPr="00C6052E">
        <w:t>Skills</w:t>
      </w:r>
      <w:r w:rsidR="00177848" w:rsidRPr="00C6052E">
        <w:t xml:space="preserve"> </w:t>
      </w:r>
      <w:r w:rsidRPr="00C6052E">
        <w:t>Plan</w:t>
      </w:r>
      <w:r w:rsidR="00177848" w:rsidRPr="00C6052E">
        <w:t xml:space="preserve"> </w:t>
      </w:r>
      <w:r w:rsidRPr="00C6052E">
        <w:t>uses</w:t>
      </w:r>
      <w:r w:rsidR="00177848" w:rsidRPr="00C6052E">
        <w:t xml:space="preserve"> </w:t>
      </w:r>
      <w:r w:rsidRPr="00C6052E">
        <w:t>labour</w:t>
      </w:r>
      <w:r w:rsidR="00177848" w:rsidRPr="00C6052E">
        <w:t xml:space="preserve"> </w:t>
      </w:r>
      <w:r w:rsidRPr="00C6052E">
        <w:t>market</w:t>
      </w:r>
      <w:r w:rsidR="00177848" w:rsidRPr="00C6052E">
        <w:t xml:space="preserve"> </w:t>
      </w:r>
      <w:r w:rsidRPr="00C6052E">
        <w:t>evidence</w:t>
      </w:r>
      <w:r w:rsidR="00177848" w:rsidRPr="00C6052E">
        <w:t xml:space="preserve"> </w:t>
      </w:r>
      <w:r w:rsidRPr="00C6052E">
        <w:t>and</w:t>
      </w:r>
      <w:r w:rsidR="00177848" w:rsidRPr="00C6052E">
        <w:t xml:space="preserve"> </w:t>
      </w:r>
      <w:r w:rsidRPr="00C6052E">
        <w:t>industry</w:t>
      </w:r>
      <w:r w:rsidR="00177848" w:rsidRPr="00C6052E">
        <w:t xml:space="preserve"> </w:t>
      </w:r>
      <w:r w:rsidRPr="00C6052E">
        <w:t>consultation</w:t>
      </w:r>
      <w:r w:rsidR="00177848" w:rsidRPr="00C6052E">
        <w:t xml:space="preserve"> </w:t>
      </w:r>
      <w:r w:rsidRPr="00C6052E">
        <w:t>to</w:t>
      </w:r>
      <w:r w:rsidR="00177848" w:rsidRPr="00C6052E">
        <w:t xml:space="preserve"> </w:t>
      </w:r>
      <w:r w:rsidRPr="00C6052E">
        <w:t>better</w:t>
      </w:r>
      <w:r w:rsidR="00177848" w:rsidRPr="00C6052E">
        <w:t xml:space="preserve"> </w:t>
      </w:r>
      <w:r w:rsidRPr="00C6052E">
        <w:t>target</w:t>
      </w:r>
      <w:r w:rsidR="00177848" w:rsidRPr="00C6052E">
        <w:t xml:space="preserve"> </w:t>
      </w:r>
      <w:r w:rsidRPr="00C6052E">
        <w:t>government-funded</w:t>
      </w:r>
      <w:r w:rsidR="00177848" w:rsidRPr="00C6052E">
        <w:t xml:space="preserve"> </w:t>
      </w:r>
      <w:r w:rsidRPr="00C6052E">
        <w:t>training.</w:t>
      </w:r>
      <w:r w:rsidR="00177848" w:rsidRPr="00C6052E">
        <w:t xml:space="preserve"> </w:t>
      </w:r>
      <w:r w:rsidRPr="00C6052E">
        <w:t>The</w:t>
      </w:r>
      <w:r w:rsidR="00177848" w:rsidRPr="00C6052E">
        <w:t xml:space="preserve"> </w:t>
      </w:r>
      <w:r w:rsidRPr="00C6052E">
        <w:t>insights</w:t>
      </w:r>
      <w:r w:rsidR="00177848" w:rsidRPr="00C6052E">
        <w:t xml:space="preserve"> </w:t>
      </w:r>
      <w:r w:rsidRPr="00C6052E">
        <w:t>from</w:t>
      </w:r>
      <w:r w:rsidR="00177848" w:rsidRPr="00C6052E">
        <w:t xml:space="preserve"> </w:t>
      </w:r>
      <w:r w:rsidRPr="00C6052E">
        <w:t>the</w:t>
      </w:r>
      <w:r w:rsidR="00177848" w:rsidRPr="00C6052E">
        <w:t xml:space="preserve"> </w:t>
      </w:r>
      <w:r w:rsidRPr="00C6052E">
        <w:t>plan</w:t>
      </w:r>
      <w:r w:rsidR="00177848" w:rsidRPr="00C6052E">
        <w:t xml:space="preserve"> </w:t>
      </w:r>
      <w:r w:rsidRPr="00C6052E">
        <w:t>have</w:t>
      </w:r>
      <w:r w:rsidR="00177848" w:rsidRPr="00C6052E">
        <w:t xml:space="preserve"> </w:t>
      </w:r>
      <w:r w:rsidRPr="00C6052E">
        <w:t>led</w:t>
      </w:r>
      <w:r w:rsidR="00177848" w:rsidRPr="00C6052E">
        <w:t xml:space="preserve"> </w:t>
      </w:r>
      <w:r w:rsidRPr="00C6052E">
        <w:t>to</w:t>
      </w:r>
      <w:r w:rsidR="00177848" w:rsidRPr="00C6052E">
        <w:t xml:space="preserve"> </w:t>
      </w:r>
      <w:r w:rsidRPr="00C6052E">
        <w:t>a</w:t>
      </w:r>
      <w:r w:rsidR="00177848" w:rsidRPr="00C6052E">
        <w:t xml:space="preserve"> </w:t>
      </w:r>
      <w:r w:rsidRPr="00C6052E">
        <w:t>refocused</w:t>
      </w:r>
      <w:r w:rsidR="00177848" w:rsidRPr="00C6052E">
        <w:t xml:space="preserve"> </w:t>
      </w:r>
      <w:r w:rsidRPr="00C6052E">
        <w:t>Training</w:t>
      </w:r>
      <w:r w:rsidR="00177848" w:rsidRPr="00C6052E">
        <w:t xml:space="preserve"> </w:t>
      </w:r>
      <w:r w:rsidRPr="00C6052E">
        <w:t>Needs</w:t>
      </w:r>
      <w:r w:rsidR="00177848" w:rsidRPr="00C6052E">
        <w:t xml:space="preserve"> </w:t>
      </w:r>
      <w:r w:rsidRPr="00C6052E">
        <w:t>List,</w:t>
      </w:r>
      <w:r w:rsidR="00177848" w:rsidRPr="00C6052E">
        <w:t xml:space="preserve"> </w:t>
      </w:r>
      <w:r w:rsidRPr="00C6052E">
        <w:t>which</w:t>
      </w:r>
      <w:r w:rsidR="00177848" w:rsidRPr="00C6052E">
        <w:t xml:space="preserve"> </w:t>
      </w:r>
      <w:r w:rsidRPr="00C6052E">
        <w:t>targets</w:t>
      </w:r>
      <w:r w:rsidR="00177848" w:rsidRPr="00C6052E">
        <w:t xml:space="preserve"> </w:t>
      </w:r>
      <w:r w:rsidRPr="00C6052E">
        <w:t>investment</w:t>
      </w:r>
      <w:r w:rsidR="00177848" w:rsidRPr="00C6052E">
        <w:t xml:space="preserve"> </w:t>
      </w:r>
      <w:r w:rsidRPr="00C6052E">
        <w:t>in</w:t>
      </w:r>
      <w:r w:rsidR="00177848" w:rsidRPr="00C6052E">
        <w:t xml:space="preserve"> </w:t>
      </w:r>
      <w:r w:rsidRPr="00C6052E">
        <w:t>courses</w:t>
      </w:r>
      <w:r w:rsidR="00177848" w:rsidRPr="00C6052E">
        <w:t xml:space="preserve"> </w:t>
      </w:r>
      <w:r w:rsidRPr="00C6052E">
        <w:t>that</w:t>
      </w:r>
      <w:r w:rsidR="00177848" w:rsidRPr="00C6052E">
        <w:t xml:space="preserve"> </w:t>
      </w:r>
      <w:r w:rsidRPr="00C6052E">
        <w:t>align</w:t>
      </w:r>
      <w:r w:rsidR="00177848" w:rsidRPr="00C6052E">
        <w:t xml:space="preserve"> </w:t>
      </w:r>
      <w:r w:rsidRPr="00C6052E">
        <w:t>with</w:t>
      </w:r>
      <w:r w:rsidR="00177848" w:rsidRPr="00C6052E">
        <w:t xml:space="preserve"> </w:t>
      </w:r>
      <w:r w:rsidRPr="00C6052E">
        <w:t>the</w:t>
      </w:r>
      <w:r w:rsidR="00177848" w:rsidRPr="00C6052E">
        <w:t xml:space="preserve"> </w:t>
      </w:r>
      <w:r w:rsidRPr="00C6052E">
        <w:t>needs</w:t>
      </w:r>
      <w:r w:rsidR="00177848" w:rsidRPr="00C6052E">
        <w:t xml:space="preserve"> </w:t>
      </w:r>
      <w:r w:rsidRPr="00C6052E">
        <w:t>of</w:t>
      </w:r>
      <w:r w:rsidR="00177848" w:rsidRPr="00C6052E">
        <w:t xml:space="preserve"> </w:t>
      </w:r>
      <w:r w:rsidRPr="00C6052E">
        <w:t>the</w:t>
      </w:r>
      <w:r w:rsidR="00177848" w:rsidRPr="00C6052E">
        <w:t xml:space="preserve"> </w:t>
      </w:r>
      <w:r w:rsidRPr="00C6052E">
        <w:t>Victorian</w:t>
      </w:r>
      <w:r w:rsidR="00177848" w:rsidRPr="00C6052E">
        <w:t xml:space="preserve"> </w:t>
      </w:r>
      <w:r w:rsidRPr="00C6052E">
        <w:t>economy.</w:t>
      </w:r>
      <w:r w:rsidR="00177848" w:rsidRPr="00C6052E">
        <w:t xml:space="preserve"> </w:t>
      </w:r>
      <w:r w:rsidRPr="00C6052E">
        <w:t>This</w:t>
      </w:r>
      <w:r w:rsidR="00177848" w:rsidRPr="00C6052E">
        <w:t xml:space="preserve"> </w:t>
      </w:r>
      <w:r w:rsidRPr="00C6052E">
        <w:t>has</w:t>
      </w:r>
      <w:r w:rsidR="00177848" w:rsidRPr="00C6052E">
        <w:t xml:space="preserve"> </w:t>
      </w:r>
      <w:r w:rsidRPr="00C6052E">
        <w:t>translated</w:t>
      </w:r>
      <w:r w:rsidR="00177848" w:rsidRPr="00C6052E">
        <w:t xml:space="preserve"> </w:t>
      </w:r>
      <w:r w:rsidRPr="00C6052E">
        <w:t>into</w:t>
      </w:r>
      <w:r w:rsidR="00177848" w:rsidRPr="00C6052E">
        <w:t xml:space="preserve"> </w:t>
      </w:r>
      <w:r w:rsidRPr="00C6052E">
        <w:t>increased</w:t>
      </w:r>
      <w:r w:rsidR="00177848" w:rsidRPr="00C6052E">
        <w:t xml:space="preserve"> </w:t>
      </w:r>
      <w:r w:rsidRPr="00C6052E">
        <w:t>enrolments</w:t>
      </w:r>
      <w:r w:rsidR="00177848" w:rsidRPr="00C6052E">
        <w:t xml:space="preserve"> </w:t>
      </w:r>
      <w:r w:rsidRPr="00C6052E">
        <w:t>in</w:t>
      </w:r>
      <w:r w:rsidR="00177848" w:rsidRPr="00C6052E">
        <w:t xml:space="preserve"> </w:t>
      </w:r>
      <w:r w:rsidRPr="00C6052E">
        <w:t>courses</w:t>
      </w:r>
      <w:r w:rsidR="00177848" w:rsidRPr="00C6052E">
        <w:t xml:space="preserve"> </w:t>
      </w:r>
      <w:r w:rsidRPr="00C6052E">
        <w:t>related</w:t>
      </w:r>
      <w:r w:rsidR="00177848" w:rsidRPr="00C6052E">
        <w:t xml:space="preserve"> </w:t>
      </w:r>
      <w:r w:rsidRPr="00C6052E">
        <w:t>to</w:t>
      </w:r>
      <w:r w:rsidR="00177848" w:rsidRPr="00C6052E">
        <w:t xml:space="preserve"> </w:t>
      </w:r>
      <w:r w:rsidRPr="00C6052E">
        <w:t>growth</w:t>
      </w:r>
      <w:r w:rsidR="00177848" w:rsidRPr="00C6052E">
        <w:t xml:space="preserve"> </w:t>
      </w:r>
      <w:r w:rsidRPr="00C6052E">
        <w:t>sectors</w:t>
      </w:r>
      <w:r w:rsidR="00177848" w:rsidRPr="00C6052E">
        <w:t xml:space="preserve"> </w:t>
      </w:r>
      <w:r w:rsidRPr="00C6052E">
        <w:t>such</w:t>
      </w:r>
      <w:r w:rsidR="00177848" w:rsidRPr="00C6052E">
        <w:t xml:space="preserve"> </w:t>
      </w:r>
      <w:r w:rsidRPr="00C6052E">
        <w:t>as</w:t>
      </w:r>
      <w:r w:rsidR="00177848" w:rsidRPr="00C6052E">
        <w:t xml:space="preserve"> </w:t>
      </w:r>
      <w:r w:rsidRPr="00C6052E">
        <w:t>clean</w:t>
      </w:r>
      <w:r w:rsidR="00177848" w:rsidRPr="00C6052E">
        <w:t xml:space="preserve"> </w:t>
      </w:r>
      <w:r w:rsidRPr="00C6052E">
        <w:t>energy,</w:t>
      </w:r>
      <w:r w:rsidR="00177848" w:rsidRPr="00C6052E">
        <w:t xml:space="preserve"> </w:t>
      </w:r>
      <w:r w:rsidRPr="00C6052E">
        <w:t>housing,</w:t>
      </w:r>
      <w:r w:rsidR="00177848" w:rsidRPr="00C6052E">
        <w:t xml:space="preserve"> </w:t>
      </w:r>
      <w:r w:rsidRPr="00C6052E">
        <w:t>and</w:t>
      </w:r>
      <w:r w:rsidR="00177848" w:rsidRPr="00C6052E">
        <w:t xml:space="preserve"> </w:t>
      </w:r>
      <w:r w:rsidRPr="00C6052E">
        <w:t>the</w:t>
      </w:r>
      <w:r w:rsidR="00177848" w:rsidRPr="00C6052E">
        <w:t xml:space="preserve"> </w:t>
      </w:r>
      <w:r w:rsidRPr="00C6052E">
        <w:t>health</w:t>
      </w:r>
      <w:r w:rsidR="00177848" w:rsidRPr="00C6052E">
        <w:t xml:space="preserve"> </w:t>
      </w:r>
      <w:r w:rsidRPr="00C6052E">
        <w:t>and</w:t>
      </w:r>
      <w:r w:rsidR="00177848" w:rsidRPr="00C6052E">
        <w:t xml:space="preserve"> </w:t>
      </w:r>
      <w:r w:rsidRPr="00C6052E">
        <w:t>care</w:t>
      </w:r>
      <w:r w:rsidR="00177848" w:rsidRPr="00C6052E">
        <w:t xml:space="preserve"> </w:t>
      </w:r>
      <w:r w:rsidRPr="00C6052E">
        <w:t>sectors.</w:t>
      </w:r>
    </w:p>
    <w:p w14:paraId="299F152A" w14:textId="0F3FBA8B" w:rsidR="00EE5BB8" w:rsidRPr="00C6052E" w:rsidRDefault="00EE5BB8" w:rsidP="00D52474">
      <w:pPr>
        <w:pStyle w:val="Heading3"/>
      </w:pPr>
      <w:r w:rsidRPr="00C6052E">
        <w:t>Indicator:</w:t>
      </w:r>
      <w:r w:rsidR="00177848" w:rsidRPr="00C6052E">
        <w:t xml:space="preserve"> </w:t>
      </w:r>
      <w:r w:rsidRPr="00C6052E">
        <w:t>Proportion</w:t>
      </w:r>
      <w:r w:rsidR="00177848" w:rsidRPr="00C6052E">
        <w:t xml:space="preserve"> </w:t>
      </w:r>
      <w:r w:rsidRPr="00C6052E">
        <w:t>of</w:t>
      </w:r>
      <w:r w:rsidR="00177848" w:rsidRPr="00C6052E">
        <w:t xml:space="preserve"> </w:t>
      </w:r>
      <w:r w:rsidRPr="00C6052E">
        <w:t>VET</w:t>
      </w:r>
      <w:r w:rsidR="00177848" w:rsidRPr="00C6052E">
        <w:t xml:space="preserve"> </w:t>
      </w:r>
      <w:r w:rsidRPr="00C6052E">
        <w:t>students</w:t>
      </w:r>
      <w:r w:rsidR="00177848" w:rsidRPr="00C6052E">
        <w:t xml:space="preserve"> </w:t>
      </w:r>
      <w:r w:rsidRPr="00C6052E">
        <w:t>who</w:t>
      </w:r>
      <w:r w:rsidR="00177848" w:rsidRPr="00C6052E">
        <w:t xml:space="preserve"> </w:t>
      </w:r>
      <w:r w:rsidRPr="00C6052E">
        <w:t>achieved</w:t>
      </w:r>
      <w:r w:rsidR="00177848" w:rsidRPr="00C6052E">
        <w:t xml:space="preserve"> </w:t>
      </w:r>
      <w:r w:rsidRPr="00C6052E">
        <w:t>their</w:t>
      </w:r>
      <w:r w:rsidR="00177848" w:rsidRPr="00C6052E">
        <w:t xml:space="preserve"> </w:t>
      </w:r>
      <w:r w:rsidRPr="00C6052E">
        <w:t>main</w:t>
      </w:r>
      <w:r w:rsidR="00177848" w:rsidRPr="00C6052E">
        <w:t xml:space="preserve"> </w:t>
      </w:r>
      <w:r w:rsidRPr="00C6052E">
        <w:t>reason</w:t>
      </w:r>
      <w:r w:rsidR="00177848" w:rsidRPr="00C6052E">
        <w:t xml:space="preserve"> </w:t>
      </w:r>
      <w:r w:rsidRPr="00C6052E">
        <w:t>for</w:t>
      </w:r>
      <w:r w:rsidR="00177848" w:rsidRPr="00C6052E">
        <w:t xml:space="preserve"> </w:t>
      </w:r>
      <w:r w:rsidRPr="00C6052E">
        <w:t>training</w:t>
      </w:r>
      <w:bookmarkEnd w:id="54"/>
    </w:p>
    <w:p w14:paraId="56FBB1DD" w14:textId="22C482A1" w:rsidR="00EE5BB8" w:rsidRPr="00C6052E" w:rsidRDefault="00EE5BB8" w:rsidP="00D52474">
      <w:pPr>
        <w:pStyle w:val="TableHeading"/>
      </w:pPr>
      <w:r w:rsidRPr="00C6052E">
        <w:t>Table</w:t>
      </w:r>
      <w:r w:rsidR="00177848" w:rsidRPr="00C6052E">
        <w:t xml:space="preserve"> </w:t>
      </w:r>
      <w:r w:rsidRPr="00C6052E">
        <w:t>29:</w:t>
      </w:r>
      <w:r w:rsidR="00177848" w:rsidRPr="00C6052E">
        <w:t xml:space="preserve"> </w:t>
      </w:r>
      <w:r w:rsidRPr="00C6052E">
        <w:t>Proportion</w:t>
      </w:r>
      <w:r w:rsidR="00177848" w:rsidRPr="00C6052E">
        <w:t xml:space="preserve"> </w:t>
      </w:r>
      <w:r w:rsidRPr="00C6052E">
        <w:t>of</w:t>
      </w:r>
      <w:r w:rsidR="00177848" w:rsidRPr="00C6052E">
        <w:t xml:space="preserve"> </w:t>
      </w:r>
      <w:r w:rsidRPr="00C6052E">
        <w:t>VET</w:t>
      </w:r>
      <w:r w:rsidR="00177848" w:rsidRPr="00C6052E">
        <w:t xml:space="preserve"> </w:t>
      </w:r>
      <w:r w:rsidRPr="00C6052E">
        <w:t>students</w:t>
      </w:r>
      <w:r w:rsidR="00177848" w:rsidRPr="00C6052E">
        <w:t xml:space="preserve"> </w:t>
      </w:r>
      <w:r w:rsidRPr="00C6052E">
        <w:t>who</w:t>
      </w:r>
      <w:r w:rsidR="00177848" w:rsidRPr="00C6052E">
        <w:t xml:space="preserve"> </w:t>
      </w:r>
      <w:r w:rsidRPr="00C6052E">
        <w:t>achieved</w:t>
      </w:r>
      <w:r w:rsidR="00177848" w:rsidRPr="00C6052E">
        <w:t xml:space="preserve"> </w:t>
      </w:r>
      <w:r w:rsidRPr="00C6052E">
        <w:t>their</w:t>
      </w:r>
      <w:r w:rsidR="00177848" w:rsidRPr="00C6052E">
        <w:t xml:space="preserve"> </w:t>
      </w:r>
      <w:r w:rsidRPr="00C6052E">
        <w:t>main</w:t>
      </w:r>
      <w:r w:rsidR="00177848" w:rsidRPr="00C6052E">
        <w:t xml:space="preserve"> </w:t>
      </w:r>
      <w:r w:rsidRPr="00C6052E">
        <w:t>reason</w:t>
      </w:r>
      <w:r w:rsidR="00177848" w:rsidRPr="00C6052E">
        <w:t xml:space="preserve"> </w:t>
      </w:r>
      <w:r w:rsidRPr="00C6052E">
        <w:t>for</w:t>
      </w:r>
      <w:r w:rsidR="00177848" w:rsidRPr="00C6052E">
        <w:t xml:space="preserve"> </w:t>
      </w:r>
      <w:r w:rsidRPr="00C6052E">
        <w:t>training</w:t>
      </w:r>
    </w:p>
    <w:tbl>
      <w:tblPr>
        <w:tblStyle w:val="TableGrid"/>
        <w:tblW w:w="9634" w:type="dxa"/>
        <w:tblLayout w:type="fixed"/>
        <w:tblLook w:val="0020" w:firstRow="1" w:lastRow="0" w:firstColumn="0" w:lastColumn="0" w:noHBand="0" w:noVBand="0"/>
      </w:tblPr>
      <w:tblGrid>
        <w:gridCol w:w="4673"/>
        <w:gridCol w:w="1240"/>
        <w:gridCol w:w="1240"/>
        <w:gridCol w:w="1240"/>
        <w:gridCol w:w="1241"/>
      </w:tblGrid>
      <w:tr w:rsidR="00EE5BB8" w:rsidRPr="00C6052E" w14:paraId="1F04DAC4" w14:textId="77777777" w:rsidTr="00D52474">
        <w:tc>
          <w:tcPr>
            <w:tcW w:w="4673" w:type="dxa"/>
          </w:tcPr>
          <w:p w14:paraId="10E361AD" w14:textId="06BBD07A" w:rsidR="00EE5BB8" w:rsidRPr="00C6052E" w:rsidRDefault="00EE5BB8" w:rsidP="00D52474">
            <w:pPr>
              <w:pStyle w:val="TableColumnHeading"/>
              <w:rPr>
                <w:lang w:val="en-AU"/>
              </w:rPr>
            </w:pPr>
            <w:bookmarkStart w:id="55" w:name="TableColumnHeadings_37"/>
            <w:bookmarkEnd w:id="55"/>
            <w:r w:rsidRPr="00C6052E">
              <w:rPr>
                <w:lang w:val="en-AU"/>
              </w:rPr>
              <w:t>Measure</w:t>
            </w:r>
            <w:r w:rsidR="00B1545C" w:rsidRPr="00C6052E">
              <w:rPr>
                <w:lang w:val="en-AU"/>
              </w:rPr>
              <w:t xml:space="preserve"> </w:t>
            </w:r>
            <w:r w:rsidRPr="00C6052E">
              <w:rPr>
                <w:lang w:val="en-AU"/>
              </w:rPr>
              <w:t>(unit</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240" w:type="dxa"/>
          </w:tcPr>
          <w:p w14:paraId="7E26DD05" w14:textId="77777777" w:rsidR="00EE5BB8" w:rsidRPr="00C6052E" w:rsidRDefault="00EE5BB8" w:rsidP="00D52474">
            <w:pPr>
              <w:pStyle w:val="TableColumnHeading"/>
              <w:jc w:val="right"/>
              <w:rPr>
                <w:lang w:val="en-AU"/>
              </w:rPr>
            </w:pPr>
            <w:r w:rsidRPr="00C6052E">
              <w:rPr>
                <w:lang w:val="en-AU"/>
              </w:rPr>
              <w:t>2021–22</w:t>
            </w:r>
          </w:p>
        </w:tc>
        <w:tc>
          <w:tcPr>
            <w:tcW w:w="1240" w:type="dxa"/>
          </w:tcPr>
          <w:p w14:paraId="33FA0B58" w14:textId="77777777" w:rsidR="00EE5BB8" w:rsidRPr="00C6052E" w:rsidRDefault="00EE5BB8" w:rsidP="00D52474">
            <w:pPr>
              <w:pStyle w:val="TableColumnHeading"/>
              <w:jc w:val="right"/>
              <w:rPr>
                <w:lang w:val="en-AU"/>
              </w:rPr>
            </w:pPr>
            <w:r w:rsidRPr="00C6052E">
              <w:rPr>
                <w:lang w:val="en-AU"/>
              </w:rPr>
              <w:t>2022–23</w:t>
            </w:r>
          </w:p>
        </w:tc>
        <w:tc>
          <w:tcPr>
            <w:tcW w:w="1240" w:type="dxa"/>
          </w:tcPr>
          <w:p w14:paraId="1A91F2A2" w14:textId="77777777" w:rsidR="00EE5BB8" w:rsidRPr="00C6052E" w:rsidRDefault="00EE5BB8" w:rsidP="00D52474">
            <w:pPr>
              <w:pStyle w:val="TableColumnHeading"/>
              <w:jc w:val="right"/>
              <w:rPr>
                <w:lang w:val="en-AU"/>
              </w:rPr>
            </w:pPr>
            <w:r w:rsidRPr="00C6052E">
              <w:rPr>
                <w:lang w:val="en-AU"/>
              </w:rPr>
              <w:t>2023–24</w:t>
            </w:r>
          </w:p>
        </w:tc>
        <w:tc>
          <w:tcPr>
            <w:tcW w:w="1241" w:type="dxa"/>
          </w:tcPr>
          <w:p w14:paraId="6C15E526" w14:textId="77777777" w:rsidR="00EE5BB8" w:rsidRPr="00C6052E" w:rsidRDefault="00EE5BB8" w:rsidP="00D52474">
            <w:pPr>
              <w:pStyle w:val="TableColumnHeading"/>
              <w:jc w:val="right"/>
              <w:rPr>
                <w:lang w:val="en-AU"/>
              </w:rPr>
            </w:pPr>
            <w:r w:rsidRPr="00C6052E">
              <w:rPr>
                <w:lang w:val="en-AU"/>
              </w:rPr>
              <w:t>2024–25</w:t>
            </w:r>
          </w:p>
        </w:tc>
      </w:tr>
      <w:tr w:rsidR="00EE5BB8" w:rsidRPr="00C6052E" w14:paraId="194A451A" w14:textId="77777777" w:rsidTr="00D52474">
        <w:tc>
          <w:tcPr>
            <w:tcW w:w="4673" w:type="dxa"/>
          </w:tcPr>
          <w:p w14:paraId="184963B4" w14:textId="37648E21" w:rsidR="00EE5BB8" w:rsidRPr="00C6052E" w:rsidRDefault="00EE5BB8" w:rsidP="0063097D">
            <w:pPr>
              <w:pStyle w:val="TableCopy"/>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who</w:t>
            </w:r>
            <w:r w:rsidR="00177848" w:rsidRPr="00C6052E">
              <w:rPr>
                <w:lang w:val="en-AU"/>
              </w:rPr>
              <w:t xml:space="preserve"> </w:t>
            </w:r>
            <w:r w:rsidRPr="00C6052E">
              <w:rPr>
                <w:lang w:val="en-AU"/>
              </w:rPr>
              <w:t>achieved</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main</w:t>
            </w:r>
            <w:r w:rsidR="00177848" w:rsidRPr="00C6052E">
              <w:rPr>
                <w:lang w:val="en-AU"/>
              </w:rPr>
              <w:t xml:space="preserve"> </w:t>
            </w:r>
            <w:r w:rsidRPr="00C6052E">
              <w:rPr>
                <w:lang w:val="en-AU"/>
              </w:rPr>
              <w:t>reason</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training</w:t>
            </w:r>
            <w:r w:rsidR="00177848" w:rsidRPr="00C6052E">
              <w:rPr>
                <w:lang w:val="en-AU"/>
              </w:rPr>
              <w:t xml:space="preserve"> </w:t>
            </w:r>
            <w:r w:rsidRPr="00C6052E">
              <w:rPr>
                <w:lang w:val="en-AU"/>
              </w:rPr>
              <w:t>(per</w:t>
            </w:r>
            <w:r w:rsidR="00177848" w:rsidRPr="00C6052E">
              <w:rPr>
                <w:lang w:val="en-AU"/>
              </w:rPr>
              <w:t xml:space="preserve"> </w:t>
            </w:r>
            <w:r w:rsidRPr="00C6052E">
              <w:rPr>
                <w:lang w:val="en-AU"/>
              </w:rPr>
              <w:t>cent)</w:t>
            </w:r>
          </w:p>
        </w:tc>
        <w:tc>
          <w:tcPr>
            <w:tcW w:w="1240" w:type="dxa"/>
          </w:tcPr>
          <w:p w14:paraId="5282A357" w14:textId="77777777" w:rsidR="00EE5BB8" w:rsidRPr="00C6052E" w:rsidRDefault="00EE5BB8" w:rsidP="00D52474">
            <w:pPr>
              <w:pStyle w:val="TableCopy"/>
              <w:jc w:val="right"/>
              <w:rPr>
                <w:lang w:val="en-AU"/>
              </w:rPr>
            </w:pPr>
            <w:r w:rsidRPr="00C6052E">
              <w:rPr>
                <w:lang w:val="en-AU"/>
              </w:rPr>
              <w:t>85.3</w:t>
            </w:r>
          </w:p>
        </w:tc>
        <w:tc>
          <w:tcPr>
            <w:tcW w:w="1240" w:type="dxa"/>
          </w:tcPr>
          <w:p w14:paraId="78C12E39" w14:textId="77777777" w:rsidR="00EE5BB8" w:rsidRPr="00C6052E" w:rsidRDefault="00EE5BB8" w:rsidP="00D52474">
            <w:pPr>
              <w:pStyle w:val="TableCopy"/>
              <w:jc w:val="right"/>
              <w:rPr>
                <w:lang w:val="en-AU"/>
              </w:rPr>
            </w:pPr>
            <w:r w:rsidRPr="00C6052E">
              <w:rPr>
                <w:lang w:val="en-AU"/>
              </w:rPr>
              <w:t>89.2</w:t>
            </w:r>
          </w:p>
        </w:tc>
        <w:tc>
          <w:tcPr>
            <w:tcW w:w="1240" w:type="dxa"/>
          </w:tcPr>
          <w:p w14:paraId="261736F2" w14:textId="77777777" w:rsidR="00EE5BB8" w:rsidRPr="00C6052E" w:rsidRDefault="00EE5BB8" w:rsidP="00D52474">
            <w:pPr>
              <w:pStyle w:val="TableCopy"/>
              <w:jc w:val="right"/>
              <w:rPr>
                <w:lang w:val="en-AU"/>
              </w:rPr>
            </w:pPr>
            <w:r w:rsidRPr="00C6052E">
              <w:rPr>
                <w:lang w:val="en-AU"/>
              </w:rPr>
              <w:t>89.7</w:t>
            </w:r>
          </w:p>
        </w:tc>
        <w:tc>
          <w:tcPr>
            <w:tcW w:w="1241" w:type="dxa"/>
          </w:tcPr>
          <w:p w14:paraId="63A3ADAA" w14:textId="77777777" w:rsidR="00EE5BB8" w:rsidRPr="00C6052E" w:rsidRDefault="00EE5BB8" w:rsidP="00D52474">
            <w:pPr>
              <w:pStyle w:val="TableCopy"/>
              <w:jc w:val="right"/>
              <w:rPr>
                <w:lang w:val="en-AU"/>
              </w:rPr>
            </w:pPr>
            <w:r w:rsidRPr="00C6052E">
              <w:rPr>
                <w:lang w:val="en-AU"/>
              </w:rPr>
              <w:t>89.1</w:t>
            </w:r>
          </w:p>
        </w:tc>
      </w:tr>
    </w:tbl>
    <w:p w14:paraId="5149B0F7" w14:textId="77777777" w:rsidR="00EE5BB8" w:rsidRPr="00C6052E" w:rsidRDefault="00EE5BB8" w:rsidP="00EE5BB8"/>
    <w:p w14:paraId="1316C841" w14:textId="00A86AB1" w:rsidR="00EE5BB8" w:rsidRPr="00C6052E" w:rsidRDefault="00EE5BB8" w:rsidP="00D52474">
      <w:pPr>
        <w:pStyle w:val="TableHeading"/>
      </w:pPr>
      <w:r w:rsidRPr="00C6052E">
        <w:t>Figure</w:t>
      </w:r>
      <w:r w:rsidR="00177848" w:rsidRPr="00C6052E">
        <w:t xml:space="preserve"> </w:t>
      </w:r>
      <w:r w:rsidRPr="00C6052E">
        <w:t>28:</w:t>
      </w:r>
      <w:r w:rsidR="00177848" w:rsidRPr="00C6052E">
        <w:t xml:space="preserve"> </w:t>
      </w:r>
      <w:r w:rsidRPr="00C6052E">
        <w:t>Proportion</w:t>
      </w:r>
      <w:r w:rsidR="00177848" w:rsidRPr="00C6052E">
        <w:t xml:space="preserve"> </w:t>
      </w:r>
      <w:r w:rsidRPr="00C6052E">
        <w:t>of</w:t>
      </w:r>
      <w:r w:rsidR="00177848" w:rsidRPr="00C6052E">
        <w:t xml:space="preserve"> </w:t>
      </w:r>
      <w:r w:rsidRPr="00C6052E">
        <w:t>VET</w:t>
      </w:r>
      <w:r w:rsidR="00177848" w:rsidRPr="00C6052E">
        <w:t xml:space="preserve"> </w:t>
      </w:r>
      <w:r w:rsidRPr="00C6052E">
        <w:t>students</w:t>
      </w:r>
      <w:r w:rsidR="00177848" w:rsidRPr="00C6052E">
        <w:t xml:space="preserve"> </w:t>
      </w:r>
      <w:r w:rsidRPr="00C6052E">
        <w:t>who</w:t>
      </w:r>
      <w:r w:rsidR="00177848" w:rsidRPr="00C6052E">
        <w:t xml:space="preserve"> </w:t>
      </w:r>
      <w:r w:rsidRPr="00C6052E">
        <w:t>achieved</w:t>
      </w:r>
      <w:r w:rsidR="00177848" w:rsidRPr="00C6052E">
        <w:t xml:space="preserve"> </w:t>
      </w:r>
      <w:r w:rsidRPr="00C6052E">
        <w:t>their</w:t>
      </w:r>
      <w:r w:rsidR="00177848" w:rsidRPr="00C6052E">
        <w:t xml:space="preserve"> </w:t>
      </w:r>
      <w:r w:rsidRPr="00C6052E">
        <w:t>main</w:t>
      </w:r>
      <w:r w:rsidR="00177848" w:rsidRPr="00C6052E">
        <w:t xml:space="preserve"> </w:t>
      </w:r>
      <w:r w:rsidRPr="00C6052E">
        <w:t>reason</w:t>
      </w:r>
      <w:r w:rsidR="00177848" w:rsidRPr="00C6052E">
        <w:t xml:space="preserve"> </w:t>
      </w:r>
      <w:r w:rsidRPr="00C6052E">
        <w:t>for</w:t>
      </w:r>
      <w:r w:rsidR="00177848" w:rsidRPr="00C6052E">
        <w:t xml:space="preserve"> </w:t>
      </w:r>
      <w:r w:rsidRPr="00C6052E">
        <w:t>training</w:t>
      </w:r>
    </w:p>
    <w:p w14:paraId="6C0D14E4" w14:textId="77777777" w:rsidR="00EE5BB8" w:rsidRPr="00C6052E" w:rsidRDefault="00EE5BB8" w:rsidP="00EE5BB8">
      <w:pPr>
        <w:pStyle w:val="Graph"/>
        <w:rPr>
          <w:noProof w:val="0"/>
        </w:rPr>
      </w:pPr>
      <w:r w:rsidRPr="00C6052E">
        <w:drawing>
          <wp:inline distT="0" distB="0" distL="0" distR="0" wp14:anchorId="31D4EF7A" wp14:editId="0B18F8E3">
            <wp:extent cx="4050000" cy="2700000"/>
            <wp:effectExtent l="0" t="0" r="0" b="0"/>
            <wp:docPr id="2005316220" name="Chart 1" descr="Line graph showing data from Table 29: Proportion of VET students who achieved their main reason for training (above).">
              <a:extLst xmlns:a="http://schemas.openxmlformats.org/drawingml/2006/main">
                <a:ext uri="{FF2B5EF4-FFF2-40B4-BE49-F238E27FC236}">
                  <a16:creationId xmlns:a16="http://schemas.microsoft.com/office/drawing/2014/main" id="{00000000-0008-0000-0600-000028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CE76045" w14:textId="0819E90D" w:rsidR="00EE5BB8" w:rsidRPr="00C6052E" w:rsidRDefault="00EE5BB8" w:rsidP="00EE5BB8">
      <w:r w:rsidRPr="00C6052E">
        <w:t>Outcomes</w:t>
      </w:r>
      <w:r w:rsidR="00177848" w:rsidRPr="00C6052E">
        <w:t xml:space="preserve"> </w:t>
      </w:r>
      <w:r w:rsidRPr="00C6052E">
        <w:t>for</w:t>
      </w:r>
      <w:r w:rsidR="00177848" w:rsidRPr="00C6052E">
        <w:t xml:space="preserve"> </w:t>
      </w:r>
      <w:r w:rsidRPr="00C6052E">
        <w:t>VET</w:t>
      </w:r>
      <w:r w:rsidR="00177848" w:rsidRPr="00C6052E">
        <w:t xml:space="preserve"> </w:t>
      </w:r>
      <w:r w:rsidRPr="00C6052E">
        <w:t>students</w:t>
      </w:r>
      <w:r w:rsidR="00177848" w:rsidRPr="00C6052E">
        <w:t xml:space="preserve"> </w:t>
      </w:r>
      <w:r w:rsidRPr="00C6052E">
        <w:t>meeting</w:t>
      </w:r>
      <w:r w:rsidR="00177848" w:rsidRPr="00C6052E">
        <w:t xml:space="preserve"> </w:t>
      </w:r>
      <w:r w:rsidRPr="00C6052E">
        <w:t>their</w:t>
      </w:r>
      <w:r w:rsidR="00177848" w:rsidRPr="00C6052E">
        <w:t xml:space="preserve"> </w:t>
      </w:r>
      <w:r w:rsidRPr="00C6052E">
        <w:t>primary</w:t>
      </w:r>
      <w:r w:rsidR="00177848" w:rsidRPr="00C6052E">
        <w:t xml:space="preserve"> </w:t>
      </w:r>
      <w:r w:rsidRPr="00C6052E">
        <w:t>training</w:t>
      </w:r>
      <w:r w:rsidR="00177848" w:rsidRPr="00C6052E">
        <w:t xml:space="preserve"> </w:t>
      </w:r>
      <w:r w:rsidRPr="00C6052E">
        <w:t>goals</w:t>
      </w:r>
      <w:r w:rsidR="00177848" w:rsidRPr="00C6052E">
        <w:t xml:space="preserve"> </w:t>
      </w:r>
      <w:r w:rsidRPr="00C6052E">
        <w:t>have</w:t>
      </w:r>
      <w:r w:rsidR="00177848" w:rsidRPr="00C6052E">
        <w:t xml:space="preserve"> </w:t>
      </w:r>
      <w:r w:rsidRPr="00C6052E">
        <w:t>significantly</w:t>
      </w:r>
      <w:r w:rsidR="00177848" w:rsidRPr="00C6052E">
        <w:t xml:space="preserve"> </w:t>
      </w:r>
      <w:r w:rsidRPr="00C6052E">
        <w:t>improved</w:t>
      </w:r>
      <w:r w:rsidR="00177848" w:rsidRPr="00C6052E">
        <w:t xml:space="preserve"> </w:t>
      </w:r>
      <w:r w:rsidRPr="00C6052E">
        <w:t>over</w:t>
      </w:r>
      <w:r w:rsidR="00177848" w:rsidRPr="00C6052E">
        <w:t xml:space="preserve"> </w:t>
      </w:r>
      <w:r w:rsidRPr="00C6052E">
        <w:t>recent</w:t>
      </w:r>
      <w:r w:rsidR="00177848" w:rsidRPr="00C6052E">
        <w:t xml:space="preserve"> </w:t>
      </w:r>
      <w:r w:rsidRPr="00C6052E">
        <w:t>years.</w:t>
      </w:r>
      <w:r w:rsidR="00177848" w:rsidRPr="00C6052E">
        <w:t xml:space="preserve"> </w:t>
      </w:r>
      <w:r w:rsidRPr="00C6052E">
        <w:t>The</w:t>
      </w:r>
      <w:r w:rsidR="00177848" w:rsidRPr="00C6052E">
        <w:t xml:space="preserve"> </w:t>
      </w:r>
      <w:r w:rsidRPr="00C6052E">
        <w:t>2024–25</w:t>
      </w:r>
      <w:r w:rsidR="00177848" w:rsidRPr="00C6052E">
        <w:t xml:space="preserve"> </w:t>
      </w:r>
      <w:r w:rsidRPr="00C6052E">
        <w:t>result</w:t>
      </w:r>
      <w:r w:rsidR="00177848" w:rsidRPr="00C6052E">
        <w:t xml:space="preserve"> </w:t>
      </w:r>
      <w:r w:rsidRPr="00C6052E">
        <w:t>of</w:t>
      </w:r>
      <w:r w:rsidR="00177848" w:rsidRPr="00C6052E">
        <w:t xml:space="preserve"> </w:t>
      </w:r>
      <w:r w:rsidRPr="00C6052E">
        <w:t>89.1%</w:t>
      </w:r>
      <w:r w:rsidR="00177848" w:rsidRPr="00C6052E">
        <w:t xml:space="preserve"> </w:t>
      </w:r>
      <w:r w:rsidRPr="00C6052E">
        <w:t>represents</w:t>
      </w:r>
      <w:r w:rsidR="00177848" w:rsidRPr="00C6052E">
        <w:t xml:space="preserve"> </w:t>
      </w:r>
      <w:r w:rsidRPr="00C6052E">
        <w:t>a</w:t>
      </w:r>
      <w:r w:rsidR="00177848" w:rsidRPr="00C6052E">
        <w:t xml:space="preserve"> </w:t>
      </w:r>
      <w:r w:rsidRPr="00C6052E">
        <w:t>3.8</w:t>
      </w:r>
      <w:r w:rsidR="00177848" w:rsidRPr="00C6052E">
        <w:t xml:space="preserve"> </w:t>
      </w:r>
      <w:r w:rsidRPr="00C6052E">
        <w:t>percentage</w:t>
      </w:r>
      <w:r w:rsidR="00177848" w:rsidRPr="00C6052E">
        <w:t xml:space="preserve"> </w:t>
      </w:r>
      <w:r w:rsidRPr="00C6052E">
        <w:t>point</w:t>
      </w:r>
      <w:r w:rsidR="00177848" w:rsidRPr="00C6052E">
        <w:t xml:space="preserve"> </w:t>
      </w:r>
      <w:r w:rsidRPr="00C6052E">
        <w:t>increase</w:t>
      </w:r>
      <w:r w:rsidR="00177848" w:rsidRPr="00C6052E">
        <w:t xml:space="preserve"> </w:t>
      </w:r>
      <w:r w:rsidRPr="00C6052E">
        <w:t>compared</w:t>
      </w:r>
      <w:r w:rsidR="00177848" w:rsidRPr="00C6052E">
        <w:t xml:space="preserve"> </w:t>
      </w:r>
      <w:r w:rsidRPr="00C6052E">
        <w:t>to</w:t>
      </w:r>
      <w:r w:rsidR="00177848" w:rsidRPr="00C6052E">
        <w:t xml:space="preserve"> </w:t>
      </w:r>
      <w:r w:rsidRPr="00C6052E">
        <w:t>85.3%</w:t>
      </w:r>
      <w:r w:rsidR="00177848" w:rsidRPr="00C6052E">
        <w:t xml:space="preserve"> </w:t>
      </w:r>
      <w:r w:rsidRPr="00C6052E">
        <w:t>in</w:t>
      </w:r>
      <w:r w:rsidR="00177848" w:rsidRPr="00C6052E">
        <w:t xml:space="preserve"> </w:t>
      </w:r>
      <w:r w:rsidRPr="00C6052E">
        <w:t>2021–22.</w:t>
      </w:r>
      <w:r w:rsidR="00177848" w:rsidRPr="00C6052E">
        <w:t xml:space="preserve"> </w:t>
      </w:r>
      <w:r w:rsidRPr="00C6052E">
        <w:t>This</w:t>
      </w:r>
      <w:r w:rsidR="00177848" w:rsidRPr="00C6052E">
        <w:t xml:space="preserve"> </w:t>
      </w:r>
      <w:r w:rsidRPr="00C6052E">
        <w:t>growth</w:t>
      </w:r>
      <w:r w:rsidR="00177848" w:rsidRPr="00C6052E">
        <w:t xml:space="preserve"> </w:t>
      </w:r>
      <w:r w:rsidRPr="00C6052E">
        <w:t>highlights</w:t>
      </w:r>
      <w:r w:rsidR="00177848" w:rsidRPr="00C6052E">
        <w:t xml:space="preserve"> </w:t>
      </w:r>
      <w:r w:rsidRPr="00C6052E">
        <w:t>the</w:t>
      </w:r>
      <w:r w:rsidR="00177848" w:rsidRPr="00C6052E">
        <w:t xml:space="preserve"> </w:t>
      </w:r>
      <w:r w:rsidRPr="00C6052E">
        <w:t>effectiveness</w:t>
      </w:r>
      <w:r w:rsidR="00177848" w:rsidRPr="00C6052E">
        <w:t xml:space="preserve"> </w:t>
      </w:r>
      <w:r w:rsidRPr="00C6052E">
        <w:t>of</w:t>
      </w:r>
      <w:r w:rsidR="00177848" w:rsidRPr="00C6052E">
        <w:t xml:space="preserve"> </w:t>
      </w:r>
      <w:r w:rsidRPr="00C6052E">
        <w:t>Victoria's</w:t>
      </w:r>
      <w:r w:rsidR="00177848" w:rsidRPr="00C6052E">
        <w:t xml:space="preserve"> </w:t>
      </w:r>
      <w:r w:rsidRPr="00C6052E">
        <w:t>TAFE</w:t>
      </w:r>
      <w:r w:rsidR="00177848" w:rsidRPr="00C6052E">
        <w:t xml:space="preserve"> </w:t>
      </w:r>
      <w:r w:rsidRPr="00C6052E">
        <w:t>and</w:t>
      </w:r>
      <w:r w:rsidR="00177848" w:rsidRPr="00C6052E">
        <w:t xml:space="preserve"> </w:t>
      </w:r>
      <w:r w:rsidRPr="00C6052E">
        <w:t>training</w:t>
      </w:r>
      <w:r w:rsidR="00177848" w:rsidRPr="00C6052E">
        <w:t xml:space="preserve"> </w:t>
      </w:r>
      <w:r w:rsidRPr="00C6052E">
        <w:t>system</w:t>
      </w:r>
      <w:r w:rsidR="00177848" w:rsidRPr="00C6052E">
        <w:t xml:space="preserve"> </w:t>
      </w:r>
      <w:r w:rsidRPr="00C6052E">
        <w:t>in</w:t>
      </w:r>
      <w:r w:rsidR="00177848" w:rsidRPr="00C6052E">
        <w:t xml:space="preserve"> </w:t>
      </w:r>
      <w:r w:rsidRPr="00C6052E">
        <w:t>providing</w:t>
      </w:r>
      <w:r w:rsidR="00177848" w:rsidRPr="00C6052E">
        <w:t xml:space="preserve"> </w:t>
      </w:r>
      <w:r w:rsidRPr="00C6052E">
        <w:t>high</w:t>
      </w:r>
      <w:r w:rsidRPr="00C6052E">
        <w:noBreakHyphen/>
        <w:t>quality</w:t>
      </w:r>
      <w:r w:rsidR="00177848" w:rsidRPr="00C6052E">
        <w:t xml:space="preserve"> </w:t>
      </w:r>
      <w:r w:rsidRPr="00C6052E">
        <w:t>education</w:t>
      </w:r>
      <w:r w:rsidR="00177848" w:rsidRPr="00C6052E">
        <w:t xml:space="preserve"> </w:t>
      </w:r>
      <w:r w:rsidRPr="00C6052E">
        <w:t>and</w:t>
      </w:r>
      <w:r w:rsidR="00177848" w:rsidRPr="00C6052E">
        <w:t xml:space="preserve"> </w:t>
      </w:r>
      <w:r w:rsidRPr="00C6052E">
        <w:t>equipping</w:t>
      </w:r>
      <w:r w:rsidR="00177848" w:rsidRPr="00C6052E">
        <w:t xml:space="preserve"> </w:t>
      </w:r>
      <w:r w:rsidRPr="00C6052E">
        <w:t>students</w:t>
      </w:r>
      <w:r w:rsidR="00177848" w:rsidRPr="00C6052E">
        <w:t xml:space="preserve"> </w:t>
      </w:r>
      <w:r w:rsidRPr="00C6052E">
        <w:t>with</w:t>
      </w:r>
      <w:r w:rsidR="00177848" w:rsidRPr="00C6052E">
        <w:t xml:space="preserve"> </w:t>
      </w:r>
      <w:r w:rsidRPr="00C6052E">
        <w:t>the</w:t>
      </w:r>
      <w:r w:rsidR="00177848" w:rsidRPr="00C6052E">
        <w:t xml:space="preserve"> </w:t>
      </w:r>
      <w:r w:rsidRPr="00C6052E">
        <w:t>skills</w:t>
      </w:r>
      <w:r w:rsidR="00177848" w:rsidRPr="00C6052E">
        <w:t xml:space="preserve"> </w:t>
      </w:r>
      <w:r w:rsidRPr="00C6052E">
        <w:t>necessary</w:t>
      </w:r>
      <w:r w:rsidR="00177848" w:rsidRPr="00C6052E">
        <w:t xml:space="preserve"> </w:t>
      </w:r>
      <w:r w:rsidRPr="00C6052E">
        <w:t>to</w:t>
      </w:r>
      <w:r w:rsidR="00177848" w:rsidRPr="00C6052E">
        <w:t xml:space="preserve"> </w:t>
      </w:r>
      <w:r w:rsidRPr="00C6052E">
        <w:t>succeed.</w:t>
      </w:r>
    </w:p>
    <w:p w14:paraId="63651134" w14:textId="4B08FC7F" w:rsidR="00EE5BB8" w:rsidRPr="00C6052E" w:rsidRDefault="00EE5BB8" w:rsidP="00EE5BB8">
      <w:r w:rsidRPr="00C6052E">
        <w:t>VET</w:t>
      </w:r>
      <w:r w:rsidR="00177848" w:rsidRPr="00C6052E">
        <w:t xml:space="preserve"> </w:t>
      </w:r>
      <w:r w:rsidRPr="00C6052E">
        <w:t>completers</w:t>
      </w:r>
      <w:r w:rsidR="00177848" w:rsidRPr="00C6052E">
        <w:t xml:space="preserve"> </w:t>
      </w:r>
      <w:r w:rsidRPr="00C6052E">
        <w:t>who</w:t>
      </w:r>
      <w:r w:rsidR="00177848" w:rsidRPr="00C6052E">
        <w:t xml:space="preserve"> </w:t>
      </w:r>
      <w:r w:rsidRPr="00C6052E">
        <w:t>met</w:t>
      </w:r>
      <w:r w:rsidR="00177848" w:rsidRPr="00C6052E">
        <w:t xml:space="preserve"> </w:t>
      </w:r>
      <w:r w:rsidRPr="00C6052E">
        <w:t>their</w:t>
      </w:r>
      <w:r w:rsidR="00177848" w:rsidRPr="00C6052E">
        <w:t xml:space="preserve"> </w:t>
      </w:r>
      <w:r w:rsidRPr="00C6052E">
        <w:t>primary</w:t>
      </w:r>
      <w:r w:rsidR="00177848" w:rsidRPr="00C6052E">
        <w:t xml:space="preserve"> </w:t>
      </w:r>
      <w:r w:rsidRPr="00C6052E">
        <w:t>training</w:t>
      </w:r>
      <w:r w:rsidR="00177848" w:rsidRPr="00C6052E">
        <w:t xml:space="preserve"> </w:t>
      </w:r>
      <w:r w:rsidRPr="00C6052E">
        <w:t>objectives</w:t>
      </w:r>
      <w:r w:rsidR="00177848" w:rsidRPr="00C6052E">
        <w:t xml:space="preserve"> </w:t>
      </w:r>
      <w:r w:rsidRPr="00C6052E">
        <w:t>were</w:t>
      </w:r>
      <w:r w:rsidR="00177848" w:rsidRPr="00C6052E">
        <w:t xml:space="preserve"> </w:t>
      </w:r>
      <w:r w:rsidRPr="00C6052E">
        <w:t>well</w:t>
      </w:r>
      <w:r w:rsidR="00177848" w:rsidRPr="00C6052E">
        <w:t xml:space="preserve"> </w:t>
      </w:r>
      <w:r w:rsidRPr="00C6052E">
        <w:t>placed</w:t>
      </w:r>
      <w:r w:rsidR="00177848" w:rsidRPr="00C6052E">
        <w:t xml:space="preserve"> </w:t>
      </w:r>
      <w:r w:rsidRPr="00C6052E">
        <w:t>to</w:t>
      </w:r>
      <w:r w:rsidR="00177848" w:rsidRPr="00C6052E">
        <w:t xml:space="preserve"> </w:t>
      </w:r>
      <w:r w:rsidRPr="00C6052E">
        <w:t>secure</w:t>
      </w:r>
      <w:r w:rsidR="00177848" w:rsidRPr="00C6052E">
        <w:t xml:space="preserve"> </w:t>
      </w:r>
      <w:r w:rsidRPr="00C6052E">
        <w:t>employment</w:t>
      </w:r>
      <w:r w:rsidR="00177848" w:rsidRPr="00C6052E">
        <w:t xml:space="preserve"> </w:t>
      </w:r>
      <w:r w:rsidRPr="00C6052E">
        <w:t>or</w:t>
      </w:r>
      <w:r w:rsidR="00177848" w:rsidRPr="00C6052E">
        <w:t xml:space="preserve"> </w:t>
      </w:r>
      <w:r w:rsidRPr="00C6052E">
        <w:t>advance</w:t>
      </w:r>
      <w:r w:rsidR="00177848" w:rsidRPr="00C6052E">
        <w:t xml:space="preserve"> </w:t>
      </w:r>
      <w:r w:rsidRPr="00C6052E">
        <w:t>their</w:t>
      </w:r>
      <w:r w:rsidR="00177848" w:rsidRPr="00C6052E">
        <w:t xml:space="preserve"> </w:t>
      </w:r>
      <w:r w:rsidRPr="00C6052E">
        <w:t>job</w:t>
      </w:r>
      <w:r w:rsidR="00177848" w:rsidRPr="00C6052E">
        <w:t xml:space="preserve"> </w:t>
      </w:r>
      <w:r w:rsidRPr="00C6052E">
        <w:t>prospects.</w:t>
      </w:r>
      <w:r w:rsidR="00177848" w:rsidRPr="00C6052E">
        <w:t xml:space="preserve"> </w:t>
      </w:r>
      <w:r w:rsidRPr="00C6052E">
        <w:t>Courses</w:t>
      </w:r>
      <w:r w:rsidR="00177848" w:rsidRPr="00C6052E">
        <w:t xml:space="preserve"> </w:t>
      </w:r>
      <w:r w:rsidRPr="00C6052E">
        <w:t>in</w:t>
      </w:r>
      <w:r w:rsidR="00177848" w:rsidRPr="00C6052E">
        <w:t xml:space="preserve"> </w:t>
      </w:r>
      <w:r w:rsidRPr="00C6052E">
        <w:t>priority</w:t>
      </w:r>
      <w:r w:rsidR="00177848" w:rsidRPr="00C6052E">
        <w:t xml:space="preserve"> </w:t>
      </w:r>
      <w:r w:rsidRPr="00C6052E">
        <w:t>sectors</w:t>
      </w:r>
      <w:r w:rsidR="00177848" w:rsidRPr="00C6052E">
        <w:t xml:space="preserve"> </w:t>
      </w:r>
      <w:r w:rsidRPr="00C6052E">
        <w:t>with</w:t>
      </w:r>
      <w:r w:rsidR="00177848" w:rsidRPr="00C6052E">
        <w:t xml:space="preserve"> </w:t>
      </w:r>
      <w:r w:rsidRPr="00C6052E">
        <w:t>strong</w:t>
      </w:r>
      <w:r w:rsidR="00177848" w:rsidRPr="00C6052E">
        <w:t xml:space="preserve"> </w:t>
      </w:r>
      <w:r w:rsidRPr="00C6052E">
        <w:lastRenderedPageBreak/>
        <w:t>employment</w:t>
      </w:r>
      <w:r w:rsidR="00177848" w:rsidRPr="00C6052E">
        <w:t xml:space="preserve"> </w:t>
      </w:r>
      <w:r w:rsidRPr="00C6052E">
        <w:t>pathways,</w:t>
      </w:r>
      <w:r w:rsidR="00177848" w:rsidRPr="00C6052E">
        <w:t xml:space="preserve"> </w:t>
      </w:r>
      <w:r w:rsidRPr="00C6052E">
        <w:t>such</w:t>
      </w:r>
      <w:r w:rsidR="00177848" w:rsidRPr="00C6052E">
        <w:t xml:space="preserve"> </w:t>
      </w:r>
      <w:r w:rsidRPr="00C6052E">
        <w:t>as</w:t>
      </w:r>
      <w:r w:rsidR="00177848" w:rsidRPr="00C6052E">
        <w:t xml:space="preserve"> </w:t>
      </w:r>
      <w:r w:rsidRPr="00C6052E">
        <w:t>clean</w:t>
      </w:r>
      <w:r w:rsidR="00177848" w:rsidRPr="00C6052E">
        <w:t xml:space="preserve"> </w:t>
      </w:r>
      <w:r w:rsidRPr="00C6052E">
        <w:t>energy,</w:t>
      </w:r>
      <w:r w:rsidR="00177848" w:rsidRPr="00C6052E">
        <w:t xml:space="preserve"> </w:t>
      </w:r>
      <w:r w:rsidRPr="00C6052E">
        <w:t>housing</w:t>
      </w:r>
      <w:r w:rsidR="00177848" w:rsidRPr="00C6052E">
        <w:t xml:space="preserve"> </w:t>
      </w:r>
      <w:r w:rsidRPr="00C6052E">
        <w:t>and</w:t>
      </w:r>
      <w:r w:rsidR="00177848" w:rsidRPr="00C6052E">
        <w:t xml:space="preserve"> </w:t>
      </w:r>
      <w:r w:rsidRPr="00C6052E">
        <w:t>the</w:t>
      </w:r>
      <w:r w:rsidR="00177848" w:rsidRPr="00C6052E">
        <w:t xml:space="preserve"> </w:t>
      </w:r>
      <w:r w:rsidRPr="00C6052E">
        <w:t>health</w:t>
      </w:r>
      <w:r w:rsidR="00177848" w:rsidRPr="00C6052E">
        <w:t xml:space="preserve"> </w:t>
      </w:r>
      <w:r w:rsidRPr="00C6052E">
        <w:t>and</w:t>
      </w:r>
      <w:r w:rsidR="00177848" w:rsidRPr="00C6052E">
        <w:t xml:space="preserve"> </w:t>
      </w:r>
      <w:r w:rsidRPr="00C6052E">
        <w:t>care</w:t>
      </w:r>
      <w:r w:rsidR="00177848" w:rsidRPr="00C6052E">
        <w:t xml:space="preserve"> </w:t>
      </w:r>
      <w:r w:rsidRPr="00C6052E">
        <w:t>sectors,</w:t>
      </w:r>
      <w:r w:rsidR="00177848" w:rsidRPr="00C6052E">
        <w:t xml:space="preserve"> </w:t>
      </w:r>
      <w:r w:rsidRPr="00C6052E">
        <w:t>have</w:t>
      </w:r>
      <w:r w:rsidR="00177848" w:rsidRPr="00C6052E">
        <w:t xml:space="preserve"> </w:t>
      </w:r>
      <w:r w:rsidRPr="00C6052E">
        <w:t>recorded</w:t>
      </w:r>
      <w:r w:rsidR="00177848" w:rsidRPr="00C6052E">
        <w:t xml:space="preserve"> </w:t>
      </w:r>
      <w:r w:rsidRPr="00C6052E">
        <w:t>strong</w:t>
      </w:r>
      <w:r w:rsidR="00177848" w:rsidRPr="00C6052E">
        <w:t xml:space="preserve"> </w:t>
      </w:r>
      <w:r w:rsidRPr="00C6052E">
        <w:t>enrolment</w:t>
      </w:r>
      <w:r w:rsidR="00177848" w:rsidRPr="00C6052E">
        <w:t xml:space="preserve"> </w:t>
      </w:r>
      <w:r w:rsidRPr="00C6052E">
        <w:t>growth.</w:t>
      </w:r>
      <w:r w:rsidR="00177848" w:rsidRPr="00C6052E">
        <w:t xml:space="preserve"> </w:t>
      </w:r>
    </w:p>
    <w:p w14:paraId="3751E570" w14:textId="31432FC9" w:rsidR="00EE5BB8" w:rsidRPr="00C6052E" w:rsidRDefault="00EE5BB8" w:rsidP="00EE5BB8">
      <w:r w:rsidRPr="00C6052E">
        <w:t>In</w:t>
      </w:r>
      <w:r w:rsidR="00177848" w:rsidRPr="00C6052E">
        <w:t xml:space="preserve"> </w:t>
      </w:r>
      <w:r w:rsidRPr="00C6052E">
        <w:t>2023,</w:t>
      </w:r>
      <w:r w:rsidR="00177848" w:rsidRPr="00C6052E">
        <w:t xml:space="preserve"> </w:t>
      </w:r>
      <w:r w:rsidRPr="00C6052E">
        <w:t>eligibility</w:t>
      </w:r>
      <w:r w:rsidR="00177848" w:rsidRPr="00C6052E">
        <w:t xml:space="preserve"> </w:t>
      </w:r>
      <w:r w:rsidRPr="00C6052E">
        <w:t>for</w:t>
      </w:r>
      <w:r w:rsidR="00177848" w:rsidRPr="00C6052E">
        <w:t xml:space="preserve"> </w:t>
      </w:r>
      <w:r w:rsidRPr="00C6052E">
        <w:t>government-funded</w:t>
      </w:r>
      <w:r w:rsidR="00177848" w:rsidRPr="00C6052E">
        <w:t xml:space="preserve"> </w:t>
      </w:r>
      <w:r w:rsidRPr="00C6052E">
        <w:t>training</w:t>
      </w:r>
      <w:r w:rsidR="00177848" w:rsidRPr="00C6052E">
        <w:t xml:space="preserve"> </w:t>
      </w:r>
      <w:r w:rsidRPr="00C6052E">
        <w:t>was</w:t>
      </w:r>
      <w:r w:rsidR="00177848" w:rsidRPr="00C6052E">
        <w:t xml:space="preserve"> </w:t>
      </w:r>
      <w:r w:rsidRPr="00C6052E">
        <w:t>expanded</w:t>
      </w:r>
      <w:r w:rsidR="00177848" w:rsidRPr="00C6052E">
        <w:t xml:space="preserve"> </w:t>
      </w:r>
      <w:r w:rsidRPr="00C6052E">
        <w:t>to</w:t>
      </w:r>
      <w:r w:rsidR="00177848" w:rsidRPr="00C6052E">
        <w:t xml:space="preserve"> </w:t>
      </w:r>
      <w:r w:rsidRPr="00C6052E">
        <w:t>support</w:t>
      </w:r>
      <w:r w:rsidR="00177848" w:rsidRPr="00C6052E">
        <w:t xml:space="preserve"> </w:t>
      </w:r>
      <w:r w:rsidRPr="00C6052E">
        <w:t>more</w:t>
      </w:r>
      <w:r w:rsidR="00177848" w:rsidRPr="00C6052E">
        <w:t xml:space="preserve"> </w:t>
      </w:r>
      <w:r w:rsidRPr="00C6052E">
        <w:t>people</w:t>
      </w:r>
      <w:r w:rsidR="00177848" w:rsidRPr="00C6052E">
        <w:t xml:space="preserve"> </w:t>
      </w:r>
      <w:r w:rsidRPr="00C6052E">
        <w:t>to</w:t>
      </w:r>
      <w:r w:rsidR="00177848" w:rsidRPr="00C6052E">
        <w:t xml:space="preserve"> </w:t>
      </w:r>
      <w:r w:rsidRPr="00C6052E">
        <w:t>reskill.</w:t>
      </w:r>
      <w:r w:rsidR="00177848" w:rsidRPr="00C6052E">
        <w:t xml:space="preserve"> </w:t>
      </w:r>
      <w:r w:rsidRPr="00C6052E">
        <w:t>More</w:t>
      </w:r>
      <w:r w:rsidR="00177848" w:rsidRPr="00C6052E">
        <w:t xml:space="preserve"> </w:t>
      </w:r>
      <w:r w:rsidRPr="00C6052E">
        <w:t>than</w:t>
      </w:r>
      <w:r w:rsidR="00177848" w:rsidRPr="00C6052E">
        <w:t xml:space="preserve"> </w:t>
      </w:r>
      <w:r w:rsidRPr="00C6052E">
        <w:t>58,000</w:t>
      </w:r>
      <w:r w:rsidR="00177848" w:rsidRPr="00C6052E">
        <w:t xml:space="preserve"> </w:t>
      </w:r>
      <w:r w:rsidRPr="00C6052E">
        <w:t>Victorians</w:t>
      </w:r>
      <w:r w:rsidR="00177848" w:rsidRPr="00C6052E">
        <w:t xml:space="preserve"> </w:t>
      </w:r>
      <w:r w:rsidRPr="00C6052E">
        <w:t>have</w:t>
      </w:r>
      <w:r w:rsidR="00177848" w:rsidRPr="00C6052E">
        <w:t xml:space="preserve"> </w:t>
      </w:r>
      <w:r w:rsidRPr="00C6052E">
        <w:t>taken</w:t>
      </w:r>
      <w:r w:rsidR="00177848" w:rsidRPr="00C6052E">
        <w:t xml:space="preserve"> </w:t>
      </w:r>
      <w:r w:rsidRPr="00C6052E">
        <w:t>up</w:t>
      </w:r>
      <w:r w:rsidR="00177848" w:rsidRPr="00C6052E">
        <w:t xml:space="preserve"> </w:t>
      </w:r>
      <w:r w:rsidRPr="00C6052E">
        <w:t>the</w:t>
      </w:r>
      <w:r w:rsidR="00177848" w:rsidRPr="00C6052E">
        <w:t xml:space="preserve"> </w:t>
      </w:r>
      <w:r w:rsidRPr="00C6052E">
        <w:t>opportunity</w:t>
      </w:r>
      <w:r w:rsidR="00177848" w:rsidRPr="00C6052E">
        <w:t xml:space="preserve"> </w:t>
      </w:r>
      <w:r w:rsidRPr="00C6052E">
        <w:t>to</w:t>
      </w:r>
      <w:r w:rsidR="00177848" w:rsidRPr="00C6052E">
        <w:t xml:space="preserve"> </w:t>
      </w:r>
      <w:r w:rsidRPr="00C6052E">
        <w:t>reskill</w:t>
      </w:r>
      <w:r w:rsidR="00177848" w:rsidRPr="00C6052E">
        <w:t xml:space="preserve"> </w:t>
      </w:r>
      <w:r w:rsidRPr="00C6052E">
        <w:t>in</w:t>
      </w:r>
      <w:r w:rsidR="00177848" w:rsidRPr="00C6052E">
        <w:t xml:space="preserve"> </w:t>
      </w:r>
      <w:r w:rsidRPr="00C6052E">
        <w:t>the</w:t>
      </w:r>
      <w:r w:rsidR="00177848" w:rsidRPr="00C6052E">
        <w:t xml:space="preserve"> </w:t>
      </w:r>
      <w:r w:rsidRPr="00C6052E">
        <w:t>first</w:t>
      </w:r>
      <w:r w:rsidR="00177848" w:rsidRPr="00C6052E">
        <w:t xml:space="preserve"> </w:t>
      </w:r>
      <w:r w:rsidRPr="00C6052E">
        <w:t>2</w:t>
      </w:r>
      <w:r w:rsidR="00177848" w:rsidRPr="00C6052E">
        <w:t xml:space="preserve"> </w:t>
      </w:r>
      <w:r w:rsidRPr="00C6052E">
        <w:t>years</w:t>
      </w:r>
      <w:r w:rsidR="00177848" w:rsidRPr="00C6052E">
        <w:t xml:space="preserve"> </w:t>
      </w:r>
      <w:r w:rsidRPr="00C6052E">
        <w:t>of</w:t>
      </w:r>
      <w:r w:rsidR="00177848" w:rsidRPr="00C6052E">
        <w:t xml:space="preserve"> </w:t>
      </w:r>
      <w:r w:rsidRPr="00C6052E">
        <w:t>the</w:t>
      </w:r>
      <w:r w:rsidR="00177848" w:rsidRPr="00C6052E">
        <w:t xml:space="preserve"> </w:t>
      </w:r>
      <w:r w:rsidRPr="00C6052E">
        <w:t>initiative,</w:t>
      </w:r>
      <w:r w:rsidR="00177848" w:rsidRPr="00C6052E">
        <w:t xml:space="preserve"> </w:t>
      </w:r>
      <w:r w:rsidRPr="00C6052E">
        <w:t>with</w:t>
      </w:r>
      <w:r w:rsidR="00177848" w:rsidRPr="00C6052E">
        <w:t xml:space="preserve"> </w:t>
      </w:r>
      <w:r w:rsidRPr="00C6052E">
        <w:t>more</w:t>
      </w:r>
      <w:r w:rsidR="00177848" w:rsidRPr="00C6052E">
        <w:t xml:space="preserve"> </w:t>
      </w:r>
      <w:r w:rsidRPr="00C6052E">
        <w:t>than</w:t>
      </w:r>
      <w:r w:rsidR="00177848" w:rsidRPr="00C6052E">
        <w:t xml:space="preserve"> </w:t>
      </w:r>
      <w:r w:rsidRPr="00C6052E">
        <w:t>60%</w:t>
      </w:r>
      <w:r w:rsidR="00177848" w:rsidRPr="00C6052E">
        <w:t xml:space="preserve"> </w:t>
      </w:r>
      <w:r w:rsidRPr="00C6052E">
        <w:t>of</w:t>
      </w:r>
      <w:r w:rsidR="00177848" w:rsidRPr="00C6052E">
        <w:t xml:space="preserve"> </w:t>
      </w:r>
      <w:proofErr w:type="spellStart"/>
      <w:r w:rsidRPr="00C6052E">
        <w:t>reskillers</w:t>
      </w:r>
      <w:proofErr w:type="spellEnd"/>
      <w:r w:rsidR="00177848" w:rsidRPr="00C6052E">
        <w:t xml:space="preserve"> </w:t>
      </w:r>
      <w:r w:rsidRPr="00C6052E">
        <w:t>being</w:t>
      </w:r>
      <w:r w:rsidR="00177848" w:rsidRPr="00C6052E">
        <w:t xml:space="preserve"> </w:t>
      </w:r>
      <w:r w:rsidRPr="00C6052E">
        <w:t>women.</w:t>
      </w:r>
    </w:p>
    <w:p w14:paraId="5BDBC297" w14:textId="303A11C3" w:rsidR="00EE5BB8" w:rsidRPr="00C6052E" w:rsidRDefault="00EE5BB8" w:rsidP="00EE5BB8">
      <w:pPr>
        <w:keepLines/>
      </w:pPr>
      <w:r w:rsidRPr="00C6052E">
        <w:t>Flexible</w:t>
      </w:r>
      <w:r w:rsidR="00177848" w:rsidRPr="00C6052E">
        <w:t xml:space="preserve"> </w:t>
      </w:r>
      <w:r w:rsidRPr="00C6052E">
        <w:t>training</w:t>
      </w:r>
      <w:r w:rsidR="00177848" w:rsidRPr="00C6052E">
        <w:t xml:space="preserve"> </w:t>
      </w:r>
      <w:r w:rsidRPr="00C6052E">
        <w:t>offerings</w:t>
      </w:r>
      <w:r w:rsidR="00177848" w:rsidRPr="00C6052E">
        <w:t xml:space="preserve"> </w:t>
      </w:r>
      <w:r w:rsidRPr="00C6052E">
        <w:t>have</w:t>
      </w:r>
      <w:r w:rsidR="00177848" w:rsidRPr="00C6052E">
        <w:t xml:space="preserve"> </w:t>
      </w:r>
      <w:r w:rsidRPr="00C6052E">
        <w:t>also</w:t>
      </w:r>
      <w:r w:rsidR="00177848" w:rsidRPr="00C6052E">
        <w:t xml:space="preserve"> </w:t>
      </w:r>
      <w:r w:rsidRPr="00C6052E">
        <w:t>been</w:t>
      </w:r>
      <w:r w:rsidR="00177848" w:rsidRPr="00C6052E">
        <w:t xml:space="preserve"> </w:t>
      </w:r>
      <w:r w:rsidRPr="00C6052E">
        <w:t>increased</w:t>
      </w:r>
      <w:r w:rsidR="00177848" w:rsidRPr="00C6052E">
        <w:t xml:space="preserve"> </w:t>
      </w:r>
      <w:r w:rsidRPr="00C6052E">
        <w:t>to</w:t>
      </w:r>
      <w:r w:rsidR="00177848" w:rsidRPr="00C6052E">
        <w:t xml:space="preserve"> </w:t>
      </w:r>
      <w:r w:rsidRPr="00C6052E">
        <w:t>make</w:t>
      </w:r>
      <w:r w:rsidR="00177848" w:rsidRPr="00C6052E">
        <w:t xml:space="preserve"> </w:t>
      </w:r>
      <w:r w:rsidRPr="00C6052E">
        <w:t>it</w:t>
      </w:r>
      <w:r w:rsidR="00177848" w:rsidRPr="00C6052E">
        <w:t xml:space="preserve"> </w:t>
      </w:r>
      <w:r w:rsidRPr="00C6052E">
        <w:t>easier</w:t>
      </w:r>
      <w:r w:rsidR="00177848" w:rsidRPr="00C6052E">
        <w:t xml:space="preserve"> </w:t>
      </w:r>
      <w:r w:rsidRPr="00C6052E">
        <w:t>for</w:t>
      </w:r>
      <w:r w:rsidR="00177848" w:rsidRPr="00C6052E">
        <w:t xml:space="preserve"> </w:t>
      </w:r>
      <w:r w:rsidRPr="00C6052E">
        <w:t>people</w:t>
      </w:r>
      <w:r w:rsidR="00177848" w:rsidRPr="00C6052E">
        <w:t xml:space="preserve"> </w:t>
      </w:r>
      <w:r w:rsidRPr="00C6052E">
        <w:t>to</w:t>
      </w:r>
      <w:r w:rsidR="00177848" w:rsidRPr="00C6052E">
        <w:t xml:space="preserve"> </w:t>
      </w:r>
      <w:r w:rsidRPr="00C6052E">
        <w:t>achieve</w:t>
      </w:r>
      <w:r w:rsidR="00177848" w:rsidRPr="00C6052E">
        <w:t xml:space="preserve"> </w:t>
      </w:r>
      <w:r w:rsidRPr="00C6052E">
        <w:t>their</w:t>
      </w:r>
      <w:r w:rsidR="00177848" w:rsidRPr="00C6052E">
        <w:t xml:space="preserve"> </w:t>
      </w:r>
      <w:r w:rsidRPr="00C6052E">
        <w:t>main</w:t>
      </w:r>
      <w:r w:rsidR="00177848" w:rsidRPr="00C6052E">
        <w:t xml:space="preserve"> </w:t>
      </w:r>
      <w:r w:rsidRPr="00C6052E">
        <w:t>reason</w:t>
      </w:r>
      <w:r w:rsidR="00177848" w:rsidRPr="00C6052E">
        <w:t xml:space="preserve"> </w:t>
      </w:r>
      <w:r w:rsidRPr="00C6052E">
        <w:t>for</w:t>
      </w:r>
      <w:r w:rsidR="00177848" w:rsidRPr="00C6052E">
        <w:t xml:space="preserve"> </w:t>
      </w:r>
      <w:r w:rsidRPr="00C6052E">
        <w:t>training.</w:t>
      </w:r>
      <w:r w:rsidR="00177848" w:rsidRPr="00C6052E">
        <w:t xml:space="preserve"> </w:t>
      </w:r>
      <w:r w:rsidRPr="00C6052E">
        <w:t>The</w:t>
      </w:r>
      <w:r w:rsidR="00177848" w:rsidRPr="00C6052E">
        <w:t xml:space="preserve"> </w:t>
      </w:r>
      <w:r w:rsidRPr="00C6052E">
        <w:t>government</w:t>
      </w:r>
      <w:r w:rsidR="00177848" w:rsidRPr="00C6052E">
        <w:t xml:space="preserve"> </w:t>
      </w:r>
      <w:r w:rsidRPr="00C6052E">
        <w:t>now</w:t>
      </w:r>
      <w:r w:rsidR="00177848" w:rsidRPr="00C6052E">
        <w:t xml:space="preserve"> </w:t>
      </w:r>
      <w:r w:rsidRPr="00C6052E">
        <w:t>offers</w:t>
      </w:r>
      <w:r w:rsidR="00177848" w:rsidRPr="00C6052E">
        <w:t xml:space="preserve"> </w:t>
      </w:r>
      <w:r w:rsidRPr="00C6052E">
        <w:t>84</w:t>
      </w:r>
      <w:r w:rsidR="00177848" w:rsidRPr="00C6052E">
        <w:t xml:space="preserve"> </w:t>
      </w:r>
      <w:r w:rsidRPr="00C6052E">
        <w:t>skill</w:t>
      </w:r>
      <w:r w:rsidR="00177848" w:rsidRPr="00C6052E">
        <w:t xml:space="preserve"> </w:t>
      </w:r>
      <w:r w:rsidRPr="00C6052E">
        <w:t>sets,</w:t>
      </w:r>
      <w:r w:rsidR="00177848" w:rsidRPr="00C6052E">
        <w:t xml:space="preserve"> </w:t>
      </w:r>
      <w:r w:rsidRPr="00C6052E">
        <w:rPr>
          <w:spacing w:val="-2"/>
        </w:rPr>
        <w:t>which</w:t>
      </w:r>
      <w:r w:rsidR="00177848" w:rsidRPr="00C6052E">
        <w:rPr>
          <w:spacing w:val="-2"/>
        </w:rPr>
        <w:t xml:space="preserve"> </w:t>
      </w:r>
      <w:r w:rsidRPr="00C6052E">
        <w:rPr>
          <w:spacing w:val="-2"/>
        </w:rPr>
        <w:t>allow</w:t>
      </w:r>
      <w:r w:rsidR="00177848" w:rsidRPr="00C6052E">
        <w:rPr>
          <w:spacing w:val="-2"/>
        </w:rPr>
        <w:t xml:space="preserve"> </w:t>
      </w:r>
      <w:r w:rsidRPr="00C6052E">
        <w:rPr>
          <w:spacing w:val="-2"/>
        </w:rPr>
        <w:t>students</w:t>
      </w:r>
      <w:r w:rsidR="00177848" w:rsidRPr="00C6052E">
        <w:rPr>
          <w:spacing w:val="-2"/>
        </w:rPr>
        <w:t xml:space="preserve"> </w:t>
      </w:r>
      <w:r w:rsidRPr="00C6052E">
        <w:rPr>
          <w:spacing w:val="-2"/>
        </w:rPr>
        <w:t>to</w:t>
      </w:r>
      <w:r w:rsidR="00177848" w:rsidRPr="00C6052E">
        <w:rPr>
          <w:spacing w:val="-2"/>
        </w:rPr>
        <w:t xml:space="preserve"> </w:t>
      </w:r>
      <w:r w:rsidRPr="00C6052E">
        <w:rPr>
          <w:spacing w:val="-2"/>
        </w:rPr>
        <w:t>attain</w:t>
      </w:r>
      <w:r w:rsidR="00177848" w:rsidRPr="00C6052E">
        <w:rPr>
          <w:spacing w:val="-2"/>
        </w:rPr>
        <w:t xml:space="preserve"> </w:t>
      </w:r>
      <w:r w:rsidRPr="00C6052E">
        <w:rPr>
          <w:spacing w:val="-2"/>
        </w:rPr>
        <w:t>specific</w:t>
      </w:r>
      <w:r w:rsidR="00177848" w:rsidRPr="00C6052E">
        <w:rPr>
          <w:spacing w:val="-2"/>
        </w:rPr>
        <w:t xml:space="preserve"> </w:t>
      </w:r>
      <w:r w:rsidRPr="00C6052E">
        <w:rPr>
          <w:spacing w:val="-2"/>
        </w:rPr>
        <w:t>and</w:t>
      </w:r>
      <w:r w:rsidR="00177848" w:rsidRPr="00C6052E">
        <w:rPr>
          <w:spacing w:val="-2"/>
        </w:rPr>
        <w:t xml:space="preserve"> </w:t>
      </w:r>
      <w:r w:rsidRPr="00C6052E">
        <w:rPr>
          <w:spacing w:val="-2"/>
        </w:rPr>
        <w:t>job-relevant</w:t>
      </w:r>
      <w:r w:rsidR="00177848" w:rsidRPr="00C6052E">
        <w:t xml:space="preserve"> </w:t>
      </w:r>
      <w:r w:rsidRPr="00C6052E">
        <w:t>qualifications</w:t>
      </w:r>
      <w:r w:rsidR="00177848" w:rsidRPr="00C6052E">
        <w:t xml:space="preserve"> </w:t>
      </w:r>
      <w:r w:rsidRPr="00C6052E">
        <w:t>in</w:t>
      </w:r>
      <w:r w:rsidR="00177848" w:rsidRPr="00C6052E">
        <w:t xml:space="preserve"> </w:t>
      </w:r>
      <w:r w:rsidRPr="00C6052E">
        <w:t>a</w:t>
      </w:r>
      <w:r w:rsidR="00177848" w:rsidRPr="00C6052E">
        <w:t xml:space="preserve"> </w:t>
      </w:r>
      <w:r w:rsidRPr="00C6052E">
        <w:t>timely</w:t>
      </w:r>
      <w:r w:rsidR="00177848" w:rsidRPr="00C6052E">
        <w:t xml:space="preserve"> </w:t>
      </w:r>
      <w:r w:rsidRPr="00C6052E">
        <w:t>way</w:t>
      </w:r>
      <w:r w:rsidR="00177848" w:rsidRPr="00C6052E">
        <w:t xml:space="preserve"> </w:t>
      </w:r>
      <w:r w:rsidRPr="00C6052E">
        <w:t>without</w:t>
      </w:r>
      <w:r w:rsidR="00177848" w:rsidRPr="00C6052E">
        <w:t xml:space="preserve"> </w:t>
      </w:r>
      <w:r w:rsidRPr="00C6052E">
        <w:t>undertaking</w:t>
      </w:r>
      <w:r w:rsidR="00177848" w:rsidRPr="00C6052E">
        <w:t xml:space="preserve"> </w:t>
      </w:r>
      <w:r w:rsidRPr="00C6052E">
        <w:t>a</w:t>
      </w:r>
      <w:r w:rsidR="00177848" w:rsidRPr="00C6052E">
        <w:t xml:space="preserve"> </w:t>
      </w:r>
      <w:r w:rsidRPr="00C6052E">
        <w:t>full</w:t>
      </w:r>
      <w:r w:rsidR="00177848" w:rsidRPr="00C6052E">
        <w:t xml:space="preserve"> </w:t>
      </w:r>
      <w:r w:rsidRPr="00C6052E">
        <w:t>qualification.</w:t>
      </w:r>
      <w:r w:rsidR="00177848" w:rsidRPr="00C6052E">
        <w:t xml:space="preserve"> </w:t>
      </w:r>
      <w:r w:rsidRPr="00C6052E">
        <w:t>These</w:t>
      </w:r>
      <w:r w:rsidR="00177848" w:rsidRPr="00C6052E">
        <w:t xml:space="preserve"> </w:t>
      </w:r>
      <w:r w:rsidRPr="00C6052E">
        <w:t>short</w:t>
      </w:r>
      <w:r w:rsidR="00177848" w:rsidRPr="00C6052E">
        <w:t xml:space="preserve"> </w:t>
      </w:r>
      <w:r w:rsidRPr="00C6052E">
        <w:t>and</w:t>
      </w:r>
      <w:r w:rsidR="00177848" w:rsidRPr="00C6052E">
        <w:t xml:space="preserve"> </w:t>
      </w:r>
      <w:r w:rsidRPr="00C6052E">
        <w:t>flexible</w:t>
      </w:r>
      <w:r w:rsidR="00177848" w:rsidRPr="00C6052E">
        <w:t xml:space="preserve"> </w:t>
      </w:r>
      <w:r w:rsidRPr="00C6052E">
        <w:t>options</w:t>
      </w:r>
      <w:r w:rsidR="00177848" w:rsidRPr="00C6052E">
        <w:t xml:space="preserve"> </w:t>
      </w:r>
      <w:r w:rsidRPr="00C6052E">
        <w:t>make</w:t>
      </w:r>
      <w:r w:rsidR="00177848" w:rsidRPr="00C6052E">
        <w:t xml:space="preserve"> </w:t>
      </w:r>
      <w:r w:rsidRPr="00C6052E">
        <w:t>it</w:t>
      </w:r>
      <w:r w:rsidR="00177848" w:rsidRPr="00C6052E">
        <w:t xml:space="preserve"> </w:t>
      </w:r>
      <w:r w:rsidRPr="00C6052E">
        <w:t>easier</w:t>
      </w:r>
      <w:r w:rsidR="00177848" w:rsidRPr="00C6052E">
        <w:t xml:space="preserve"> </w:t>
      </w:r>
      <w:r w:rsidRPr="00C6052E">
        <w:t>to</w:t>
      </w:r>
      <w:r w:rsidR="00177848" w:rsidRPr="00C6052E">
        <w:t xml:space="preserve"> </w:t>
      </w:r>
      <w:r w:rsidRPr="00C6052E">
        <w:t>upskill,</w:t>
      </w:r>
      <w:r w:rsidR="00177848" w:rsidRPr="00C6052E">
        <w:t xml:space="preserve"> </w:t>
      </w:r>
      <w:r w:rsidRPr="00C6052E">
        <w:t>reskill</w:t>
      </w:r>
      <w:r w:rsidR="00177848" w:rsidRPr="00C6052E">
        <w:t xml:space="preserve"> </w:t>
      </w:r>
      <w:r w:rsidRPr="00C6052E">
        <w:t>and</w:t>
      </w:r>
      <w:r w:rsidR="00177848" w:rsidRPr="00C6052E">
        <w:t xml:space="preserve"> </w:t>
      </w:r>
      <w:r w:rsidRPr="00C6052E">
        <w:t>meet</w:t>
      </w:r>
      <w:r w:rsidR="00177848" w:rsidRPr="00C6052E">
        <w:t xml:space="preserve"> </w:t>
      </w:r>
      <w:r w:rsidRPr="00C6052E">
        <w:t>industry</w:t>
      </w:r>
      <w:r w:rsidR="00177848" w:rsidRPr="00C6052E">
        <w:t xml:space="preserve"> </w:t>
      </w:r>
      <w:r w:rsidRPr="00C6052E">
        <w:t>or</w:t>
      </w:r>
      <w:r w:rsidR="00177848" w:rsidRPr="00C6052E">
        <w:t xml:space="preserve"> </w:t>
      </w:r>
      <w:r w:rsidRPr="00C6052E">
        <w:rPr>
          <w:spacing w:val="-2"/>
        </w:rPr>
        <w:t>regulatory</w:t>
      </w:r>
      <w:r w:rsidR="00177848" w:rsidRPr="00C6052E">
        <w:rPr>
          <w:spacing w:val="-2"/>
        </w:rPr>
        <w:t xml:space="preserve"> </w:t>
      </w:r>
      <w:r w:rsidRPr="00C6052E">
        <w:rPr>
          <w:spacing w:val="-2"/>
        </w:rPr>
        <w:t>standards.</w:t>
      </w:r>
      <w:r w:rsidR="00177848" w:rsidRPr="00C6052E">
        <w:rPr>
          <w:spacing w:val="-2"/>
        </w:rPr>
        <w:t xml:space="preserve"> </w:t>
      </w:r>
      <w:r w:rsidRPr="00C6052E">
        <w:rPr>
          <w:spacing w:val="-2"/>
        </w:rPr>
        <w:t>Many</w:t>
      </w:r>
      <w:r w:rsidR="00177848" w:rsidRPr="00C6052E">
        <w:rPr>
          <w:spacing w:val="-2"/>
        </w:rPr>
        <w:t xml:space="preserve"> </w:t>
      </w:r>
      <w:r w:rsidRPr="00C6052E">
        <w:rPr>
          <w:spacing w:val="-2"/>
        </w:rPr>
        <w:t>students</w:t>
      </w:r>
      <w:r w:rsidR="00177848" w:rsidRPr="00C6052E">
        <w:rPr>
          <w:spacing w:val="-2"/>
        </w:rPr>
        <w:t xml:space="preserve"> </w:t>
      </w:r>
      <w:r w:rsidRPr="00C6052E">
        <w:rPr>
          <w:spacing w:val="-2"/>
        </w:rPr>
        <w:t>also</w:t>
      </w:r>
      <w:r w:rsidR="00177848" w:rsidRPr="00C6052E">
        <w:rPr>
          <w:spacing w:val="-2"/>
        </w:rPr>
        <w:t xml:space="preserve"> </w:t>
      </w:r>
      <w:r w:rsidRPr="00C6052E">
        <w:rPr>
          <w:spacing w:val="-2"/>
        </w:rPr>
        <w:t>gain</w:t>
      </w:r>
      <w:r w:rsidR="00177848" w:rsidRPr="00C6052E">
        <w:rPr>
          <w:spacing w:val="-2"/>
        </w:rPr>
        <w:t xml:space="preserve"> </w:t>
      </w:r>
      <w:r w:rsidRPr="00C6052E">
        <w:rPr>
          <w:spacing w:val="-2"/>
        </w:rPr>
        <w:t>essential</w:t>
      </w:r>
      <w:r w:rsidR="00177848" w:rsidRPr="00C6052E">
        <w:t xml:space="preserve"> </w:t>
      </w:r>
      <w:r w:rsidRPr="00C6052E">
        <w:t>licences</w:t>
      </w:r>
      <w:r w:rsidR="00177848" w:rsidRPr="00C6052E">
        <w:t xml:space="preserve"> </w:t>
      </w:r>
      <w:r w:rsidRPr="00C6052E">
        <w:t>through</w:t>
      </w:r>
      <w:r w:rsidR="00177848" w:rsidRPr="00C6052E">
        <w:t xml:space="preserve"> </w:t>
      </w:r>
      <w:r w:rsidRPr="00C6052E">
        <w:t>completing</w:t>
      </w:r>
      <w:r w:rsidR="00177848" w:rsidRPr="00C6052E">
        <w:t xml:space="preserve"> </w:t>
      </w:r>
      <w:r w:rsidRPr="00C6052E">
        <w:t>skill</w:t>
      </w:r>
      <w:r w:rsidR="00177848" w:rsidRPr="00C6052E">
        <w:t xml:space="preserve"> </w:t>
      </w:r>
      <w:r w:rsidRPr="00C6052E">
        <w:t>sets,</w:t>
      </w:r>
      <w:r w:rsidR="00177848" w:rsidRPr="00C6052E">
        <w:t xml:space="preserve"> </w:t>
      </w:r>
      <w:r w:rsidRPr="00C6052E">
        <w:t>enabling</w:t>
      </w:r>
      <w:r w:rsidR="00177848" w:rsidRPr="00C6052E">
        <w:t xml:space="preserve"> </w:t>
      </w:r>
      <w:r w:rsidRPr="00C6052E">
        <w:t>them</w:t>
      </w:r>
      <w:r w:rsidR="00177848" w:rsidRPr="00C6052E">
        <w:t xml:space="preserve"> </w:t>
      </w:r>
      <w:r w:rsidRPr="00C6052E">
        <w:t>to</w:t>
      </w:r>
      <w:r w:rsidR="00177848" w:rsidRPr="00C6052E">
        <w:t xml:space="preserve"> </w:t>
      </w:r>
      <w:r w:rsidRPr="00C6052E">
        <w:t>work</w:t>
      </w:r>
      <w:r w:rsidR="00177848" w:rsidRPr="00C6052E">
        <w:t xml:space="preserve"> </w:t>
      </w:r>
      <w:r w:rsidRPr="00C6052E">
        <w:t>safely</w:t>
      </w:r>
      <w:r w:rsidR="00177848" w:rsidRPr="00C6052E">
        <w:t xml:space="preserve"> </w:t>
      </w:r>
      <w:r w:rsidRPr="00C6052E">
        <w:t>and</w:t>
      </w:r>
      <w:r w:rsidR="00177848" w:rsidRPr="00C6052E">
        <w:t xml:space="preserve"> </w:t>
      </w:r>
      <w:r w:rsidRPr="00C6052E">
        <w:t>legally</w:t>
      </w:r>
      <w:r w:rsidR="00177848" w:rsidRPr="00C6052E">
        <w:t xml:space="preserve"> </w:t>
      </w:r>
      <w:r w:rsidRPr="00C6052E">
        <w:t>in</w:t>
      </w:r>
      <w:r w:rsidR="00177848" w:rsidRPr="00C6052E">
        <w:t xml:space="preserve"> </w:t>
      </w:r>
      <w:r w:rsidRPr="00C6052E">
        <w:t>specific</w:t>
      </w:r>
      <w:r w:rsidR="00177848" w:rsidRPr="00C6052E">
        <w:t xml:space="preserve"> </w:t>
      </w:r>
      <w:r w:rsidRPr="00C6052E">
        <w:t>roles.</w:t>
      </w:r>
    </w:p>
    <w:p w14:paraId="18C510F2" w14:textId="16975FB7" w:rsidR="00EE5BB8" w:rsidRPr="00C6052E" w:rsidRDefault="00EE5BB8" w:rsidP="00D52474">
      <w:pPr>
        <w:pStyle w:val="Heading3"/>
      </w:pPr>
      <w:r w:rsidRPr="00C6052E">
        <w:t>Performance</w:t>
      </w:r>
      <w:r w:rsidR="00177848" w:rsidRPr="00C6052E">
        <w:t xml:space="preserve"> </w:t>
      </w:r>
      <w:r w:rsidRPr="00C6052E">
        <w:t>against</w:t>
      </w:r>
      <w:r w:rsidR="00177848" w:rsidRPr="00C6052E">
        <w:t xml:space="preserve"> </w:t>
      </w:r>
      <w:r w:rsidRPr="00C6052E">
        <w:t>output</w:t>
      </w:r>
      <w:r w:rsidR="00177848" w:rsidRPr="00C6052E">
        <w:t xml:space="preserve"> </w:t>
      </w:r>
      <w:r w:rsidRPr="00C6052E">
        <w:t>measures</w:t>
      </w:r>
    </w:p>
    <w:p w14:paraId="5B27D194" w14:textId="184D0357" w:rsidR="00EE5BB8" w:rsidRPr="00C6052E" w:rsidRDefault="00EE5BB8" w:rsidP="00EE5BB8">
      <w:r w:rsidRPr="00C6052E">
        <w:t>Table</w:t>
      </w:r>
      <w:r w:rsidR="00177848" w:rsidRPr="00C6052E">
        <w:t xml:space="preserve"> </w:t>
      </w:r>
      <w:r w:rsidRPr="00C6052E">
        <w:t>30</w:t>
      </w:r>
      <w:r w:rsidR="00177848" w:rsidRPr="00C6052E">
        <w:t xml:space="preserve"> </w:t>
      </w:r>
      <w:r w:rsidRPr="00C6052E">
        <w:t>represents</w:t>
      </w:r>
      <w:r w:rsidR="00177848" w:rsidRPr="00C6052E">
        <w:t xml:space="preserve"> </w:t>
      </w:r>
      <w:r w:rsidRPr="00C6052E">
        <w:t>performance</w:t>
      </w:r>
      <w:r w:rsidR="00177848" w:rsidRPr="00C6052E">
        <w:t xml:space="preserve"> </w:t>
      </w:r>
      <w:r w:rsidRPr="00C6052E">
        <w:t>against</w:t>
      </w:r>
      <w:r w:rsidR="00177848" w:rsidRPr="00C6052E">
        <w:t xml:space="preserve"> </w:t>
      </w:r>
      <w:r w:rsidRPr="00C6052E">
        <w:t>the</w:t>
      </w:r>
      <w:r w:rsidR="00177848" w:rsidRPr="00C6052E">
        <w:t xml:space="preserve"> </w:t>
      </w:r>
      <w:r w:rsidRPr="00C6052E">
        <w:t>Training,</w:t>
      </w:r>
      <w:r w:rsidR="00177848" w:rsidRPr="00C6052E">
        <w:t xml:space="preserve"> </w:t>
      </w:r>
      <w:r w:rsidRPr="00C6052E">
        <w:t>Higher</w:t>
      </w:r>
      <w:r w:rsidR="00177848" w:rsidRPr="00C6052E">
        <w:t xml:space="preserve"> </w:t>
      </w:r>
      <w:r w:rsidRPr="00C6052E">
        <w:t>Education</w:t>
      </w:r>
      <w:r w:rsidR="00177848" w:rsidRPr="00C6052E">
        <w:t xml:space="preserve"> </w:t>
      </w:r>
      <w:r w:rsidRPr="00C6052E">
        <w:t>and</w:t>
      </w:r>
      <w:r w:rsidR="00177848" w:rsidRPr="00C6052E">
        <w:t xml:space="preserve"> </w:t>
      </w:r>
      <w:r w:rsidRPr="00C6052E">
        <w:t>Workforce</w:t>
      </w:r>
      <w:r w:rsidR="00177848" w:rsidRPr="00C6052E">
        <w:t xml:space="preserve"> </w:t>
      </w:r>
      <w:r w:rsidRPr="00C6052E">
        <w:t>Development</w:t>
      </w:r>
      <w:r w:rsidR="00177848" w:rsidRPr="00C6052E">
        <w:t xml:space="preserve"> </w:t>
      </w:r>
      <w:r w:rsidRPr="00C6052E">
        <w:t>output.</w:t>
      </w:r>
      <w:r w:rsidR="00177848" w:rsidRPr="00C6052E">
        <w:t xml:space="preserve"> </w:t>
      </w:r>
      <w:r w:rsidRPr="00C6052E">
        <w:t>This</w:t>
      </w:r>
      <w:r w:rsidR="00177848" w:rsidRPr="00C6052E">
        <w:t xml:space="preserve"> </w:t>
      </w:r>
      <w:r w:rsidRPr="00C6052E">
        <w:t>output</w:t>
      </w:r>
      <w:r w:rsidR="00177848" w:rsidRPr="00C6052E">
        <w:t xml:space="preserve"> </w:t>
      </w:r>
      <w:r w:rsidRPr="00C6052E">
        <w:t>supports</w:t>
      </w:r>
      <w:r w:rsidR="00177848" w:rsidRPr="00C6052E">
        <w:t xml:space="preserve"> </w:t>
      </w:r>
      <w:r w:rsidRPr="00C6052E">
        <w:t>Victorians</w:t>
      </w:r>
      <w:r w:rsidR="00177848" w:rsidRPr="00C6052E">
        <w:t xml:space="preserve"> </w:t>
      </w:r>
      <w:r w:rsidRPr="00C6052E">
        <w:t>to</w:t>
      </w:r>
      <w:r w:rsidR="00177848" w:rsidRPr="00C6052E">
        <w:t xml:space="preserve"> </w:t>
      </w:r>
      <w:r w:rsidRPr="00C6052E">
        <w:t>gain</w:t>
      </w:r>
      <w:r w:rsidR="00177848" w:rsidRPr="00C6052E">
        <w:t xml:space="preserve"> </w:t>
      </w:r>
      <w:r w:rsidRPr="00C6052E">
        <w:t>the</w:t>
      </w:r>
      <w:r w:rsidR="00177848" w:rsidRPr="00C6052E">
        <w:t xml:space="preserve"> </w:t>
      </w:r>
      <w:r w:rsidRPr="00C6052E">
        <w:t>skills</w:t>
      </w:r>
      <w:r w:rsidR="00177848" w:rsidRPr="00C6052E">
        <w:t xml:space="preserve"> </w:t>
      </w:r>
      <w:r w:rsidRPr="00C6052E">
        <w:t>and</w:t>
      </w:r>
      <w:r w:rsidR="00177848" w:rsidRPr="00C6052E">
        <w:t xml:space="preserve"> </w:t>
      </w:r>
      <w:r w:rsidRPr="00C6052E">
        <w:t>capabilities</w:t>
      </w:r>
      <w:r w:rsidR="00177848" w:rsidRPr="00C6052E">
        <w:t xml:space="preserve"> </w:t>
      </w:r>
      <w:r w:rsidRPr="00C6052E">
        <w:t>essential</w:t>
      </w:r>
      <w:r w:rsidR="00177848" w:rsidRPr="00C6052E">
        <w:t xml:space="preserve"> </w:t>
      </w:r>
      <w:r w:rsidRPr="00C6052E">
        <w:t>for</w:t>
      </w:r>
      <w:r w:rsidR="00177848" w:rsidRPr="00C6052E">
        <w:t xml:space="preserve"> </w:t>
      </w:r>
      <w:r w:rsidRPr="00C6052E">
        <w:t>success</w:t>
      </w:r>
      <w:r w:rsidR="00177848" w:rsidRPr="00C6052E">
        <w:t xml:space="preserve"> </w:t>
      </w:r>
      <w:r w:rsidRPr="00C6052E">
        <w:t>in</w:t>
      </w:r>
      <w:r w:rsidR="00177848" w:rsidRPr="00C6052E">
        <w:t xml:space="preserve"> </w:t>
      </w:r>
      <w:r w:rsidRPr="00C6052E">
        <w:t>employment</w:t>
      </w:r>
      <w:r w:rsidR="00177848" w:rsidRPr="00C6052E">
        <w:t xml:space="preserve"> </w:t>
      </w:r>
      <w:r w:rsidRPr="00C6052E">
        <w:t>and</w:t>
      </w:r>
      <w:r w:rsidR="00177848" w:rsidRPr="00C6052E">
        <w:t xml:space="preserve"> </w:t>
      </w:r>
      <w:r w:rsidRPr="00C6052E">
        <w:t>further</w:t>
      </w:r>
      <w:r w:rsidR="00177848" w:rsidRPr="00C6052E">
        <w:t xml:space="preserve"> </w:t>
      </w:r>
      <w:r w:rsidRPr="00C6052E">
        <w:t>training</w:t>
      </w:r>
      <w:r w:rsidR="00177848" w:rsidRPr="00C6052E">
        <w:t xml:space="preserve"> </w:t>
      </w:r>
      <w:r w:rsidRPr="00C6052E">
        <w:t>or</w:t>
      </w:r>
      <w:r w:rsidR="00177848" w:rsidRPr="00C6052E">
        <w:t xml:space="preserve"> </w:t>
      </w:r>
      <w:r w:rsidRPr="00C6052E">
        <w:t>study.</w:t>
      </w:r>
      <w:r w:rsidR="00177848" w:rsidRPr="00C6052E">
        <w:t xml:space="preserve"> </w:t>
      </w:r>
      <w:r w:rsidRPr="00C6052E">
        <w:t>The</w:t>
      </w:r>
      <w:r w:rsidR="00177848" w:rsidRPr="00C6052E">
        <w:t xml:space="preserve"> </w:t>
      </w:r>
      <w:r w:rsidRPr="00C6052E">
        <w:t>Department</w:t>
      </w:r>
      <w:r w:rsidR="00177848" w:rsidRPr="00C6052E">
        <w:t xml:space="preserve"> </w:t>
      </w:r>
      <w:r w:rsidRPr="00C6052E">
        <w:t>works</w:t>
      </w:r>
      <w:r w:rsidR="00177848" w:rsidRPr="00C6052E">
        <w:t xml:space="preserve"> </w:t>
      </w:r>
      <w:r w:rsidRPr="00C6052E">
        <w:t>with</w:t>
      </w:r>
      <w:r w:rsidR="00177848" w:rsidRPr="00C6052E">
        <w:t xml:space="preserve"> </w:t>
      </w:r>
      <w:r w:rsidRPr="00C6052E">
        <w:t>the</w:t>
      </w:r>
      <w:r w:rsidR="00177848" w:rsidRPr="00C6052E">
        <w:t xml:space="preserve"> </w:t>
      </w:r>
      <w:r w:rsidRPr="00C6052E">
        <w:t>TAFE</w:t>
      </w:r>
      <w:r w:rsidR="00177848" w:rsidRPr="00C6052E">
        <w:t xml:space="preserve"> </w:t>
      </w:r>
      <w:r w:rsidRPr="00C6052E">
        <w:t>and</w:t>
      </w:r>
      <w:r w:rsidR="00177848" w:rsidRPr="00C6052E">
        <w:t xml:space="preserve"> </w:t>
      </w:r>
      <w:r w:rsidRPr="00C6052E">
        <w:t>training</w:t>
      </w:r>
      <w:r w:rsidR="00177848" w:rsidRPr="00C6052E">
        <w:t xml:space="preserve"> </w:t>
      </w:r>
      <w:r w:rsidRPr="00C6052E">
        <w:t>sector</w:t>
      </w:r>
      <w:r w:rsidR="00177848" w:rsidRPr="00C6052E">
        <w:t xml:space="preserve"> </w:t>
      </w:r>
      <w:r w:rsidRPr="00C6052E">
        <w:t>to</w:t>
      </w:r>
      <w:r w:rsidR="00177848" w:rsidRPr="00C6052E">
        <w:t xml:space="preserve"> </w:t>
      </w:r>
      <w:r w:rsidRPr="00C6052E">
        <w:t>deliver</w:t>
      </w:r>
      <w:r w:rsidR="00177848" w:rsidRPr="00C6052E">
        <w:t xml:space="preserve"> </w:t>
      </w:r>
      <w:r w:rsidRPr="00C6052E">
        <w:t>quality</w:t>
      </w:r>
      <w:r w:rsidR="00177848" w:rsidRPr="00C6052E">
        <w:t xml:space="preserve"> </w:t>
      </w:r>
      <w:r w:rsidRPr="00C6052E">
        <w:t>training</w:t>
      </w:r>
      <w:r w:rsidR="00177848" w:rsidRPr="00C6052E">
        <w:t xml:space="preserve"> </w:t>
      </w:r>
      <w:r w:rsidRPr="00C6052E">
        <w:t>that</w:t>
      </w:r>
      <w:r w:rsidR="00177848" w:rsidRPr="00C6052E">
        <w:t xml:space="preserve"> </w:t>
      </w:r>
      <w:r w:rsidRPr="00C6052E">
        <w:t>strongly</w:t>
      </w:r>
      <w:r w:rsidR="00177848" w:rsidRPr="00C6052E">
        <w:t xml:space="preserve"> </w:t>
      </w:r>
      <w:r w:rsidRPr="00C6052E">
        <w:t>supports</w:t>
      </w:r>
      <w:r w:rsidR="00177848" w:rsidRPr="00C6052E">
        <w:t xml:space="preserve"> </w:t>
      </w:r>
      <w:r w:rsidRPr="00C6052E">
        <w:t>industry</w:t>
      </w:r>
      <w:r w:rsidR="00177848" w:rsidRPr="00C6052E">
        <w:t xml:space="preserve"> </w:t>
      </w:r>
      <w:r w:rsidRPr="00C6052E">
        <w:t>to</w:t>
      </w:r>
      <w:r w:rsidR="00177848" w:rsidRPr="00C6052E">
        <w:t xml:space="preserve"> </w:t>
      </w:r>
      <w:r w:rsidRPr="00C6052E">
        <w:t>meet</w:t>
      </w:r>
      <w:r w:rsidR="00177848" w:rsidRPr="00C6052E">
        <w:t xml:space="preserve"> </w:t>
      </w:r>
      <w:r w:rsidRPr="00C6052E">
        <w:t>the</w:t>
      </w:r>
      <w:r w:rsidR="00177848" w:rsidRPr="00C6052E">
        <w:t xml:space="preserve"> </w:t>
      </w:r>
      <w:r w:rsidRPr="00C6052E">
        <w:t>evolving</w:t>
      </w:r>
      <w:r w:rsidR="00177848" w:rsidRPr="00C6052E">
        <w:t xml:space="preserve"> </w:t>
      </w:r>
      <w:r w:rsidRPr="00C6052E">
        <w:t>needs</w:t>
      </w:r>
      <w:r w:rsidR="00177848" w:rsidRPr="00C6052E">
        <w:t xml:space="preserve"> </w:t>
      </w:r>
      <w:r w:rsidRPr="00C6052E">
        <w:t>of</w:t>
      </w:r>
      <w:r w:rsidR="00177848" w:rsidRPr="00C6052E">
        <w:t xml:space="preserve"> </w:t>
      </w:r>
      <w:r w:rsidRPr="00C6052E">
        <w:t>the</w:t>
      </w:r>
      <w:r w:rsidR="00177848" w:rsidRPr="00C6052E">
        <w:t xml:space="preserve"> </w:t>
      </w:r>
      <w:r w:rsidRPr="00C6052E">
        <w:t>economy,</w:t>
      </w:r>
      <w:r w:rsidR="00177848" w:rsidRPr="00C6052E">
        <w:t xml:space="preserve"> </w:t>
      </w:r>
      <w:r w:rsidRPr="00C6052E">
        <w:t>promotes</w:t>
      </w:r>
      <w:r w:rsidR="00177848" w:rsidRPr="00C6052E">
        <w:t xml:space="preserve"> </w:t>
      </w:r>
      <w:r w:rsidRPr="00C6052E">
        <w:t>equity</w:t>
      </w:r>
      <w:r w:rsidR="00177848" w:rsidRPr="00C6052E">
        <w:t xml:space="preserve"> </w:t>
      </w:r>
      <w:r w:rsidRPr="00C6052E">
        <w:t>and</w:t>
      </w:r>
      <w:r w:rsidR="00177848" w:rsidRPr="00C6052E">
        <w:t xml:space="preserve"> </w:t>
      </w:r>
      <w:r w:rsidRPr="00C6052E">
        <w:t>addresses</w:t>
      </w:r>
      <w:r w:rsidR="00177848" w:rsidRPr="00C6052E">
        <w:t xml:space="preserve"> </w:t>
      </w:r>
      <w:r w:rsidRPr="00C6052E">
        <w:t>disadvantage,</w:t>
      </w:r>
      <w:r w:rsidR="00177848" w:rsidRPr="00C6052E">
        <w:t xml:space="preserve"> </w:t>
      </w:r>
      <w:r w:rsidRPr="00C6052E">
        <w:t>with</w:t>
      </w:r>
      <w:r w:rsidR="00177848" w:rsidRPr="00C6052E">
        <w:t xml:space="preserve"> </w:t>
      </w:r>
      <w:r w:rsidRPr="00C6052E">
        <w:t>an</w:t>
      </w:r>
      <w:r w:rsidR="00177848" w:rsidRPr="00C6052E">
        <w:t xml:space="preserve"> </w:t>
      </w:r>
      <w:r w:rsidRPr="00C6052E">
        <w:t>emphasis</w:t>
      </w:r>
      <w:r w:rsidR="00177848" w:rsidRPr="00C6052E">
        <w:t xml:space="preserve"> </w:t>
      </w:r>
      <w:r w:rsidRPr="00C6052E">
        <w:t>on</w:t>
      </w:r>
      <w:r w:rsidR="00177848" w:rsidRPr="00C6052E">
        <w:t xml:space="preserve"> </w:t>
      </w:r>
      <w:r w:rsidRPr="00C6052E">
        <w:t>growth</w:t>
      </w:r>
      <w:r w:rsidR="00177848" w:rsidRPr="00C6052E">
        <w:t xml:space="preserve"> </w:t>
      </w:r>
      <w:r w:rsidRPr="00C6052E">
        <w:t>sectors</w:t>
      </w:r>
      <w:r w:rsidR="00177848" w:rsidRPr="00C6052E">
        <w:t xml:space="preserve"> </w:t>
      </w:r>
      <w:r w:rsidRPr="00C6052E">
        <w:t>of</w:t>
      </w:r>
      <w:r w:rsidR="00177848" w:rsidRPr="00C6052E">
        <w:t xml:space="preserve"> </w:t>
      </w:r>
      <w:r w:rsidRPr="00C6052E">
        <w:t>the</w:t>
      </w:r>
      <w:r w:rsidR="00177848" w:rsidRPr="00C6052E">
        <w:t xml:space="preserve"> </w:t>
      </w:r>
      <w:r w:rsidRPr="00C6052E">
        <w:t>economy.</w:t>
      </w:r>
      <w:r w:rsidR="00177848" w:rsidRPr="00C6052E">
        <w:t xml:space="preserve"> </w:t>
      </w:r>
      <w:r w:rsidRPr="00C6052E">
        <w:t>This</w:t>
      </w:r>
      <w:r w:rsidR="00177848" w:rsidRPr="00C6052E">
        <w:t xml:space="preserve"> </w:t>
      </w:r>
      <w:r w:rsidRPr="00C6052E">
        <w:t>output</w:t>
      </w:r>
      <w:r w:rsidR="00177848" w:rsidRPr="00C6052E">
        <w:t xml:space="preserve"> </w:t>
      </w:r>
      <w:r w:rsidRPr="00C6052E">
        <w:t>includes</w:t>
      </w:r>
      <w:r w:rsidR="00177848" w:rsidRPr="00C6052E">
        <w:t xml:space="preserve"> </w:t>
      </w:r>
      <w:r w:rsidRPr="00C6052E">
        <w:t>the</w:t>
      </w:r>
      <w:r w:rsidR="00177848" w:rsidRPr="00C6052E">
        <w:t xml:space="preserve"> </w:t>
      </w:r>
      <w:r w:rsidRPr="00C6052E">
        <w:t>functions</w:t>
      </w:r>
      <w:r w:rsidR="00177848" w:rsidRPr="00C6052E">
        <w:t xml:space="preserve"> </w:t>
      </w:r>
      <w:r w:rsidRPr="00C6052E">
        <w:t>of</w:t>
      </w:r>
      <w:r w:rsidR="00177848" w:rsidRPr="00C6052E">
        <w:t xml:space="preserve"> </w:t>
      </w:r>
      <w:r w:rsidRPr="00C6052E">
        <w:t>training</w:t>
      </w:r>
      <w:r w:rsidR="00177848" w:rsidRPr="00C6052E">
        <w:t xml:space="preserve"> </w:t>
      </w:r>
      <w:r w:rsidRPr="00C6052E">
        <w:t>system</w:t>
      </w:r>
      <w:r w:rsidR="00177848" w:rsidRPr="00C6052E">
        <w:t xml:space="preserve"> </w:t>
      </w:r>
      <w:r w:rsidRPr="00C6052E">
        <w:t>design,</w:t>
      </w:r>
      <w:r w:rsidR="00177848" w:rsidRPr="00C6052E">
        <w:t xml:space="preserve"> </w:t>
      </w:r>
      <w:r w:rsidRPr="00C6052E">
        <w:t>industry</w:t>
      </w:r>
      <w:r w:rsidR="00177848" w:rsidRPr="00C6052E">
        <w:t xml:space="preserve"> </w:t>
      </w:r>
      <w:r w:rsidRPr="00C6052E">
        <w:t>engagement,</w:t>
      </w:r>
      <w:r w:rsidR="00177848" w:rsidRPr="00C6052E">
        <w:t xml:space="preserve"> </w:t>
      </w:r>
      <w:r w:rsidRPr="00C6052E">
        <w:t>contracting</w:t>
      </w:r>
      <w:r w:rsidR="00177848" w:rsidRPr="00C6052E">
        <w:t xml:space="preserve"> </w:t>
      </w:r>
      <w:r w:rsidRPr="00C6052E">
        <w:t>and</w:t>
      </w:r>
      <w:r w:rsidR="00177848" w:rsidRPr="00C6052E">
        <w:t xml:space="preserve"> </w:t>
      </w:r>
      <w:r w:rsidRPr="00C6052E">
        <w:t>monitoring</w:t>
      </w:r>
      <w:r w:rsidR="00177848" w:rsidRPr="00C6052E">
        <w:t xml:space="preserve"> </w:t>
      </w:r>
      <w:r w:rsidRPr="00C6052E">
        <w:t>of</w:t>
      </w:r>
      <w:r w:rsidR="00177848" w:rsidRPr="00C6052E">
        <w:t xml:space="preserve"> </w:t>
      </w:r>
      <w:r w:rsidRPr="00C6052E">
        <w:t>quality</w:t>
      </w:r>
      <w:r w:rsidR="00177848" w:rsidRPr="00C6052E">
        <w:t xml:space="preserve"> </w:t>
      </w:r>
      <w:r w:rsidRPr="00C6052E">
        <w:t>and</w:t>
      </w:r>
      <w:r w:rsidR="00177848" w:rsidRPr="00C6052E">
        <w:t xml:space="preserve"> </w:t>
      </w:r>
      <w:r w:rsidRPr="00C6052E">
        <w:t>training</w:t>
      </w:r>
      <w:r w:rsidR="00177848" w:rsidRPr="00C6052E">
        <w:t xml:space="preserve"> </w:t>
      </w:r>
      <w:r w:rsidRPr="00C6052E">
        <w:t>services</w:t>
      </w:r>
      <w:r w:rsidR="00177848" w:rsidRPr="00C6052E">
        <w:t xml:space="preserve"> </w:t>
      </w:r>
      <w:r w:rsidRPr="00C6052E">
        <w:t>including</w:t>
      </w:r>
      <w:r w:rsidR="00177848" w:rsidRPr="00C6052E">
        <w:t xml:space="preserve"> </w:t>
      </w:r>
      <w:r w:rsidRPr="00C6052E">
        <w:t>accredited</w:t>
      </w:r>
      <w:r w:rsidR="00177848" w:rsidRPr="00C6052E">
        <w:t xml:space="preserve"> </w:t>
      </w:r>
      <w:r w:rsidRPr="00C6052E">
        <w:t>and</w:t>
      </w:r>
      <w:r w:rsidR="00177848" w:rsidRPr="00C6052E">
        <w:t xml:space="preserve"> </w:t>
      </w:r>
      <w:r w:rsidRPr="00C6052E">
        <w:t>pre</w:t>
      </w:r>
      <w:r w:rsidRPr="00C6052E">
        <w:noBreakHyphen/>
        <w:t>accredited</w:t>
      </w:r>
      <w:r w:rsidR="00177848" w:rsidRPr="00C6052E">
        <w:t xml:space="preserve"> </w:t>
      </w:r>
      <w:r w:rsidRPr="00C6052E">
        <w:t>vocational</w:t>
      </w:r>
      <w:r w:rsidR="00177848" w:rsidRPr="00C6052E">
        <w:t xml:space="preserve"> </w:t>
      </w:r>
      <w:r w:rsidRPr="00C6052E">
        <w:t>education</w:t>
      </w:r>
      <w:r w:rsidR="00177848" w:rsidRPr="00C6052E">
        <w:t xml:space="preserve"> </w:t>
      </w:r>
      <w:r w:rsidRPr="00C6052E">
        <w:t>and</w:t>
      </w:r>
      <w:r w:rsidR="00177848" w:rsidRPr="00C6052E">
        <w:t xml:space="preserve"> </w:t>
      </w:r>
      <w:r w:rsidRPr="00C6052E">
        <w:t>training.</w:t>
      </w:r>
    </w:p>
    <w:p w14:paraId="21A0076A" w14:textId="2E079C2D" w:rsidR="00EE5BB8" w:rsidRPr="00C6052E" w:rsidRDefault="00EE5BB8" w:rsidP="00D52474">
      <w:pPr>
        <w:pStyle w:val="TableHeading"/>
      </w:pPr>
      <w:r w:rsidRPr="00C6052E">
        <w:t>Table</w:t>
      </w:r>
      <w:r w:rsidR="00177848" w:rsidRPr="00C6052E">
        <w:t xml:space="preserve"> </w:t>
      </w:r>
      <w:r w:rsidRPr="00C6052E">
        <w:t>30:</w:t>
      </w:r>
      <w:r w:rsidR="00177848" w:rsidRPr="00C6052E">
        <w:t xml:space="preserve"> </w:t>
      </w:r>
      <w:r w:rsidRPr="00C6052E">
        <w:t>Output</w:t>
      </w:r>
      <w:r w:rsidR="00177848" w:rsidRPr="00C6052E">
        <w:t xml:space="preserve"> </w:t>
      </w:r>
      <w:r w:rsidRPr="00C6052E">
        <w:t>–</w:t>
      </w:r>
      <w:r w:rsidR="00177848" w:rsidRPr="00C6052E">
        <w:t xml:space="preserve"> </w:t>
      </w:r>
      <w:r w:rsidRPr="00C6052E">
        <w:t>Training,</w:t>
      </w:r>
      <w:r w:rsidR="00177848" w:rsidRPr="00C6052E">
        <w:t xml:space="preserve"> </w:t>
      </w:r>
      <w:r w:rsidRPr="00C6052E">
        <w:t>Higher</w:t>
      </w:r>
      <w:r w:rsidR="00177848" w:rsidRPr="00C6052E">
        <w:t xml:space="preserve"> </w:t>
      </w:r>
      <w:r w:rsidRPr="00C6052E">
        <w:t>Education</w:t>
      </w:r>
      <w:r w:rsidR="00177848" w:rsidRPr="00C6052E">
        <w:t xml:space="preserve"> </w:t>
      </w:r>
      <w:r w:rsidRPr="00C6052E">
        <w:t>and</w:t>
      </w:r>
      <w:r w:rsidR="00177848" w:rsidRPr="00C6052E">
        <w:t xml:space="preserve"> </w:t>
      </w:r>
      <w:r w:rsidRPr="00C6052E">
        <w:t>Workforce</w:t>
      </w:r>
      <w:r w:rsidR="00177848" w:rsidRPr="00C6052E">
        <w:t xml:space="preserve"> </w:t>
      </w:r>
      <w:r w:rsidRPr="00C6052E">
        <w:t>Development</w:t>
      </w:r>
    </w:p>
    <w:tbl>
      <w:tblPr>
        <w:tblStyle w:val="TableGrid"/>
        <w:tblW w:w="9747" w:type="dxa"/>
        <w:tblLayout w:type="fixed"/>
        <w:tblLook w:val="04A0" w:firstRow="1" w:lastRow="0" w:firstColumn="1" w:lastColumn="0" w:noHBand="0" w:noVBand="1"/>
      </w:tblPr>
      <w:tblGrid>
        <w:gridCol w:w="4531"/>
        <w:gridCol w:w="1020"/>
        <w:gridCol w:w="1020"/>
        <w:gridCol w:w="1020"/>
        <w:gridCol w:w="1361"/>
        <w:gridCol w:w="795"/>
      </w:tblGrid>
      <w:tr w:rsidR="00EE5BB8" w:rsidRPr="00C6052E" w14:paraId="34B5EF06" w14:textId="77777777" w:rsidTr="00D52474">
        <w:trPr>
          <w:cantSplit/>
          <w:tblHeader/>
        </w:trPr>
        <w:tc>
          <w:tcPr>
            <w:tcW w:w="4531" w:type="dxa"/>
            <w:hideMark/>
          </w:tcPr>
          <w:p w14:paraId="13492F86" w14:textId="31DD0C75" w:rsidR="00EE5BB8" w:rsidRPr="00C6052E" w:rsidRDefault="00EE5BB8" w:rsidP="00D52474">
            <w:pPr>
              <w:pStyle w:val="TableColumnHeading"/>
              <w:rPr>
                <w:lang w:val="en-AU"/>
              </w:rPr>
            </w:pPr>
            <w:bookmarkStart w:id="56" w:name="TableColumnHeadings_38"/>
            <w:bookmarkEnd w:id="56"/>
            <w:r w:rsidRPr="00C6052E">
              <w:rPr>
                <w:lang w:val="en-AU"/>
              </w:rPr>
              <w:t>Performance</w:t>
            </w:r>
            <w:r w:rsidR="00B1545C" w:rsidRPr="00C6052E">
              <w:rPr>
                <w:lang w:val="en-AU"/>
              </w:rPr>
              <w:t xml:space="preserve"> </w:t>
            </w:r>
            <w:r w:rsidRPr="00C6052E">
              <w:rPr>
                <w:lang w:val="en-AU"/>
              </w:rPr>
              <w:t>measures</w:t>
            </w:r>
          </w:p>
        </w:tc>
        <w:tc>
          <w:tcPr>
            <w:tcW w:w="1020" w:type="dxa"/>
            <w:hideMark/>
          </w:tcPr>
          <w:p w14:paraId="79B0DC20" w14:textId="40097675" w:rsidR="00EE5BB8" w:rsidRPr="00C6052E" w:rsidRDefault="00EE5BB8" w:rsidP="00D52474">
            <w:pPr>
              <w:pStyle w:val="TableColumnHeading"/>
              <w:jc w:val="right"/>
              <w:rPr>
                <w:lang w:val="en-AU"/>
              </w:rPr>
            </w:pPr>
            <w:r w:rsidRPr="00C6052E">
              <w:rPr>
                <w:lang w:val="en-AU"/>
              </w:rPr>
              <w:t>Unit</w:t>
            </w:r>
            <w:r w:rsidR="00B1545C" w:rsidRPr="00C6052E">
              <w:rPr>
                <w:lang w:val="en-AU"/>
              </w:rPr>
              <w:t xml:space="preserve"> </w:t>
            </w:r>
            <w:r w:rsidRPr="00C6052E">
              <w:rPr>
                <w:lang w:val="en-AU"/>
              </w:rPr>
              <w:t>of</w:t>
            </w:r>
            <w:r w:rsidR="00177848" w:rsidRPr="00C6052E">
              <w:rPr>
                <w:lang w:val="en-AU"/>
              </w:rPr>
              <w:t xml:space="preserve"> </w:t>
            </w:r>
            <w:r w:rsidRPr="00C6052E">
              <w:rPr>
                <w:lang w:val="en-AU"/>
              </w:rPr>
              <w:t>Measure</w:t>
            </w:r>
          </w:p>
        </w:tc>
        <w:tc>
          <w:tcPr>
            <w:tcW w:w="1020" w:type="dxa"/>
            <w:hideMark/>
          </w:tcPr>
          <w:p w14:paraId="10F9BD86" w14:textId="77777777" w:rsidR="00EE5BB8" w:rsidRPr="00C6052E" w:rsidRDefault="00EE5BB8" w:rsidP="00D52474">
            <w:pPr>
              <w:pStyle w:val="TableColumnHeading"/>
              <w:jc w:val="right"/>
              <w:rPr>
                <w:lang w:val="en-AU"/>
              </w:rPr>
            </w:pPr>
            <w:r w:rsidRPr="00C6052E">
              <w:rPr>
                <w:lang w:val="en-AU"/>
              </w:rPr>
              <w:t>2024–25</w:t>
            </w:r>
            <w:r w:rsidRPr="00C6052E">
              <w:rPr>
                <w:lang w:val="en-AU"/>
              </w:rPr>
              <w:br/>
              <w:t>Actual</w:t>
            </w:r>
          </w:p>
        </w:tc>
        <w:tc>
          <w:tcPr>
            <w:tcW w:w="1020" w:type="dxa"/>
            <w:hideMark/>
          </w:tcPr>
          <w:p w14:paraId="57E887EF" w14:textId="448349EB" w:rsidR="00EE5BB8" w:rsidRPr="00C6052E" w:rsidRDefault="00EE5BB8" w:rsidP="00D52474">
            <w:pPr>
              <w:pStyle w:val="TableColumnHeading"/>
              <w:jc w:val="right"/>
              <w:rPr>
                <w:lang w:val="en-AU"/>
              </w:rPr>
            </w:pPr>
            <w:r w:rsidRPr="00C6052E">
              <w:rPr>
                <w:lang w:val="en-AU"/>
              </w:rPr>
              <w:t>2024–25</w:t>
            </w:r>
            <w:r w:rsidR="00B1545C" w:rsidRPr="00C6052E">
              <w:rPr>
                <w:lang w:val="en-AU"/>
              </w:rPr>
              <w:t xml:space="preserve"> </w:t>
            </w:r>
            <w:r w:rsidRPr="00C6052E">
              <w:rPr>
                <w:lang w:val="en-AU"/>
              </w:rPr>
              <w:t>Target</w:t>
            </w:r>
          </w:p>
        </w:tc>
        <w:tc>
          <w:tcPr>
            <w:tcW w:w="1361" w:type="dxa"/>
            <w:hideMark/>
          </w:tcPr>
          <w:p w14:paraId="0EB3B5E4" w14:textId="4C413057" w:rsidR="00EE5BB8" w:rsidRPr="00C6052E" w:rsidRDefault="00EE5BB8" w:rsidP="00D52474">
            <w:pPr>
              <w:pStyle w:val="TableColumnHeading"/>
              <w:jc w:val="right"/>
              <w:rPr>
                <w:lang w:val="en-AU"/>
              </w:rPr>
            </w:pPr>
            <w:r w:rsidRPr="00C6052E">
              <w:rPr>
                <w:lang w:val="en-AU"/>
              </w:rPr>
              <w:t>Performance</w:t>
            </w:r>
            <w:r w:rsidR="00B1545C" w:rsidRPr="00C6052E">
              <w:rPr>
                <w:lang w:val="en-AU"/>
              </w:rPr>
              <w:t xml:space="preserve"> </w:t>
            </w:r>
            <w:r w:rsidRPr="00C6052E">
              <w:rPr>
                <w:lang w:val="en-AU"/>
              </w:rPr>
              <w:t>variation</w:t>
            </w:r>
            <w:r w:rsidR="00177848" w:rsidRPr="00C6052E">
              <w:rPr>
                <w:lang w:val="en-AU"/>
              </w:rPr>
              <w:t xml:space="preserve"> </w:t>
            </w:r>
            <w:r w:rsidRPr="00C6052E">
              <w:rPr>
                <w:lang w:val="en-AU"/>
              </w:rPr>
              <w:t>(%)</w:t>
            </w:r>
          </w:p>
        </w:tc>
        <w:tc>
          <w:tcPr>
            <w:tcW w:w="795" w:type="dxa"/>
            <w:hideMark/>
          </w:tcPr>
          <w:p w14:paraId="1F55AC0B" w14:textId="77777777" w:rsidR="00EE5BB8" w:rsidRPr="00C6052E" w:rsidRDefault="00EE5BB8" w:rsidP="00D52474">
            <w:pPr>
              <w:pStyle w:val="TableColumnHeading"/>
              <w:jc w:val="right"/>
              <w:rPr>
                <w:lang w:val="en-AU"/>
              </w:rPr>
            </w:pPr>
            <w:r w:rsidRPr="00C6052E">
              <w:rPr>
                <w:lang w:val="en-AU"/>
              </w:rPr>
              <w:t>Result</w:t>
            </w:r>
          </w:p>
        </w:tc>
      </w:tr>
      <w:tr w:rsidR="00D52474" w:rsidRPr="00C6052E" w14:paraId="43EB4290" w14:textId="77777777" w:rsidTr="00D52474">
        <w:trPr>
          <w:cantSplit/>
        </w:trPr>
        <w:tc>
          <w:tcPr>
            <w:tcW w:w="4531" w:type="dxa"/>
          </w:tcPr>
          <w:p w14:paraId="2B8C2C77" w14:textId="44DCB852" w:rsidR="00D52474" w:rsidRPr="00C6052E" w:rsidRDefault="00D52474" w:rsidP="00D52474">
            <w:pPr>
              <w:pStyle w:val="TableHeading"/>
              <w:rPr>
                <w:lang w:val="en-AU"/>
              </w:rPr>
            </w:pPr>
            <w:r w:rsidRPr="00C6052E">
              <w:rPr>
                <w:lang w:val="en-AU"/>
              </w:rPr>
              <w:t>Quantity</w:t>
            </w:r>
          </w:p>
        </w:tc>
        <w:tc>
          <w:tcPr>
            <w:tcW w:w="1020" w:type="dxa"/>
          </w:tcPr>
          <w:p w14:paraId="3B929019" w14:textId="77777777" w:rsidR="00D52474" w:rsidRPr="00C6052E" w:rsidRDefault="00D52474" w:rsidP="00D52474">
            <w:pPr>
              <w:pStyle w:val="TableHeading"/>
              <w:jc w:val="right"/>
              <w:rPr>
                <w:lang w:val="en-AU"/>
              </w:rPr>
            </w:pPr>
          </w:p>
        </w:tc>
        <w:tc>
          <w:tcPr>
            <w:tcW w:w="1020" w:type="dxa"/>
            <w:noWrap/>
          </w:tcPr>
          <w:p w14:paraId="00AED1C6" w14:textId="77777777" w:rsidR="00D52474" w:rsidRPr="00C6052E" w:rsidRDefault="00D52474" w:rsidP="00D52474">
            <w:pPr>
              <w:pStyle w:val="TableHeading"/>
              <w:jc w:val="right"/>
              <w:rPr>
                <w:lang w:val="en-AU"/>
              </w:rPr>
            </w:pPr>
          </w:p>
        </w:tc>
        <w:tc>
          <w:tcPr>
            <w:tcW w:w="1020" w:type="dxa"/>
            <w:noWrap/>
          </w:tcPr>
          <w:p w14:paraId="4DB23F5E" w14:textId="77777777" w:rsidR="00D52474" w:rsidRPr="00C6052E" w:rsidRDefault="00D52474" w:rsidP="00D52474">
            <w:pPr>
              <w:pStyle w:val="TableHeading"/>
              <w:jc w:val="right"/>
              <w:rPr>
                <w:lang w:val="en-AU"/>
              </w:rPr>
            </w:pPr>
          </w:p>
        </w:tc>
        <w:tc>
          <w:tcPr>
            <w:tcW w:w="1361" w:type="dxa"/>
            <w:noWrap/>
          </w:tcPr>
          <w:p w14:paraId="4A35D9F5" w14:textId="77777777" w:rsidR="00D52474" w:rsidRPr="00C6052E" w:rsidRDefault="00D52474" w:rsidP="00D52474">
            <w:pPr>
              <w:pStyle w:val="TableHeading"/>
              <w:jc w:val="right"/>
              <w:rPr>
                <w:lang w:val="en-AU"/>
              </w:rPr>
            </w:pPr>
          </w:p>
        </w:tc>
        <w:tc>
          <w:tcPr>
            <w:tcW w:w="795" w:type="dxa"/>
            <w:noWrap/>
          </w:tcPr>
          <w:p w14:paraId="0EF76506" w14:textId="77777777" w:rsidR="00D52474" w:rsidRPr="00C6052E" w:rsidRDefault="00D52474" w:rsidP="00D52474">
            <w:pPr>
              <w:pStyle w:val="TableHeading"/>
              <w:jc w:val="right"/>
              <w:rPr>
                <w:rStyle w:val="Wingdings"/>
                <w:rFonts w:ascii="Arial" w:hAnsi="Arial"/>
                <w:lang w:val="en-AU"/>
              </w:rPr>
            </w:pPr>
          </w:p>
        </w:tc>
      </w:tr>
      <w:tr w:rsidR="00EE5BB8" w:rsidRPr="00C6052E" w14:paraId="2C68E126" w14:textId="77777777" w:rsidTr="00D52474">
        <w:trPr>
          <w:cantSplit/>
        </w:trPr>
        <w:tc>
          <w:tcPr>
            <w:tcW w:w="4531" w:type="dxa"/>
            <w:hideMark/>
          </w:tcPr>
          <w:p w14:paraId="08AB7AE4" w14:textId="77777777" w:rsidR="00EE5BB8"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enrolments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Free</w:t>
            </w:r>
            <w:r w:rsidR="00177848" w:rsidRPr="00C6052E">
              <w:rPr>
                <w:lang w:val="en-AU"/>
              </w:rPr>
              <w:t xml:space="preserve"> </w:t>
            </w:r>
            <w:r w:rsidRPr="00C6052E">
              <w:rPr>
                <w:lang w:val="en-AU"/>
              </w:rPr>
              <w:t>TAFE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priority</w:t>
            </w:r>
            <w:r w:rsidR="00177848" w:rsidRPr="00C6052E">
              <w:rPr>
                <w:lang w:val="en-AU"/>
              </w:rPr>
              <w:t xml:space="preserve"> </w:t>
            </w:r>
            <w:r w:rsidRPr="00C6052E">
              <w:rPr>
                <w:lang w:val="en-AU"/>
              </w:rPr>
              <w:t>courses</w:t>
            </w:r>
            <w:r w:rsidR="00177848" w:rsidRPr="00C6052E">
              <w:rPr>
                <w:lang w:val="en-AU"/>
              </w:rPr>
              <w:t xml:space="preserve"> </w:t>
            </w:r>
            <w:r w:rsidRPr="00C6052E">
              <w:rPr>
                <w:lang w:val="en-AU"/>
              </w:rPr>
              <w:t>initiative</w:t>
            </w:r>
          </w:p>
          <w:p w14:paraId="6FE2C41B" w14:textId="05E7A9DF" w:rsidR="005D78C4" w:rsidRPr="00C6052E" w:rsidRDefault="005D78C4" w:rsidP="005D78C4">
            <w:pPr>
              <w:pStyle w:val="Tablenotes-indented"/>
              <w:ind w:left="227" w:firstLine="0"/>
              <w:rPr>
                <w:lang w:val="en-AU"/>
              </w:rPr>
            </w:pPr>
            <w:r w:rsidRPr="00C6052E">
              <w:rPr>
                <w:lang w:val="en-AU"/>
              </w:rPr>
              <w:t>Higher result primarily due to the Government expanding eligibility for training in Free TAFE selected pathways.</w:t>
            </w:r>
          </w:p>
        </w:tc>
        <w:tc>
          <w:tcPr>
            <w:tcW w:w="1020" w:type="dxa"/>
            <w:hideMark/>
          </w:tcPr>
          <w:p w14:paraId="698A2662" w14:textId="77777777" w:rsidR="00EE5BB8" w:rsidRPr="00C6052E" w:rsidRDefault="00EE5BB8" w:rsidP="00D52474">
            <w:pPr>
              <w:pStyle w:val="TableCopy"/>
              <w:jc w:val="right"/>
              <w:rPr>
                <w:lang w:val="en-AU"/>
              </w:rPr>
            </w:pPr>
            <w:r w:rsidRPr="00C6052E">
              <w:rPr>
                <w:lang w:val="en-AU"/>
              </w:rPr>
              <w:t>number</w:t>
            </w:r>
          </w:p>
        </w:tc>
        <w:tc>
          <w:tcPr>
            <w:tcW w:w="1020" w:type="dxa"/>
            <w:noWrap/>
            <w:hideMark/>
          </w:tcPr>
          <w:p w14:paraId="73EF7110" w14:textId="77777777" w:rsidR="00EE5BB8" w:rsidRPr="00C6052E" w:rsidRDefault="00EE5BB8" w:rsidP="00D52474">
            <w:pPr>
              <w:pStyle w:val="TableCopy"/>
              <w:jc w:val="right"/>
              <w:rPr>
                <w:lang w:val="en-AU"/>
              </w:rPr>
            </w:pPr>
            <w:r w:rsidRPr="00C6052E">
              <w:rPr>
                <w:lang w:val="en-AU"/>
              </w:rPr>
              <w:t>53,857</w:t>
            </w:r>
          </w:p>
        </w:tc>
        <w:tc>
          <w:tcPr>
            <w:tcW w:w="1020" w:type="dxa"/>
            <w:noWrap/>
            <w:hideMark/>
          </w:tcPr>
          <w:p w14:paraId="43D16F7E" w14:textId="77777777" w:rsidR="00EE5BB8" w:rsidRPr="00C6052E" w:rsidRDefault="00EE5BB8" w:rsidP="00D52474">
            <w:pPr>
              <w:pStyle w:val="TableCopy"/>
              <w:jc w:val="right"/>
              <w:rPr>
                <w:lang w:val="en-AU"/>
              </w:rPr>
            </w:pPr>
            <w:r w:rsidRPr="00C6052E">
              <w:rPr>
                <w:lang w:val="en-AU"/>
              </w:rPr>
              <w:t>50,000</w:t>
            </w:r>
          </w:p>
        </w:tc>
        <w:tc>
          <w:tcPr>
            <w:tcW w:w="1361" w:type="dxa"/>
            <w:noWrap/>
            <w:hideMark/>
          </w:tcPr>
          <w:p w14:paraId="54AF1834" w14:textId="77777777" w:rsidR="00EE5BB8" w:rsidRPr="00C6052E" w:rsidRDefault="00EE5BB8" w:rsidP="00D52474">
            <w:pPr>
              <w:pStyle w:val="TableCopy"/>
              <w:jc w:val="right"/>
              <w:rPr>
                <w:lang w:val="en-AU"/>
              </w:rPr>
            </w:pPr>
            <w:r w:rsidRPr="00C6052E">
              <w:rPr>
                <w:lang w:val="en-AU"/>
              </w:rPr>
              <w:t>7.7%</w:t>
            </w:r>
          </w:p>
        </w:tc>
        <w:tc>
          <w:tcPr>
            <w:tcW w:w="795" w:type="dxa"/>
            <w:noWrap/>
            <w:hideMark/>
          </w:tcPr>
          <w:p w14:paraId="5C405E27" w14:textId="23DF4CEF" w:rsidR="00EE5BB8" w:rsidRPr="00C6052E" w:rsidRDefault="00D52474" w:rsidP="00D52474">
            <w:pPr>
              <w:pStyle w:val="TableCopy"/>
              <w:jc w:val="right"/>
              <w:rPr>
                <w:lang w:val="en-AU"/>
              </w:rPr>
            </w:pPr>
            <w:r w:rsidRPr="00C6052E">
              <w:rPr>
                <w:lang w:val="en-AU"/>
              </w:rPr>
              <w:t>1</w:t>
            </w:r>
          </w:p>
        </w:tc>
      </w:tr>
      <w:tr w:rsidR="00EE5BB8" w:rsidRPr="00C6052E" w14:paraId="6FE66FBA" w14:textId="77777777" w:rsidTr="00D52474">
        <w:trPr>
          <w:cantSplit/>
        </w:trPr>
        <w:tc>
          <w:tcPr>
            <w:tcW w:w="4531" w:type="dxa"/>
            <w:hideMark/>
          </w:tcPr>
          <w:p w14:paraId="17BA8487" w14:textId="77777777" w:rsidR="00EE5BB8"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apprenticeship</w:t>
            </w:r>
            <w:r w:rsidR="00177848" w:rsidRPr="00C6052E">
              <w:rPr>
                <w:lang w:val="en-AU"/>
              </w:rPr>
              <w:t xml:space="preserve"> </w:t>
            </w:r>
            <w:r w:rsidRPr="00C6052E">
              <w:rPr>
                <w:lang w:val="en-AU"/>
              </w:rPr>
              <w:t>course</w:t>
            </w:r>
            <w:r w:rsidR="00177848" w:rsidRPr="00C6052E">
              <w:rPr>
                <w:lang w:val="en-AU"/>
              </w:rPr>
              <w:t xml:space="preserve"> </w:t>
            </w:r>
            <w:r w:rsidRPr="00C6052E">
              <w:rPr>
                <w:lang w:val="en-AU"/>
              </w:rPr>
              <w:t>enrolments</w:t>
            </w:r>
          </w:p>
          <w:p w14:paraId="50FF3C60" w14:textId="7D4332E3" w:rsidR="005D78C4" w:rsidRPr="00C6052E" w:rsidRDefault="005D78C4" w:rsidP="005D78C4">
            <w:pPr>
              <w:pStyle w:val="Tablenotes-indented"/>
              <w:ind w:left="227" w:firstLine="0"/>
              <w:rPr>
                <w:lang w:val="en-AU"/>
              </w:rPr>
            </w:pPr>
            <w:r w:rsidRPr="00C6052E">
              <w:rPr>
                <w:lang w:val="en-AU"/>
              </w:rPr>
              <w:t>Higher result due to high levels of 3rd and 4th year apprentices, reflecting strong apprenticeship commencement numbers in 2021 and 2022 arising from post-COVID-19 recovery and the national Boosting Apprenticeship Commencement initiative which operated from October 2020 to 1 July 2022.</w:t>
            </w:r>
          </w:p>
        </w:tc>
        <w:tc>
          <w:tcPr>
            <w:tcW w:w="1020" w:type="dxa"/>
            <w:hideMark/>
          </w:tcPr>
          <w:p w14:paraId="6ABC1959" w14:textId="77777777" w:rsidR="00EE5BB8" w:rsidRPr="00C6052E" w:rsidRDefault="00EE5BB8" w:rsidP="00D52474">
            <w:pPr>
              <w:pStyle w:val="TableCopy"/>
              <w:jc w:val="right"/>
              <w:rPr>
                <w:lang w:val="en-AU"/>
              </w:rPr>
            </w:pPr>
            <w:r w:rsidRPr="00C6052E">
              <w:rPr>
                <w:lang w:val="en-AU"/>
              </w:rPr>
              <w:t>number</w:t>
            </w:r>
          </w:p>
        </w:tc>
        <w:tc>
          <w:tcPr>
            <w:tcW w:w="1020" w:type="dxa"/>
            <w:noWrap/>
            <w:hideMark/>
          </w:tcPr>
          <w:p w14:paraId="4D254971" w14:textId="77777777" w:rsidR="00EE5BB8" w:rsidRPr="00C6052E" w:rsidRDefault="00EE5BB8" w:rsidP="00D52474">
            <w:pPr>
              <w:pStyle w:val="TableCopy"/>
              <w:jc w:val="right"/>
              <w:rPr>
                <w:lang w:val="en-AU"/>
              </w:rPr>
            </w:pPr>
            <w:r w:rsidRPr="00C6052E">
              <w:rPr>
                <w:lang w:val="en-AU"/>
              </w:rPr>
              <w:t>56,339</w:t>
            </w:r>
          </w:p>
        </w:tc>
        <w:tc>
          <w:tcPr>
            <w:tcW w:w="1020" w:type="dxa"/>
            <w:noWrap/>
            <w:hideMark/>
          </w:tcPr>
          <w:p w14:paraId="2A7F5349" w14:textId="77777777" w:rsidR="00EE5BB8" w:rsidRPr="00C6052E" w:rsidRDefault="00EE5BB8" w:rsidP="00D52474">
            <w:pPr>
              <w:pStyle w:val="TableCopy"/>
              <w:jc w:val="right"/>
              <w:rPr>
                <w:lang w:val="en-AU"/>
              </w:rPr>
            </w:pPr>
            <w:r w:rsidRPr="00C6052E">
              <w:rPr>
                <w:lang w:val="en-AU"/>
              </w:rPr>
              <w:t>49,900</w:t>
            </w:r>
          </w:p>
        </w:tc>
        <w:tc>
          <w:tcPr>
            <w:tcW w:w="1361" w:type="dxa"/>
            <w:noWrap/>
            <w:hideMark/>
          </w:tcPr>
          <w:p w14:paraId="71AAEC30" w14:textId="77777777" w:rsidR="00EE5BB8" w:rsidRPr="00C6052E" w:rsidRDefault="00EE5BB8" w:rsidP="00D52474">
            <w:pPr>
              <w:pStyle w:val="TableCopy"/>
              <w:jc w:val="right"/>
              <w:rPr>
                <w:lang w:val="en-AU"/>
              </w:rPr>
            </w:pPr>
            <w:r w:rsidRPr="00C6052E">
              <w:rPr>
                <w:lang w:val="en-AU"/>
              </w:rPr>
              <w:t>12.9%</w:t>
            </w:r>
          </w:p>
        </w:tc>
        <w:tc>
          <w:tcPr>
            <w:tcW w:w="795" w:type="dxa"/>
            <w:noWrap/>
            <w:hideMark/>
          </w:tcPr>
          <w:p w14:paraId="4533D104" w14:textId="5EB77322" w:rsidR="00EE5BB8" w:rsidRPr="00C6052E" w:rsidRDefault="00D52474" w:rsidP="00D52474">
            <w:pPr>
              <w:pStyle w:val="TableCopy"/>
              <w:jc w:val="right"/>
              <w:rPr>
                <w:lang w:val="en-AU"/>
              </w:rPr>
            </w:pPr>
            <w:r w:rsidRPr="00C6052E">
              <w:rPr>
                <w:lang w:val="en-AU"/>
              </w:rPr>
              <w:t>1</w:t>
            </w:r>
          </w:p>
        </w:tc>
      </w:tr>
      <w:tr w:rsidR="00EE5BB8" w:rsidRPr="00C6052E" w14:paraId="7F342B62" w14:textId="77777777" w:rsidTr="00D52474">
        <w:trPr>
          <w:cantSplit/>
        </w:trPr>
        <w:tc>
          <w:tcPr>
            <w:tcW w:w="4531" w:type="dxa"/>
            <w:hideMark/>
          </w:tcPr>
          <w:p w14:paraId="3800D925" w14:textId="77777777" w:rsidR="00EE5BB8" w:rsidRDefault="00EE5BB8" w:rsidP="0063097D">
            <w:pPr>
              <w:pStyle w:val="TableCopy"/>
              <w:rPr>
                <w:lang w:val="en-AU"/>
              </w:rPr>
            </w:pPr>
            <w:r w:rsidRPr="00C6052E">
              <w:rPr>
                <w:lang w:val="en-AU"/>
              </w:rPr>
              <w:lastRenderedPageBreak/>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course</w:t>
            </w:r>
            <w:r w:rsidR="00177848" w:rsidRPr="00C6052E">
              <w:rPr>
                <w:lang w:val="en-AU"/>
              </w:rPr>
              <w:t xml:space="preserve"> </w:t>
            </w:r>
            <w:r w:rsidRPr="00C6052E">
              <w:rPr>
                <w:lang w:val="en-AU"/>
              </w:rPr>
              <w:t>enrolments</w:t>
            </w:r>
          </w:p>
          <w:p w14:paraId="0A213EEA" w14:textId="43387B61" w:rsidR="005D78C4" w:rsidRPr="00C6052E" w:rsidRDefault="005D78C4" w:rsidP="005D78C4">
            <w:pPr>
              <w:pStyle w:val="Tablenotes-indented"/>
              <w:ind w:left="227" w:firstLine="0"/>
              <w:rPr>
                <w:lang w:val="en-AU"/>
              </w:rPr>
            </w:pPr>
            <w:r w:rsidRPr="00C6052E">
              <w:rPr>
                <w:lang w:val="en-AU"/>
              </w:rPr>
              <w:t xml:space="preserve">Higher result primarily due to more people reskilling </w:t>
            </w:r>
            <w:proofErr w:type="gramStart"/>
            <w:r w:rsidRPr="00C6052E">
              <w:rPr>
                <w:lang w:val="en-AU"/>
              </w:rPr>
              <w:t>as a result of</w:t>
            </w:r>
            <w:proofErr w:type="gramEnd"/>
            <w:r w:rsidRPr="00C6052E">
              <w:rPr>
                <w:lang w:val="en-AU"/>
              </w:rPr>
              <w:t xml:space="preserve"> the Government expanding eligibility for government funded training in 2023.</w:t>
            </w:r>
          </w:p>
        </w:tc>
        <w:tc>
          <w:tcPr>
            <w:tcW w:w="1020" w:type="dxa"/>
            <w:hideMark/>
          </w:tcPr>
          <w:p w14:paraId="387746D0" w14:textId="77777777" w:rsidR="00EE5BB8" w:rsidRPr="00C6052E" w:rsidRDefault="00EE5BB8" w:rsidP="00D52474">
            <w:pPr>
              <w:pStyle w:val="TableCopy"/>
              <w:jc w:val="right"/>
              <w:rPr>
                <w:lang w:val="en-AU"/>
              </w:rPr>
            </w:pPr>
            <w:r w:rsidRPr="00C6052E">
              <w:rPr>
                <w:lang w:val="en-AU"/>
              </w:rPr>
              <w:t>number</w:t>
            </w:r>
          </w:p>
        </w:tc>
        <w:tc>
          <w:tcPr>
            <w:tcW w:w="1020" w:type="dxa"/>
            <w:noWrap/>
            <w:hideMark/>
          </w:tcPr>
          <w:p w14:paraId="52E46F0E" w14:textId="77777777" w:rsidR="00EE5BB8" w:rsidRPr="00C6052E" w:rsidRDefault="00EE5BB8" w:rsidP="00D52474">
            <w:pPr>
              <w:pStyle w:val="TableCopy"/>
              <w:jc w:val="right"/>
              <w:rPr>
                <w:lang w:val="en-AU"/>
              </w:rPr>
            </w:pPr>
            <w:r w:rsidRPr="00C6052E">
              <w:rPr>
                <w:lang w:val="en-AU"/>
              </w:rPr>
              <w:t>341,253</w:t>
            </w:r>
          </w:p>
        </w:tc>
        <w:tc>
          <w:tcPr>
            <w:tcW w:w="1020" w:type="dxa"/>
            <w:noWrap/>
            <w:hideMark/>
          </w:tcPr>
          <w:p w14:paraId="20854F98" w14:textId="77777777" w:rsidR="00EE5BB8" w:rsidRPr="00C6052E" w:rsidRDefault="00EE5BB8" w:rsidP="00D52474">
            <w:pPr>
              <w:pStyle w:val="TableCopy"/>
              <w:jc w:val="right"/>
              <w:rPr>
                <w:lang w:val="en-AU"/>
              </w:rPr>
            </w:pPr>
            <w:r w:rsidRPr="00C6052E">
              <w:rPr>
                <w:lang w:val="en-AU"/>
              </w:rPr>
              <w:t>317,500</w:t>
            </w:r>
          </w:p>
        </w:tc>
        <w:tc>
          <w:tcPr>
            <w:tcW w:w="1361" w:type="dxa"/>
            <w:noWrap/>
            <w:hideMark/>
          </w:tcPr>
          <w:p w14:paraId="354B3616" w14:textId="77777777" w:rsidR="00EE5BB8" w:rsidRPr="00C6052E" w:rsidRDefault="00EE5BB8" w:rsidP="00D52474">
            <w:pPr>
              <w:pStyle w:val="TableCopy"/>
              <w:jc w:val="right"/>
              <w:rPr>
                <w:lang w:val="en-AU"/>
              </w:rPr>
            </w:pPr>
            <w:r w:rsidRPr="00C6052E">
              <w:rPr>
                <w:lang w:val="en-AU"/>
              </w:rPr>
              <w:t>7.5%</w:t>
            </w:r>
          </w:p>
        </w:tc>
        <w:tc>
          <w:tcPr>
            <w:tcW w:w="795" w:type="dxa"/>
            <w:noWrap/>
            <w:hideMark/>
          </w:tcPr>
          <w:p w14:paraId="2166C8DB" w14:textId="7B4DA5AF" w:rsidR="00EE5BB8" w:rsidRPr="00C6052E" w:rsidRDefault="00D52474" w:rsidP="00D52474">
            <w:pPr>
              <w:pStyle w:val="TableCopy"/>
              <w:jc w:val="right"/>
              <w:rPr>
                <w:lang w:val="en-AU"/>
              </w:rPr>
            </w:pPr>
            <w:r w:rsidRPr="00C6052E">
              <w:rPr>
                <w:lang w:val="en-AU"/>
              </w:rPr>
              <w:t>1</w:t>
            </w:r>
          </w:p>
        </w:tc>
      </w:tr>
      <w:tr w:rsidR="00EE5BB8" w:rsidRPr="00C6052E" w14:paraId="679AD75A" w14:textId="77777777" w:rsidTr="00D52474">
        <w:trPr>
          <w:cantSplit/>
        </w:trPr>
        <w:tc>
          <w:tcPr>
            <w:tcW w:w="4531" w:type="dxa"/>
            <w:hideMark/>
          </w:tcPr>
          <w:p w14:paraId="41BD1361" w14:textId="77777777" w:rsidR="00EE5BB8"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course</w:t>
            </w:r>
            <w:r w:rsidR="00177848" w:rsidRPr="00C6052E">
              <w:rPr>
                <w:lang w:val="en-AU"/>
              </w:rPr>
              <w:t xml:space="preserve"> </w:t>
            </w:r>
            <w:r w:rsidRPr="00C6052E">
              <w:rPr>
                <w:lang w:val="en-AU"/>
              </w:rPr>
              <w:t>enrolments</w:t>
            </w:r>
            <w:r w:rsidR="00177848" w:rsidRPr="00C6052E">
              <w:rPr>
                <w:lang w:val="en-AU"/>
              </w:rPr>
              <w:t xml:space="preserve"> </w:t>
            </w:r>
            <w:r w:rsidRPr="00C6052E">
              <w:rPr>
                <w:lang w:val="en-AU"/>
              </w:rPr>
              <w:t>by</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living</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regional</w:t>
            </w:r>
            <w:r w:rsidR="00177848" w:rsidRPr="00C6052E">
              <w:rPr>
                <w:lang w:val="en-AU"/>
              </w:rPr>
              <w:t xml:space="preserve"> </w:t>
            </w:r>
            <w:r w:rsidRPr="00C6052E">
              <w:rPr>
                <w:lang w:val="en-AU"/>
              </w:rPr>
              <w:t>Victoria</w:t>
            </w:r>
          </w:p>
          <w:p w14:paraId="573D4050" w14:textId="59C8AA1B" w:rsidR="005D78C4" w:rsidRPr="00C6052E" w:rsidRDefault="005D78C4" w:rsidP="005D78C4">
            <w:pPr>
              <w:pStyle w:val="Tablenotes-indented"/>
              <w:ind w:left="227" w:firstLine="0"/>
              <w:rPr>
                <w:lang w:val="en-AU"/>
              </w:rPr>
            </w:pPr>
            <w:r w:rsidRPr="00C6052E">
              <w:rPr>
                <w:lang w:val="en-AU"/>
              </w:rPr>
              <w:t xml:space="preserve">Higher result due to more people reskilling </w:t>
            </w:r>
            <w:proofErr w:type="gramStart"/>
            <w:r w:rsidRPr="00C6052E">
              <w:rPr>
                <w:lang w:val="en-AU"/>
              </w:rPr>
              <w:t>as a result of</w:t>
            </w:r>
            <w:proofErr w:type="gramEnd"/>
            <w:r w:rsidRPr="00C6052E">
              <w:rPr>
                <w:lang w:val="en-AU"/>
              </w:rPr>
              <w:t xml:space="preserve"> the Government expanding eligibility for government funded training in 2023.</w:t>
            </w:r>
          </w:p>
        </w:tc>
        <w:tc>
          <w:tcPr>
            <w:tcW w:w="1020" w:type="dxa"/>
            <w:hideMark/>
          </w:tcPr>
          <w:p w14:paraId="63D92FED" w14:textId="77777777" w:rsidR="00EE5BB8" w:rsidRPr="00C6052E" w:rsidRDefault="00EE5BB8" w:rsidP="00D52474">
            <w:pPr>
              <w:pStyle w:val="TableCopy"/>
              <w:jc w:val="right"/>
              <w:rPr>
                <w:lang w:val="en-AU"/>
              </w:rPr>
            </w:pPr>
            <w:r w:rsidRPr="00C6052E">
              <w:rPr>
                <w:lang w:val="en-AU"/>
              </w:rPr>
              <w:t>number</w:t>
            </w:r>
          </w:p>
        </w:tc>
        <w:tc>
          <w:tcPr>
            <w:tcW w:w="1020" w:type="dxa"/>
            <w:noWrap/>
            <w:hideMark/>
          </w:tcPr>
          <w:p w14:paraId="1E108266" w14:textId="77777777" w:rsidR="00EE5BB8" w:rsidRPr="00C6052E" w:rsidRDefault="00EE5BB8" w:rsidP="00D52474">
            <w:pPr>
              <w:pStyle w:val="TableCopy"/>
              <w:jc w:val="right"/>
              <w:rPr>
                <w:lang w:val="en-AU"/>
              </w:rPr>
            </w:pPr>
            <w:r w:rsidRPr="00C6052E">
              <w:rPr>
                <w:lang w:val="en-AU"/>
              </w:rPr>
              <w:t>88,989</w:t>
            </w:r>
          </w:p>
        </w:tc>
        <w:tc>
          <w:tcPr>
            <w:tcW w:w="1020" w:type="dxa"/>
            <w:noWrap/>
            <w:hideMark/>
          </w:tcPr>
          <w:p w14:paraId="7A673AB9" w14:textId="77777777" w:rsidR="00EE5BB8" w:rsidRPr="00C6052E" w:rsidRDefault="00EE5BB8" w:rsidP="00D52474">
            <w:pPr>
              <w:pStyle w:val="TableCopy"/>
              <w:jc w:val="right"/>
              <w:rPr>
                <w:lang w:val="en-AU"/>
              </w:rPr>
            </w:pPr>
            <w:r w:rsidRPr="00C6052E">
              <w:rPr>
                <w:lang w:val="en-AU"/>
              </w:rPr>
              <w:t>81,300</w:t>
            </w:r>
          </w:p>
        </w:tc>
        <w:tc>
          <w:tcPr>
            <w:tcW w:w="1361" w:type="dxa"/>
            <w:noWrap/>
            <w:hideMark/>
          </w:tcPr>
          <w:p w14:paraId="6544C9D5" w14:textId="77777777" w:rsidR="00EE5BB8" w:rsidRPr="00C6052E" w:rsidRDefault="00EE5BB8" w:rsidP="00D52474">
            <w:pPr>
              <w:pStyle w:val="TableCopy"/>
              <w:jc w:val="right"/>
              <w:rPr>
                <w:lang w:val="en-AU"/>
              </w:rPr>
            </w:pPr>
            <w:r w:rsidRPr="00C6052E">
              <w:rPr>
                <w:lang w:val="en-AU"/>
              </w:rPr>
              <w:t>9.5%</w:t>
            </w:r>
          </w:p>
        </w:tc>
        <w:tc>
          <w:tcPr>
            <w:tcW w:w="795" w:type="dxa"/>
            <w:noWrap/>
            <w:hideMark/>
          </w:tcPr>
          <w:p w14:paraId="1AFFEFAF" w14:textId="605D57CE" w:rsidR="00EE5BB8" w:rsidRPr="00C6052E" w:rsidRDefault="00D52474" w:rsidP="00D52474">
            <w:pPr>
              <w:pStyle w:val="TableCopy"/>
              <w:jc w:val="right"/>
              <w:rPr>
                <w:lang w:val="en-AU"/>
              </w:rPr>
            </w:pPr>
            <w:r w:rsidRPr="00C6052E">
              <w:rPr>
                <w:lang w:val="en-AU"/>
              </w:rPr>
              <w:t>1</w:t>
            </w:r>
          </w:p>
        </w:tc>
      </w:tr>
      <w:tr w:rsidR="00EE5BB8" w:rsidRPr="00C6052E" w14:paraId="2E707DC9" w14:textId="77777777" w:rsidTr="00D52474">
        <w:trPr>
          <w:cantSplit/>
        </w:trPr>
        <w:tc>
          <w:tcPr>
            <w:tcW w:w="4531" w:type="dxa"/>
            <w:hideMark/>
          </w:tcPr>
          <w:p w14:paraId="2AA992EB" w14:textId="4912A2DC" w:rsidR="00EE5BB8" w:rsidRPr="00C6052E"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course</w:t>
            </w:r>
            <w:r w:rsidR="00177848" w:rsidRPr="00C6052E">
              <w:rPr>
                <w:lang w:val="en-AU"/>
              </w:rPr>
              <w:t xml:space="preserve"> </w:t>
            </w:r>
            <w:r w:rsidRPr="00C6052E">
              <w:rPr>
                <w:lang w:val="en-AU"/>
              </w:rPr>
              <w:t>enrolments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TAFE</w:t>
            </w:r>
            <w:r w:rsidR="00177848" w:rsidRPr="00C6052E">
              <w:rPr>
                <w:lang w:val="en-AU"/>
              </w:rPr>
              <w:t xml:space="preserve"> </w:t>
            </w:r>
            <w:r w:rsidRPr="00C6052E">
              <w:rPr>
                <w:lang w:val="en-AU"/>
              </w:rPr>
              <w:t>Network</w:t>
            </w:r>
          </w:p>
        </w:tc>
        <w:tc>
          <w:tcPr>
            <w:tcW w:w="1020" w:type="dxa"/>
            <w:hideMark/>
          </w:tcPr>
          <w:p w14:paraId="4675F825" w14:textId="77777777" w:rsidR="00EE5BB8" w:rsidRPr="00C6052E" w:rsidRDefault="00EE5BB8" w:rsidP="00D52474">
            <w:pPr>
              <w:pStyle w:val="TableCopy"/>
              <w:jc w:val="right"/>
              <w:rPr>
                <w:lang w:val="en-AU"/>
              </w:rPr>
            </w:pPr>
            <w:r w:rsidRPr="00C6052E">
              <w:rPr>
                <w:lang w:val="en-AU"/>
              </w:rPr>
              <w:t>number</w:t>
            </w:r>
          </w:p>
        </w:tc>
        <w:tc>
          <w:tcPr>
            <w:tcW w:w="1020" w:type="dxa"/>
            <w:noWrap/>
            <w:hideMark/>
          </w:tcPr>
          <w:p w14:paraId="36BD74D0" w14:textId="77777777" w:rsidR="00EE5BB8" w:rsidRPr="00C6052E" w:rsidRDefault="00EE5BB8" w:rsidP="00D52474">
            <w:pPr>
              <w:pStyle w:val="TableCopy"/>
              <w:jc w:val="right"/>
              <w:rPr>
                <w:lang w:val="en-AU"/>
              </w:rPr>
            </w:pPr>
            <w:r w:rsidRPr="00C6052E">
              <w:rPr>
                <w:lang w:val="en-AU"/>
              </w:rPr>
              <w:t>147,538</w:t>
            </w:r>
          </w:p>
        </w:tc>
        <w:tc>
          <w:tcPr>
            <w:tcW w:w="1020" w:type="dxa"/>
            <w:noWrap/>
            <w:hideMark/>
          </w:tcPr>
          <w:p w14:paraId="1D373372" w14:textId="77777777" w:rsidR="00EE5BB8" w:rsidRPr="00C6052E" w:rsidRDefault="00EE5BB8" w:rsidP="00D52474">
            <w:pPr>
              <w:pStyle w:val="TableCopy"/>
              <w:jc w:val="right"/>
              <w:rPr>
                <w:lang w:val="en-AU"/>
              </w:rPr>
            </w:pPr>
            <w:r w:rsidRPr="00C6052E">
              <w:rPr>
                <w:lang w:val="en-AU"/>
              </w:rPr>
              <w:t>145,000</w:t>
            </w:r>
          </w:p>
        </w:tc>
        <w:tc>
          <w:tcPr>
            <w:tcW w:w="1361" w:type="dxa"/>
            <w:noWrap/>
            <w:hideMark/>
          </w:tcPr>
          <w:p w14:paraId="69BD54C2" w14:textId="77777777" w:rsidR="00EE5BB8" w:rsidRPr="00C6052E" w:rsidRDefault="00EE5BB8" w:rsidP="00D52474">
            <w:pPr>
              <w:pStyle w:val="TableCopy"/>
              <w:jc w:val="right"/>
              <w:rPr>
                <w:lang w:val="en-AU"/>
              </w:rPr>
            </w:pPr>
            <w:r w:rsidRPr="00C6052E">
              <w:rPr>
                <w:lang w:val="en-AU"/>
              </w:rPr>
              <w:t>1.8%</w:t>
            </w:r>
          </w:p>
        </w:tc>
        <w:tc>
          <w:tcPr>
            <w:tcW w:w="795" w:type="dxa"/>
            <w:noWrap/>
            <w:hideMark/>
          </w:tcPr>
          <w:p w14:paraId="1F698719" w14:textId="36F7E15A" w:rsidR="00EE5BB8" w:rsidRPr="00C6052E" w:rsidRDefault="00D52474" w:rsidP="00D52474">
            <w:pPr>
              <w:pStyle w:val="TableCopy"/>
              <w:jc w:val="right"/>
              <w:rPr>
                <w:lang w:val="en-AU"/>
              </w:rPr>
            </w:pPr>
            <w:r w:rsidRPr="00C6052E">
              <w:rPr>
                <w:lang w:val="en-AU"/>
              </w:rPr>
              <w:t>1</w:t>
            </w:r>
          </w:p>
        </w:tc>
      </w:tr>
      <w:tr w:rsidR="00EE5BB8" w:rsidRPr="00C6052E" w14:paraId="6F98A1E7" w14:textId="77777777" w:rsidTr="00D52474">
        <w:trPr>
          <w:cantSplit/>
        </w:trPr>
        <w:tc>
          <w:tcPr>
            <w:tcW w:w="4531" w:type="dxa"/>
            <w:hideMark/>
          </w:tcPr>
          <w:p w14:paraId="6D5071B9" w14:textId="77777777" w:rsidR="00EE5BB8"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foundation</w:t>
            </w:r>
            <w:r w:rsidR="00177848" w:rsidRPr="00C6052E">
              <w:rPr>
                <w:lang w:val="en-AU"/>
              </w:rPr>
              <w:t xml:space="preserve"> </w:t>
            </w:r>
            <w:r w:rsidRPr="00C6052E">
              <w:rPr>
                <w:lang w:val="en-AU"/>
              </w:rPr>
              <w:t>module</w:t>
            </w:r>
            <w:r w:rsidR="00177848" w:rsidRPr="00C6052E">
              <w:rPr>
                <w:lang w:val="en-AU"/>
              </w:rPr>
              <w:t xml:space="preserve"> </w:t>
            </w:r>
            <w:r w:rsidRPr="00C6052E">
              <w:rPr>
                <w:lang w:val="en-AU"/>
              </w:rPr>
              <w:t>enrolments</w:t>
            </w:r>
          </w:p>
          <w:p w14:paraId="2C96483C" w14:textId="63F807AE" w:rsidR="005D78C4" w:rsidRPr="00C6052E" w:rsidRDefault="005D78C4" w:rsidP="005D78C4">
            <w:pPr>
              <w:pStyle w:val="Tablenotes-indented"/>
              <w:ind w:left="227" w:firstLine="0"/>
              <w:rPr>
                <w:lang w:val="en-AU"/>
              </w:rPr>
            </w:pPr>
            <w:r w:rsidRPr="00C6052E">
              <w:rPr>
                <w:lang w:val="en-AU"/>
              </w:rPr>
              <w:t xml:space="preserve">No target as this measure was proposed to be </w:t>
            </w:r>
            <w:proofErr w:type="gramStart"/>
            <w:r w:rsidRPr="00C6052E">
              <w:rPr>
                <w:lang w:val="en-AU"/>
              </w:rPr>
              <w:t>discontinued, but</w:t>
            </w:r>
            <w:proofErr w:type="gramEnd"/>
            <w:r w:rsidRPr="00C6052E">
              <w:rPr>
                <w:lang w:val="en-AU"/>
              </w:rPr>
              <w:t xml:space="preserve"> reinstated due to a PAEC recommendation.</w:t>
            </w:r>
          </w:p>
        </w:tc>
        <w:tc>
          <w:tcPr>
            <w:tcW w:w="1020" w:type="dxa"/>
            <w:hideMark/>
          </w:tcPr>
          <w:p w14:paraId="1C5DF2D3" w14:textId="77777777" w:rsidR="00EE5BB8" w:rsidRPr="00C6052E" w:rsidRDefault="00EE5BB8" w:rsidP="00D52474">
            <w:pPr>
              <w:pStyle w:val="TableCopy"/>
              <w:jc w:val="right"/>
              <w:rPr>
                <w:lang w:val="en-AU"/>
              </w:rPr>
            </w:pPr>
            <w:r w:rsidRPr="00C6052E">
              <w:rPr>
                <w:lang w:val="en-AU"/>
              </w:rPr>
              <w:t>number</w:t>
            </w:r>
          </w:p>
        </w:tc>
        <w:tc>
          <w:tcPr>
            <w:tcW w:w="1020" w:type="dxa"/>
            <w:noWrap/>
            <w:hideMark/>
          </w:tcPr>
          <w:p w14:paraId="5B395800" w14:textId="77777777" w:rsidR="00EE5BB8" w:rsidRPr="00C6052E" w:rsidRDefault="00EE5BB8" w:rsidP="00D52474">
            <w:pPr>
              <w:pStyle w:val="TableCopy"/>
              <w:jc w:val="right"/>
              <w:rPr>
                <w:lang w:val="en-AU"/>
              </w:rPr>
            </w:pPr>
            <w:r w:rsidRPr="00C6052E">
              <w:rPr>
                <w:lang w:val="en-AU"/>
              </w:rPr>
              <w:t>157,263</w:t>
            </w:r>
          </w:p>
        </w:tc>
        <w:tc>
          <w:tcPr>
            <w:tcW w:w="1020" w:type="dxa"/>
            <w:noWrap/>
            <w:hideMark/>
          </w:tcPr>
          <w:p w14:paraId="41F1DF8D" w14:textId="77777777" w:rsidR="00EE5BB8" w:rsidRPr="00C6052E" w:rsidRDefault="00EE5BB8" w:rsidP="00D52474">
            <w:pPr>
              <w:pStyle w:val="TableCopy"/>
              <w:jc w:val="right"/>
              <w:rPr>
                <w:lang w:val="en-AU"/>
              </w:rPr>
            </w:pPr>
            <w:r w:rsidRPr="00C6052E">
              <w:rPr>
                <w:lang w:val="en-AU"/>
              </w:rPr>
              <w:t>N/A</w:t>
            </w:r>
          </w:p>
        </w:tc>
        <w:tc>
          <w:tcPr>
            <w:tcW w:w="1361" w:type="dxa"/>
            <w:noWrap/>
            <w:hideMark/>
          </w:tcPr>
          <w:p w14:paraId="7719FF1C" w14:textId="77777777" w:rsidR="00EE5BB8" w:rsidRPr="00C6052E" w:rsidRDefault="00EE5BB8" w:rsidP="00D52474">
            <w:pPr>
              <w:pStyle w:val="TableCopy"/>
              <w:jc w:val="right"/>
              <w:rPr>
                <w:lang w:val="en-AU"/>
              </w:rPr>
            </w:pPr>
            <w:r w:rsidRPr="00C6052E">
              <w:rPr>
                <w:lang w:val="en-AU"/>
              </w:rPr>
              <w:t>N/A</w:t>
            </w:r>
          </w:p>
        </w:tc>
        <w:tc>
          <w:tcPr>
            <w:tcW w:w="795" w:type="dxa"/>
            <w:noWrap/>
            <w:hideMark/>
          </w:tcPr>
          <w:p w14:paraId="3B5CBBAD" w14:textId="77777777" w:rsidR="00EE5BB8" w:rsidRPr="00C6052E" w:rsidRDefault="00EE5BB8" w:rsidP="00D52474">
            <w:pPr>
              <w:pStyle w:val="TableCopy"/>
              <w:jc w:val="right"/>
              <w:rPr>
                <w:lang w:val="en-AU"/>
              </w:rPr>
            </w:pPr>
            <w:r w:rsidRPr="00C6052E">
              <w:rPr>
                <w:lang w:val="en-AU"/>
              </w:rPr>
              <w:t>N/A</w:t>
            </w:r>
          </w:p>
        </w:tc>
      </w:tr>
      <w:tr w:rsidR="00EE5BB8" w:rsidRPr="00C6052E" w14:paraId="4D016522" w14:textId="77777777" w:rsidTr="00D52474">
        <w:trPr>
          <w:cantSplit/>
        </w:trPr>
        <w:tc>
          <w:tcPr>
            <w:tcW w:w="4531" w:type="dxa"/>
            <w:hideMark/>
          </w:tcPr>
          <w:p w14:paraId="13EA5528" w14:textId="77777777" w:rsidR="00EE5BB8"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proofErr w:type="gramStart"/>
            <w:r w:rsidRPr="00C6052E">
              <w:rPr>
                <w:lang w:val="en-AU"/>
              </w:rPr>
              <w:t>government</w:t>
            </w:r>
            <w:proofErr w:type="gramEnd"/>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pre-accredited</w:t>
            </w:r>
            <w:r w:rsidR="00177848" w:rsidRPr="00C6052E">
              <w:rPr>
                <w:lang w:val="en-AU"/>
              </w:rPr>
              <w:t xml:space="preserve"> </w:t>
            </w:r>
            <w:r w:rsidRPr="00C6052E">
              <w:rPr>
                <w:lang w:val="en-AU"/>
              </w:rPr>
              <w:t>training</w:t>
            </w:r>
            <w:r w:rsidR="00177848" w:rsidRPr="00C6052E">
              <w:rPr>
                <w:lang w:val="en-AU"/>
              </w:rPr>
              <w:t xml:space="preserve"> </w:t>
            </w:r>
            <w:r w:rsidRPr="00C6052E">
              <w:rPr>
                <w:lang w:val="en-AU"/>
              </w:rPr>
              <w:t>hours</w:t>
            </w:r>
            <w:r w:rsidR="00177848" w:rsidRPr="00C6052E">
              <w:rPr>
                <w:lang w:val="en-AU"/>
              </w:rPr>
              <w:t xml:space="preserve"> </w:t>
            </w:r>
            <w:r w:rsidRPr="00C6052E">
              <w:rPr>
                <w:lang w:val="en-AU"/>
              </w:rPr>
              <w:t>funded</w:t>
            </w:r>
            <w:r w:rsidR="00177848" w:rsidRPr="00C6052E">
              <w:rPr>
                <w:lang w:val="en-AU"/>
              </w:rPr>
              <w:t xml:space="preserve"> </w:t>
            </w:r>
            <w:r w:rsidRPr="00C6052E">
              <w:rPr>
                <w:lang w:val="en-AU"/>
              </w:rPr>
              <w:t>through</w:t>
            </w:r>
            <w:r w:rsidR="00177848" w:rsidRPr="00C6052E">
              <w:rPr>
                <w:lang w:val="en-AU"/>
              </w:rPr>
              <w:t xml:space="preserve"> </w:t>
            </w:r>
            <w:r w:rsidRPr="00C6052E">
              <w:rPr>
                <w:lang w:val="en-AU"/>
              </w:rPr>
              <w:t>the</w:t>
            </w:r>
            <w:r w:rsidR="00177848" w:rsidRPr="00C6052E">
              <w:rPr>
                <w:lang w:val="en-AU"/>
              </w:rPr>
              <w:t xml:space="preserve"> </w:t>
            </w:r>
            <w:r w:rsidRPr="00C6052E">
              <w:rPr>
                <w:lang w:val="en-AU"/>
              </w:rPr>
              <w:t>Adult</w:t>
            </w:r>
            <w:r w:rsidR="00177848" w:rsidRPr="00C6052E">
              <w:rPr>
                <w:lang w:val="en-AU"/>
              </w:rPr>
              <w:t xml:space="preserve"> </w:t>
            </w:r>
            <w:r w:rsidRPr="00C6052E">
              <w:rPr>
                <w:lang w:val="en-AU"/>
              </w:rPr>
              <w:t>Community</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Further</w:t>
            </w:r>
            <w:r w:rsidR="00177848" w:rsidRPr="00C6052E">
              <w:rPr>
                <w:lang w:val="en-AU"/>
              </w:rPr>
              <w:t xml:space="preserve"> </w:t>
            </w:r>
            <w:r w:rsidRPr="00C6052E">
              <w:rPr>
                <w:lang w:val="en-AU"/>
              </w:rPr>
              <w:t>Education</w:t>
            </w:r>
            <w:r w:rsidR="00177848" w:rsidRPr="00C6052E">
              <w:rPr>
                <w:lang w:val="en-AU"/>
              </w:rPr>
              <w:t xml:space="preserve"> </w:t>
            </w:r>
            <w:r w:rsidRPr="00C6052E">
              <w:rPr>
                <w:lang w:val="en-AU"/>
              </w:rPr>
              <w:t>(ACFE)</w:t>
            </w:r>
            <w:r w:rsidR="00177848" w:rsidRPr="00C6052E">
              <w:rPr>
                <w:lang w:val="en-AU"/>
              </w:rPr>
              <w:t xml:space="preserve"> </w:t>
            </w:r>
            <w:r w:rsidRPr="00C6052E">
              <w:rPr>
                <w:lang w:val="en-AU"/>
              </w:rPr>
              <w:t>Board</w:t>
            </w:r>
          </w:p>
          <w:p w14:paraId="6B7D523F" w14:textId="0BC93F90" w:rsidR="005D78C4" w:rsidRPr="00C6052E" w:rsidRDefault="005D78C4" w:rsidP="005D78C4">
            <w:pPr>
              <w:pStyle w:val="Tablenotes-indented"/>
              <w:ind w:left="227" w:firstLine="0"/>
              <w:rPr>
                <w:lang w:val="en-AU"/>
              </w:rPr>
            </w:pPr>
            <w:r w:rsidRPr="00C6052E">
              <w:rPr>
                <w:lang w:val="en-AU"/>
              </w:rPr>
              <w:t>Higher result due to additional funding being provided for the extension of the digital skills program.</w:t>
            </w:r>
          </w:p>
        </w:tc>
        <w:tc>
          <w:tcPr>
            <w:tcW w:w="1020" w:type="dxa"/>
            <w:hideMark/>
          </w:tcPr>
          <w:p w14:paraId="41C92DE7" w14:textId="77777777" w:rsidR="00EE5BB8" w:rsidRPr="00C6052E" w:rsidRDefault="00EE5BB8" w:rsidP="00D52474">
            <w:pPr>
              <w:pStyle w:val="TableCopy"/>
              <w:jc w:val="right"/>
              <w:rPr>
                <w:lang w:val="en-AU"/>
              </w:rPr>
            </w:pPr>
            <w:r w:rsidRPr="00C6052E">
              <w:rPr>
                <w:lang w:val="en-AU"/>
              </w:rPr>
              <w:t>number</w:t>
            </w:r>
          </w:p>
        </w:tc>
        <w:tc>
          <w:tcPr>
            <w:tcW w:w="1020" w:type="dxa"/>
            <w:noWrap/>
            <w:hideMark/>
          </w:tcPr>
          <w:p w14:paraId="5DF2C9DD" w14:textId="77777777" w:rsidR="00EE5BB8" w:rsidRPr="00C6052E" w:rsidRDefault="00EE5BB8" w:rsidP="00D52474">
            <w:pPr>
              <w:pStyle w:val="TableCopy"/>
              <w:jc w:val="right"/>
              <w:rPr>
                <w:lang w:val="en-AU"/>
              </w:rPr>
            </w:pPr>
            <w:r w:rsidRPr="00C6052E">
              <w:rPr>
                <w:lang w:val="en-AU"/>
              </w:rPr>
              <w:t>2,211,013</w:t>
            </w:r>
          </w:p>
        </w:tc>
        <w:tc>
          <w:tcPr>
            <w:tcW w:w="1020" w:type="dxa"/>
            <w:noWrap/>
            <w:hideMark/>
          </w:tcPr>
          <w:p w14:paraId="4637000C" w14:textId="77777777" w:rsidR="00EE5BB8" w:rsidRPr="00C6052E" w:rsidRDefault="00EE5BB8" w:rsidP="00D52474">
            <w:pPr>
              <w:pStyle w:val="TableCopy"/>
              <w:jc w:val="right"/>
              <w:rPr>
                <w:lang w:val="en-AU"/>
              </w:rPr>
            </w:pPr>
            <w:r w:rsidRPr="00C6052E">
              <w:rPr>
                <w:lang w:val="en-AU"/>
              </w:rPr>
              <w:t>1,966,900</w:t>
            </w:r>
          </w:p>
        </w:tc>
        <w:tc>
          <w:tcPr>
            <w:tcW w:w="1361" w:type="dxa"/>
            <w:noWrap/>
            <w:hideMark/>
          </w:tcPr>
          <w:p w14:paraId="4709A141" w14:textId="77777777" w:rsidR="00EE5BB8" w:rsidRPr="00C6052E" w:rsidRDefault="00EE5BB8" w:rsidP="00D52474">
            <w:pPr>
              <w:pStyle w:val="TableCopy"/>
              <w:jc w:val="right"/>
              <w:rPr>
                <w:lang w:val="en-AU"/>
              </w:rPr>
            </w:pPr>
            <w:r w:rsidRPr="00C6052E">
              <w:rPr>
                <w:lang w:val="en-AU"/>
              </w:rPr>
              <w:t>12.4%</w:t>
            </w:r>
          </w:p>
        </w:tc>
        <w:tc>
          <w:tcPr>
            <w:tcW w:w="795" w:type="dxa"/>
            <w:noWrap/>
            <w:hideMark/>
          </w:tcPr>
          <w:p w14:paraId="577C0CBC" w14:textId="6B4753F8" w:rsidR="00EE5BB8" w:rsidRPr="00C6052E" w:rsidRDefault="00D52474" w:rsidP="00D52474">
            <w:pPr>
              <w:pStyle w:val="TableCopy"/>
              <w:jc w:val="right"/>
              <w:rPr>
                <w:lang w:val="en-AU"/>
              </w:rPr>
            </w:pPr>
            <w:r w:rsidRPr="00C6052E">
              <w:rPr>
                <w:lang w:val="en-AU"/>
              </w:rPr>
              <w:t>1</w:t>
            </w:r>
          </w:p>
        </w:tc>
      </w:tr>
      <w:tr w:rsidR="00EE5BB8" w:rsidRPr="00C6052E" w14:paraId="57CCB218" w14:textId="77777777" w:rsidTr="00D52474">
        <w:trPr>
          <w:cantSplit/>
        </w:trPr>
        <w:tc>
          <w:tcPr>
            <w:tcW w:w="4531" w:type="dxa"/>
            <w:hideMark/>
          </w:tcPr>
          <w:p w14:paraId="624C9D73" w14:textId="77777777" w:rsidR="00EE5BB8" w:rsidRDefault="00EE5BB8" w:rsidP="0063097D">
            <w:pPr>
              <w:pStyle w:val="TableCopy"/>
              <w:rPr>
                <w:lang w:val="en-AU"/>
              </w:rPr>
            </w:pPr>
            <w:r w:rsidRPr="00C6052E">
              <w:rPr>
                <w:lang w:val="en-AU"/>
              </w:rPr>
              <w:t>Number</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students</w:t>
            </w:r>
            <w:r w:rsidR="00177848" w:rsidRPr="00C6052E">
              <w:rPr>
                <w:lang w:val="en-AU"/>
              </w:rPr>
              <w:t xml:space="preserve"> </w:t>
            </w:r>
            <w:r w:rsidRPr="00C6052E">
              <w:rPr>
                <w:lang w:val="en-AU"/>
              </w:rPr>
              <w:t>without</w:t>
            </w:r>
            <w:r w:rsidR="00177848" w:rsidRPr="00C6052E">
              <w:rPr>
                <w:lang w:val="en-AU"/>
              </w:rPr>
              <w:t xml:space="preserve"> </w:t>
            </w:r>
            <w:r w:rsidRPr="00C6052E">
              <w:rPr>
                <w:lang w:val="en-AU"/>
              </w:rPr>
              <w:t>Year</w:t>
            </w:r>
            <w:r w:rsidR="00177848" w:rsidRPr="00C6052E">
              <w:rPr>
                <w:lang w:val="en-AU"/>
              </w:rPr>
              <w:t xml:space="preserve"> </w:t>
            </w:r>
            <w:r w:rsidRPr="00C6052E">
              <w:rPr>
                <w:lang w:val="en-AU"/>
              </w:rPr>
              <w:t>12,</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Certificate</w:t>
            </w:r>
            <w:r w:rsidR="00177848" w:rsidRPr="00C6052E">
              <w:rPr>
                <w:lang w:val="en-AU"/>
              </w:rPr>
              <w:t xml:space="preserve"> </w:t>
            </w:r>
            <w:r w:rsidRPr="00C6052E">
              <w:rPr>
                <w:lang w:val="en-AU"/>
              </w:rPr>
              <w:t>II</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above,</w:t>
            </w:r>
            <w:r w:rsidR="00177848" w:rsidRPr="00C6052E">
              <w:rPr>
                <w:lang w:val="en-AU"/>
              </w:rPr>
              <w:t xml:space="preserve"> </w:t>
            </w:r>
            <w:r w:rsidRPr="00C6052E">
              <w:rPr>
                <w:lang w:val="en-AU"/>
              </w:rPr>
              <w:t>enrolled</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a</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course</w:t>
            </w:r>
            <w:r w:rsidR="00177848" w:rsidRPr="00C6052E">
              <w:rPr>
                <w:lang w:val="en-AU"/>
              </w:rPr>
              <w:t xml:space="preserve"> </w:t>
            </w:r>
            <w:r w:rsidRPr="00C6052E">
              <w:rPr>
                <w:lang w:val="en-AU"/>
              </w:rPr>
              <w:t>at</w:t>
            </w:r>
            <w:r w:rsidR="00177848" w:rsidRPr="00C6052E">
              <w:rPr>
                <w:lang w:val="en-AU"/>
              </w:rPr>
              <w:t xml:space="preserve"> </w:t>
            </w:r>
            <w:r w:rsidRPr="00C6052E">
              <w:rPr>
                <w:lang w:val="en-AU"/>
              </w:rPr>
              <w:t>Certificate</w:t>
            </w:r>
            <w:r w:rsidR="00177848" w:rsidRPr="00C6052E">
              <w:rPr>
                <w:lang w:val="en-AU"/>
              </w:rPr>
              <w:t xml:space="preserve"> </w:t>
            </w:r>
            <w:r w:rsidRPr="00C6052E">
              <w:rPr>
                <w:lang w:val="en-AU"/>
              </w:rPr>
              <w:t>III</w:t>
            </w:r>
            <w:r w:rsidR="00177848" w:rsidRPr="00C6052E">
              <w:rPr>
                <w:lang w:val="en-AU"/>
              </w:rPr>
              <w:t xml:space="preserve"> </w:t>
            </w:r>
            <w:r w:rsidRPr="00C6052E">
              <w:rPr>
                <w:lang w:val="en-AU"/>
              </w:rPr>
              <w:t>or</w:t>
            </w:r>
            <w:r w:rsidR="00177848" w:rsidRPr="00C6052E">
              <w:rPr>
                <w:lang w:val="en-AU"/>
              </w:rPr>
              <w:t xml:space="preserve"> </w:t>
            </w:r>
            <w:r w:rsidRPr="00C6052E">
              <w:rPr>
                <w:lang w:val="en-AU"/>
              </w:rPr>
              <w:t>above</w:t>
            </w:r>
          </w:p>
          <w:p w14:paraId="76A50664" w14:textId="760C404A" w:rsidR="005D78C4" w:rsidRPr="00C6052E" w:rsidRDefault="005D78C4" w:rsidP="005D78C4">
            <w:pPr>
              <w:pStyle w:val="Tablenotes-indented"/>
              <w:ind w:left="227" w:firstLine="0"/>
              <w:rPr>
                <w:lang w:val="en-AU"/>
              </w:rPr>
            </w:pPr>
            <w:r w:rsidRPr="00C6052E">
              <w:rPr>
                <w:lang w:val="en-AU"/>
              </w:rPr>
              <w:t>Lower result due to a strong labour market drawing more young people without a Year 12 qualification directly into the workforce.</w:t>
            </w:r>
          </w:p>
        </w:tc>
        <w:tc>
          <w:tcPr>
            <w:tcW w:w="1020" w:type="dxa"/>
            <w:hideMark/>
          </w:tcPr>
          <w:p w14:paraId="33F32908" w14:textId="77777777" w:rsidR="00EE5BB8" w:rsidRPr="00C6052E" w:rsidRDefault="00EE5BB8" w:rsidP="00D52474">
            <w:pPr>
              <w:pStyle w:val="TableCopy"/>
              <w:jc w:val="right"/>
              <w:rPr>
                <w:lang w:val="en-AU"/>
              </w:rPr>
            </w:pPr>
            <w:r w:rsidRPr="00C6052E">
              <w:rPr>
                <w:lang w:val="en-AU"/>
              </w:rPr>
              <w:t>number</w:t>
            </w:r>
          </w:p>
        </w:tc>
        <w:tc>
          <w:tcPr>
            <w:tcW w:w="1020" w:type="dxa"/>
            <w:noWrap/>
            <w:hideMark/>
          </w:tcPr>
          <w:p w14:paraId="1279F7BE" w14:textId="77777777" w:rsidR="00EE5BB8" w:rsidRPr="00C6052E" w:rsidRDefault="00EE5BB8" w:rsidP="00D52474">
            <w:pPr>
              <w:pStyle w:val="TableCopy"/>
              <w:jc w:val="right"/>
              <w:rPr>
                <w:lang w:val="en-AU"/>
              </w:rPr>
            </w:pPr>
            <w:r w:rsidRPr="00C6052E">
              <w:rPr>
                <w:lang w:val="en-AU"/>
              </w:rPr>
              <w:t>52,599</w:t>
            </w:r>
          </w:p>
        </w:tc>
        <w:tc>
          <w:tcPr>
            <w:tcW w:w="1020" w:type="dxa"/>
            <w:noWrap/>
            <w:hideMark/>
          </w:tcPr>
          <w:p w14:paraId="6C21F3B6" w14:textId="77777777" w:rsidR="00EE5BB8" w:rsidRPr="00C6052E" w:rsidRDefault="00EE5BB8" w:rsidP="00D52474">
            <w:pPr>
              <w:pStyle w:val="TableCopy"/>
              <w:jc w:val="right"/>
              <w:rPr>
                <w:lang w:val="en-AU"/>
              </w:rPr>
            </w:pPr>
            <w:r w:rsidRPr="00C6052E">
              <w:rPr>
                <w:lang w:val="en-AU"/>
              </w:rPr>
              <w:t>58,000</w:t>
            </w:r>
          </w:p>
        </w:tc>
        <w:tc>
          <w:tcPr>
            <w:tcW w:w="1361" w:type="dxa"/>
            <w:noWrap/>
            <w:hideMark/>
          </w:tcPr>
          <w:p w14:paraId="6D8F7617" w14:textId="77777777" w:rsidR="00EE5BB8" w:rsidRPr="00C6052E" w:rsidRDefault="00EE5BB8" w:rsidP="00D52474">
            <w:pPr>
              <w:pStyle w:val="TableCopy"/>
              <w:jc w:val="right"/>
              <w:rPr>
                <w:lang w:val="en-AU"/>
              </w:rPr>
            </w:pPr>
            <w:r w:rsidRPr="00C6052E">
              <w:rPr>
                <w:lang w:val="en-AU"/>
              </w:rPr>
              <w:t>-9.3%</w:t>
            </w:r>
          </w:p>
        </w:tc>
        <w:tc>
          <w:tcPr>
            <w:tcW w:w="795" w:type="dxa"/>
            <w:noWrap/>
            <w:hideMark/>
          </w:tcPr>
          <w:p w14:paraId="33B23CA1" w14:textId="5D05963E" w:rsidR="00EE5BB8" w:rsidRPr="00C6052E" w:rsidRDefault="00D52474" w:rsidP="00D52474">
            <w:pPr>
              <w:pStyle w:val="TableCopy"/>
              <w:jc w:val="right"/>
              <w:rPr>
                <w:lang w:val="en-AU"/>
              </w:rPr>
            </w:pPr>
            <w:r w:rsidRPr="00C6052E">
              <w:rPr>
                <w:lang w:val="en-AU"/>
              </w:rPr>
              <w:t>3</w:t>
            </w:r>
          </w:p>
        </w:tc>
      </w:tr>
      <w:tr w:rsidR="00EE5BB8" w:rsidRPr="00C6052E" w14:paraId="50483AB3" w14:textId="77777777" w:rsidTr="00D52474">
        <w:trPr>
          <w:cantSplit/>
        </w:trPr>
        <w:tc>
          <w:tcPr>
            <w:tcW w:w="4531" w:type="dxa"/>
            <w:hideMark/>
          </w:tcPr>
          <w:p w14:paraId="16DCE328" w14:textId="77777777" w:rsidR="00EE5BB8" w:rsidRDefault="00EE5BB8" w:rsidP="0063097D">
            <w:pPr>
              <w:pStyle w:val="TableCopy"/>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enrolments</w:t>
            </w:r>
            <w:r w:rsidR="00177848" w:rsidRPr="00C6052E">
              <w:rPr>
                <w:lang w:val="en-AU"/>
              </w:rPr>
              <w:t xml:space="preserve"> </w:t>
            </w:r>
            <w:r w:rsidRPr="00C6052E">
              <w:rPr>
                <w:lang w:val="en-AU"/>
              </w:rPr>
              <w:t>related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qualifications</w:t>
            </w:r>
            <w:r w:rsidR="00177848" w:rsidRPr="00C6052E">
              <w:rPr>
                <w:lang w:val="en-AU"/>
              </w:rPr>
              <w:t xml:space="preserve"> </w:t>
            </w:r>
            <w:r w:rsidRPr="00C6052E">
              <w:rPr>
                <w:lang w:val="en-AU"/>
              </w:rPr>
              <w:t>that</w:t>
            </w:r>
            <w:r w:rsidR="00177848" w:rsidRPr="00C6052E">
              <w:rPr>
                <w:lang w:val="en-AU"/>
              </w:rPr>
              <w:t xml:space="preserve"> </w:t>
            </w:r>
            <w:r w:rsidRPr="00C6052E">
              <w:rPr>
                <w:lang w:val="en-AU"/>
              </w:rPr>
              <w:t>will</w:t>
            </w:r>
            <w:r w:rsidR="00177848" w:rsidRPr="00C6052E">
              <w:rPr>
                <w:lang w:val="en-AU"/>
              </w:rPr>
              <w:t xml:space="preserve"> </w:t>
            </w:r>
            <w:r w:rsidRPr="00C6052E">
              <w:rPr>
                <w:lang w:val="en-AU"/>
              </w:rPr>
              <w:t>lead</w:t>
            </w:r>
            <w:r w:rsidR="00177848" w:rsidRPr="00C6052E">
              <w:rPr>
                <w:lang w:val="en-AU"/>
              </w:rPr>
              <w:t xml:space="preserve"> </w:t>
            </w:r>
            <w:r w:rsidRPr="00C6052E">
              <w:rPr>
                <w:lang w:val="en-AU"/>
              </w:rPr>
              <w:t>to</w:t>
            </w:r>
            <w:r w:rsidR="00177848" w:rsidRPr="00C6052E">
              <w:rPr>
                <w:lang w:val="en-AU"/>
              </w:rPr>
              <w:t xml:space="preserve"> </w:t>
            </w:r>
            <w:r w:rsidRPr="00C6052E">
              <w:rPr>
                <w:lang w:val="en-AU"/>
              </w:rPr>
              <w:t>jobs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economic</w:t>
            </w:r>
            <w:r w:rsidR="00177848" w:rsidRPr="00C6052E">
              <w:rPr>
                <w:lang w:val="en-AU"/>
              </w:rPr>
              <w:t xml:space="preserve"> </w:t>
            </w:r>
            <w:r w:rsidRPr="00C6052E">
              <w:rPr>
                <w:lang w:val="en-AU"/>
              </w:rPr>
              <w:t>growth</w:t>
            </w:r>
          </w:p>
          <w:p w14:paraId="74DE247E" w14:textId="5FD06F3B" w:rsidR="005D78C4" w:rsidRPr="00C6052E" w:rsidRDefault="005D78C4" w:rsidP="005D78C4">
            <w:pPr>
              <w:pStyle w:val="Tablenotes-indented"/>
              <w:ind w:left="227" w:firstLine="0"/>
              <w:rPr>
                <w:lang w:val="en-AU"/>
              </w:rPr>
            </w:pPr>
            <w:r w:rsidRPr="00C6052E">
              <w:rPr>
                <w:lang w:val="en-AU"/>
              </w:rPr>
              <w:t>Higher result due to government focusing funding to courses with strong links to jobs.</w:t>
            </w:r>
          </w:p>
        </w:tc>
        <w:tc>
          <w:tcPr>
            <w:tcW w:w="1020" w:type="dxa"/>
            <w:hideMark/>
          </w:tcPr>
          <w:p w14:paraId="092ADFA7" w14:textId="03231B6F" w:rsidR="00EE5BB8" w:rsidRPr="00C6052E" w:rsidRDefault="00EE5BB8" w:rsidP="00D52474">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4CD2B01B" w14:textId="77777777" w:rsidR="00EE5BB8" w:rsidRPr="00C6052E" w:rsidRDefault="00EE5BB8" w:rsidP="00D52474">
            <w:pPr>
              <w:pStyle w:val="TableCopy"/>
              <w:jc w:val="right"/>
              <w:rPr>
                <w:lang w:val="en-AU"/>
              </w:rPr>
            </w:pPr>
            <w:r w:rsidRPr="00C6052E">
              <w:rPr>
                <w:lang w:val="en-AU"/>
              </w:rPr>
              <w:t>100</w:t>
            </w:r>
          </w:p>
        </w:tc>
        <w:tc>
          <w:tcPr>
            <w:tcW w:w="1020" w:type="dxa"/>
            <w:noWrap/>
            <w:hideMark/>
          </w:tcPr>
          <w:p w14:paraId="49BADC9E" w14:textId="77777777" w:rsidR="00EE5BB8" w:rsidRPr="00C6052E" w:rsidRDefault="00EE5BB8" w:rsidP="00D52474">
            <w:pPr>
              <w:pStyle w:val="TableCopy"/>
              <w:jc w:val="right"/>
              <w:rPr>
                <w:lang w:val="en-AU"/>
              </w:rPr>
            </w:pPr>
            <w:r w:rsidRPr="00C6052E">
              <w:rPr>
                <w:lang w:val="en-AU"/>
              </w:rPr>
              <w:t>83</w:t>
            </w:r>
          </w:p>
        </w:tc>
        <w:tc>
          <w:tcPr>
            <w:tcW w:w="1361" w:type="dxa"/>
            <w:noWrap/>
            <w:hideMark/>
          </w:tcPr>
          <w:p w14:paraId="20AE66F4" w14:textId="77777777" w:rsidR="00EE5BB8" w:rsidRPr="00C6052E" w:rsidRDefault="00EE5BB8" w:rsidP="00D52474">
            <w:pPr>
              <w:pStyle w:val="TableCopy"/>
              <w:jc w:val="right"/>
              <w:rPr>
                <w:lang w:val="en-AU"/>
              </w:rPr>
            </w:pPr>
            <w:r w:rsidRPr="00C6052E">
              <w:rPr>
                <w:lang w:val="en-AU"/>
              </w:rPr>
              <w:t>20.5%</w:t>
            </w:r>
          </w:p>
        </w:tc>
        <w:tc>
          <w:tcPr>
            <w:tcW w:w="795" w:type="dxa"/>
            <w:noWrap/>
            <w:hideMark/>
          </w:tcPr>
          <w:p w14:paraId="5DB0520A" w14:textId="58B373B0" w:rsidR="00EE5BB8" w:rsidRPr="00C6052E" w:rsidRDefault="00D52474" w:rsidP="00D52474">
            <w:pPr>
              <w:pStyle w:val="TableCopy"/>
              <w:jc w:val="right"/>
              <w:rPr>
                <w:lang w:val="en-AU"/>
              </w:rPr>
            </w:pPr>
            <w:r w:rsidRPr="00C6052E">
              <w:rPr>
                <w:lang w:val="en-AU"/>
              </w:rPr>
              <w:t>1</w:t>
            </w:r>
          </w:p>
        </w:tc>
      </w:tr>
      <w:tr w:rsidR="00D52474" w:rsidRPr="00C6052E" w14:paraId="14908A73" w14:textId="77777777" w:rsidTr="00D52474">
        <w:trPr>
          <w:cantSplit/>
        </w:trPr>
        <w:tc>
          <w:tcPr>
            <w:tcW w:w="4531" w:type="dxa"/>
          </w:tcPr>
          <w:p w14:paraId="2E2D91B1" w14:textId="6863EB41" w:rsidR="00D52474" w:rsidRPr="00C6052E" w:rsidRDefault="00D52474" w:rsidP="0063097D">
            <w:pPr>
              <w:pStyle w:val="TableHeading"/>
              <w:rPr>
                <w:lang w:val="en-AU"/>
              </w:rPr>
            </w:pPr>
            <w:r w:rsidRPr="00C6052E">
              <w:rPr>
                <w:lang w:val="en-AU"/>
              </w:rPr>
              <w:lastRenderedPageBreak/>
              <w:t>Quality</w:t>
            </w:r>
          </w:p>
        </w:tc>
        <w:tc>
          <w:tcPr>
            <w:tcW w:w="1020" w:type="dxa"/>
          </w:tcPr>
          <w:p w14:paraId="253AEF05" w14:textId="77777777" w:rsidR="00D52474" w:rsidRPr="00C6052E" w:rsidRDefault="00D52474" w:rsidP="00D52474">
            <w:pPr>
              <w:pStyle w:val="TableHeading"/>
              <w:jc w:val="right"/>
              <w:rPr>
                <w:lang w:val="en-AU"/>
              </w:rPr>
            </w:pPr>
          </w:p>
        </w:tc>
        <w:tc>
          <w:tcPr>
            <w:tcW w:w="1020" w:type="dxa"/>
            <w:noWrap/>
          </w:tcPr>
          <w:p w14:paraId="60F063BD" w14:textId="77777777" w:rsidR="00D52474" w:rsidRPr="00C6052E" w:rsidRDefault="00D52474" w:rsidP="00D52474">
            <w:pPr>
              <w:pStyle w:val="TableHeading"/>
              <w:jc w:val="right"/>
              <w:rPr>
                <w:lang w:val="en-AU"/>
              </w:rPr>
            </w:pPr>
          </w:p>
        </w:tc>
        <w:tc>
          <w:tcPr>
            <w:tcW w:w="1020" w:type="dxa"/>
            <w:noWrap/>
          </w:tcPr>
          <w:p w14:paraId="012F2A19" w14:textId="77777777" w:rsidR="00D52474" w:rsidRPr="00C6052E" w:rsidRDefault="00D52474" w:rsidP="00D52474">
            <w:pPr>
              <w:pStyle w:val="TableHeading"/>
              <w:jc w:val="right"/>
              <w:rPr>
                <w:lang w:val="en-AU"/>
              </w:rPr>
            </w:pPr>
          </w:p>
        </w:tc>
        <w:tc>
          <w:tcPr>
            <w:tcW w:w="1361" w:type="dxa"/>
            <w:noWrap/>
          </w:tcPr>
          <w:p w14:paraId="096EABCB" w14:textId="77777777" w:rsidR="00D52474" w:rsidRPr="00C6052E" w:rsidRDefault="00D52474" w:rsidP="00D52474">
            <w:pPr>
              <w:pStyle w:val="TableHeading"/>
              <w:jc w:val="right"/>
              <w:rPr>
                <w:lang w:val="en-AU"/>
              </w:rPr>
            </w:pPr>
          </w:p>
        </w:tc>
        <w:tc>
          <w:tcPr>
            <w:tcW w:w="795" w:type="dxa"/>
            <w:noWrap/>
          </w:tcPr>
          <w:p w14:paraId="75C152C0" w14:textId="77777777" w:rsidR="00D52474" w:rsidRPr="00C6052E" w:rsidRDefault="00D52474" w:rsidP="00D52474">
            <w:pPr>
              <w:pStyle w:val="TableHeading"/>
              <w:jc w:val="right"/>
              <w:rPr>
                <w:rStyle w:val="Wingdings"/>
                <w:rFonts w:ascii="Arial" w:hAnsi="Arial"/>
                <w:lang w:val="en-AU"/>
              </w:rPr>
            </w:pPr>
          </w:p>
        </w:tc>
      </w:tr>
      <w:tr w:rsidR="00EE5BB8" w:rsidRPr="00C6052E" w14:paraId="2A2EE9FD" w14:textId="77777777" w:rsidTr="00D52474">
        <w:trPr>
          <w:cantSplit/>
        </w:trPr>
        <w:tc>
          <w:tcPr>
            <w:tcW w:w="4531" w:type="dxa"/>
            <w:hideMark/>
          </w:tcPr>
          <w:p w14:paraId="198DF6C9" w14:textId="32979303" w:rsidR="00EE5BB8" w:rsidRPr="00C6052E" w:rsidRDefault="00EE5BB8" w:rsidP="005D78C4">
            <w:pPr>
              <w:pStyle w:val="TableCopy"/>
              <w:keepNext/>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employers</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apprentices</w:t>
            </w:r>
            <w:r w:rsidR="00177848" w:rsidRPr="00C6052E">
              <w:rPr>
                <w:lang w:val="en-AU"/>
              </w:rPr>
              <w:t xml:space="preserve"> </w:t>
            </w:r>
            <w:r w:rsidRPr="00C6052E">
              <w:rPr>
                <w:lang w:val="en-AU"/>
              </w:rPr>
              <w:t>and</w:t>
            </w:r>
            <w:r w:rsidR="00177848" w:rsidRPr="00C6052E">
              <w:rPr>
                <w:lang w:val="en-AU"/>
              </w:rPr>
              <w:t xml:space="preserve"> </w:t>
            </w:r>
            <w:r w:rsidRPr="00C6052E">
              <w:rPr>
                <w:lang w:val="en-AU"/>
              </w:rPr>
              <w:t>trainees</w:t>
            </w:r>
            <w:r w:rsidR="00177848" w:rsidRPr="00C6052E">
              <w:rPr>
                <w:lang w:val="en-AU"/>
              </w:rPr>
              <w:t xml:space="preserve"> </w:t>
            </w:r>
            <w:r w:rsidRPr="00C6052E">
              <w:rPr>
                <w:lang w:val="en-AU"/>
              </w:rPr>
              <w:t>who</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training</w:t>
            </w:r>
          </w:p>
        </w:tc>
        <w:tc>
          <w:tcPr>
            <w:tcW w:w="1020" w:type="dxa"/>
            <w:hideMark/>
          </w:tcPr>
          <w:p w14:paraId="76413909" w14:textId="324A2C00" w:rsidR="00EE5BB8" w:rsidRPr="00C6052E" w:rsidRDefault="00EE5BB8" w:rsidP="005D78C4">
            <w:pPr>
              <w:pStyle w:val="TableCopy"/>
              <w:keepNext/>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F35FB11" w14:textId="77777777" w:rsidR="00EE5BB8" w:rsidRPr="00C6052E" w:rsidRDefault="00EE5BB8" w:rsidP="005D78C4">
            <w:pPr>
              <w:pStyle w:val="TableCopy"/>
              <w:keepNext/>
              <w:jc w:val="right"/>
              <w:rPr>
                <w:lang w:val="en-AU"/>
              </w:rPr>
            </w:pPr>
            <w:r w:rsidRPr="00C6052E">
              <w:rPr>
                <w:lang w:val="en-AU"/>
              </w:rPr>
              <w:t>76.1</w:t>
            </w:r>
          </w:p>
        </w:tc>
        <w:tc>
          <w:tcPr>
            <w:tcW w:w="1020" w:type="dxa"/>
            <w:noWrap/>
            <w:hideMark/>
          </w:tcPr>
          <w:p w14:paraId="14ED8B21" w14:textId="77777777" w:rsidR="00EE5BB8" w:rsidRPr="00C6052E" w:rsidRDefault="00EE5BB8" w:rsidP="005D78C4">
            <w:pPr>
              <w:pStyle w:val="TableCopy"/>
              <w:keepNext/>
              <w:jc w:val="right"/>
              <w:rPr>
                <w:lang w:val="en-AU"/>
              </w:rPr>
            </w:pPr>
            <w:r w:rsidRPr="00C6052E">
              <w:rPr>
                <w:lang w:val="en-AU"/>
              </w:rPr>
              <w:t>78.1</w:t>
            </w:r>
          </w:p>
        </w:tc>
        <w:tc>
          <w:tcPr>
            <w:tcW w:w="1361" w:type="dxa"/>
            <w:noWrap/>
            <w:hideMark/>
          </w:tcPr>
          <w:p w14:paraId="77FF1D31" w14:textId="77777777" w:rsidR="00EE5BB8" w:rsidRPr="00C6052E" w:rsidRDefault="00EE5BB8" w:rsidP="005D78C4">
            <w:pPr>
              <w:pStyle w:val="TableCopy"/>
              <w:keepNext/>
              <w:jc w:val="right"/>
              <w:rPr>
                <w:lang w:val="en-AU"/>
              </w:rPr>
            </w:pPr>
            <w:r w:rsidRPr="00C6052E">
              <w:rPr>
                <w:lang w:val="en-AU"/>
              </w:rPr>
              <w:t>-2.6%</w:t>
            </w:r>
          </w:p>
        </w:tc>
        <w:tc>
          <w:tcPr>
            <w:tcW w:w="795" w:type="dxa"/>
            <w:noWrap/>
            <w:hideMark/>
          </w:tcPr>
          <w:p w14:paraId="110FE773" w14:textId="10EBAC1F" w:rsidR="00EE5BB8" w:rsidRPr="00C6052E" w:rsidRDefault="00D52474" w:rsidP="005D78C4">
            <w:pPr>
              <w:pStyle w:val="TableCopy"/>
              <w:keepNext/>
              <w:jc w:val="right"/>
              <w:rPr>
                <w:lang w:val="en-AU"/>
              </w:rPr>
            </w:pPr>
            <w:r w:rsidRPr="00C6052E">
              <w:rPr>
                <w:lang w:val="en-AU"/>
              </w:rPr>
              <w:t>2</w:t>
            </w:r>
          </w:p>
        </w:tc>
      </w:tr>
      <w:tr w:rsidR="00EE5BB8" w:rsidRPr="00C6052E" w14:paraId="617DFD96" w14:textId="77777777" w:rsidTr="00D52474">
        <w:trPr>
          <w:cantSplit/>
        </w:trPr>
        <w:tc>
          <w:tcPr>
            <w:tcW w:w="4531" w:type="dxa"/>
            <w:hideMark/>
          </w:tcPr>
          <w:p w14:paraId="18A4D9EC" w14:textId="77777777" w:rsidR="00EE5BB8" w:rsidRDefault="00EE5BB8" w:rsidP="0063097D">
            <w:pPr>
              <w:pStyle w:val="TableCopy"/>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completers</w:t>
            </w:r>
            <w:r w:rsidR="00177848" w:rsidRPr="00C6052E">
              <w:rPr>
                <w:lang w:val="en-AU"/>
              </w:rPr>
              <w:t xml:space="preserve"> </w:t>
            </w:r>
            <w:r w:rsidRPr="00C6052E">
              <w:rPr>
                <w:lang w:val="en-AU"/>
              </w:rPr>
              <w:t>who</w:t>
            </w:r>
            <w:r w:rsidR="00177848" w:rsidRPr="00C6052E">
              <w:rPr>
                <w:lang w:val="en-AU"/>
              </w:rPr>
              <w:t xml:space="preserve"> </w:t>
            </w:r>
            <w:r w:rsidRPr="00C6052E">
              <w:rPr>
                <w:lang w:val="en-AU"/>
              </w:rPr>
              <w:t>achieved</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main</w:t>
            </w:r>
            <w:r w:rsidR="00177848" w:rsidRPr="00C6052E">
              <w:rPr>
                <w:lang w:val="en-AU"/>
              </w:rPr>
              <w:t xml:space="preserve"> </w:t>
            </w:r>
            <w:r w:rsidRPr="00C6052E">
              <w:rPr>
                <w:lang w:val="en-AU"/>
              </w:rPr>
              <w:t>reason</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training</w:t>
            </w:r>
          </w:p>
          <w:p w14:paraId="64D36620" w14:textId="1E6441EC" w:rsidR="005D78C4" w:rsidRPr="00C6052E" w:rsidRDefault="005D78C4" w:rsidP="005D78C4">
            <w:pPr>
              <w:pStyle w:val="Tablenotes-indented"/>
              <w:ind w:left="227" w:firstLine="0"/>
              <w:rPr>
                <w:lang w:val="en-AU"/>
              </w:rPr>
            </w:pPr>
            <w:r w:rsidRPr="00C6052E">
              <w:rPr>
                <w:lang w:val="en-AU"/>
              </w:rPr>
              <w:t>Higher result reflects that most VET students train for work-related reasons, and the improved employment outcomes align with a continued strong labour market.</w:t>
            </w:r>
          </w:p>
        </w:tc>
        <w:tc>
          <w:tcPr>
            <w:tcW w:w="1020" w:type="dxa"/>
            <w:hideMark/>
          </w:tcPr>
          <w:p w14:paraId="1D01C3F3" w14:textId="06C7E64C" w:rsidR="00EE5BB8" w:rsidRPr="00C6052E" w:rsidRDefault="00EE5BB8" w:rsidP="00D52474">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67C71173" w14:textId="77777777" w:rsidR="00EE5BB8" w:rsidRPr="00C6052E" w:rsidRDefault="00EE5BB8" w:rsidP="00D52474">
            <w:pPr>
              <w:pStyle w:val="TableCopy"/>
              <w:jc w:val="right"/>
              <w:rPr>
                <w:lang w:val="en-AU"/>
              </w:rPr>
            </w:pPr>
            <w:r w:rsidRPr="00C6052E">
              <w:rPr>
                <w:lang w:val="en-AU"/>
              </w:rPr>
              <w:t>89.1</w:t>
            </w:r>
          </w:p>
        </w:tc>
        <w:tc>
          <w:tcPr>
            <w:tcW w:w="1020" w:type="dxa"/>
            <w:noWrap/>
            <w:hideMark/>
          </w:tcPr>
          <w:p w14:paraId="5AF55041" w14:textId="77777777" w:rsidR="00EE5BB8" w:rsidRPr="00C6052E" w:rsidRDefault="00EE5BB8" w:rsidP="00D52474">
            <w:pPr>
              <w:pStyle w:val="TableCopy"/>
              <w:jc w:val="right"/>
              <w:rPr>
                <w:lang w:val="en-AU"/>
              </w:rPr>
            </w:pPr>
            <w:r w:rsidRPr="00C6052E">
              <w:rPr>
                <w:lang w:val="en-AU"/>
              </w:rPr>
              <w:t>84.1</w:t>
            </w:r>
          </w:p>
        </w:tc>
        <w:tc>
          <w:tcPr>
            <w:tcW w:w="1361" w:type="dxa"/>
            <w:noWrap/>
            <w:hideMark/>
          </w:tcPr>
          <w:p w14:paraId="1014A189" w14:textId="77777777" w:rsidR="00EE5BB8" w:rsidRPr="00C6052E" w:rsidRDefault="00EE5BB8" w:rsidP="00D52474">
            <w:pPr>
              <w:pStyle w:val="TableCopy"/>
              <w:jc w:val="right"/>
              <w:rPr>
                <w:lang w:val="en-AU"/>
              </w:rPr>
            </w:pPr>
            <w:r w:rsidRPr="00C6052E">
              <w:rPr>
                <w:lang w:val="en-AU"/>
              </w:rPr>
              <w:t>5.9%</w:t>
            </w:r>
          </w:p>
        </w:tc>
        <w:tc>
          <w:tcPr>
            <w:tcW w:w="795" w:type="dxa"/>
            <w:noWrap/>
            <w:hideMark/>
          </w:tcPr>
          <w:p w14:paraId="0285C909" w14:textId="22661BFA" w:rsidR="00EE5BB8" w:rsidRPr="00C6052E" w:rsidRDefault="00D52474" w:rsidP="00D52474">
            <w:pPr>
              <w:pStyle w:val="TableCopy"/>
              <w:jc w:val="right"/>
              <w:rPr>
                <w:lang w:val="en-AU"/>
              </w:rPr>
            </w:pPr>
            <w:r w:rsidRPr="00C6052E">
              <w:rPr>
                <w:lang w:val="en-AU"/>
              </w:rPr>
              <w:t>1</w:t>
            </w:r>
          </w:p>
        </w:tc>
      </w:tr>
      <w:tr w:rsidR="00EE5BB8" w:rsidRPr="00C6052E" w14:paraId="1281EA73" w14:textId="77777777" w:rsidTr="00D52474">
        <w:trPr>
          <w:cantSplit/>
        </w:trPr>
        <w:tc>
          <w:tcPr>
            <w:tcW w:w="4531" w:type="dxa"/>
            <w:hideMark/>
          </w:tcPr>
          <w:p w14:paraId="5C2FFE15" w14:textId="0302AEE0" w:rsidR="00EE5BB8" w:rsidRPr="00C6052E" w:rsidRDefault="00EE5BB8" w:rsidP="0063097D">
            <w:pPr>
              <w:pStyle w:val="TableCopy"/>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completers</w:t>
            </w:r>
            <w:r w:rsidR="00177848" w:rsidRPr="00C6052E">
              <w:rPr>
                <w:lang w:val="en-AU"/>
              </w:rPr>
              <w:t xml:space="preserve"> </w:t>
            </w:r>
            <w:r w:rsidRPr="00C6052E">
              <w:rPr>
                <w:lang w:val="en-AU"/>
              </w:rPr>
              <w:t>who</w:t>
            </w:r>
            <w:r w:rsidR="00177848" w:rsidRPr="00C6052E">
              <w:rPr>
                <w:lang w:val="en-AU"/>
              </w:rPr>
              <w:t xml:space="preserve"> </w:t>
            </w:r>
            <w:r w:rsidRPr="00C6052E">
              <w:rPr>
                <w:lang w:val="en-AU"/>
              </w:rPr>
              <w:t>are</w:t>
            </w:r>
            <w:r w:rsidR="00177848" w:rsidRPr="00C6052E">
              <w:rPr>
                <w:lang w:val="en-AU"/>
              </w:rPr>
              <w:t xml:space="preserve"> </w:t>
            </w:r>
            <w:r w:rsidRPr="00C6052E">
              <w:rPr>
                <w:lang w:val="en-AU"/>
              </w:rPr>
              <w:t>satisfied</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their</w:t>
            </w:r>
            <w:r w:rsidR="00177848" w:rsidRPr="00C6052E">
              <w:rPr>
                <w:lang w:val="en-AU"/>
              </w:rPr>
              <w:t xml:space="preserve"> </w:t>
            </w:r>
            <w:r w:rsidRPr="00C6052E">
              <w:rPr>
                <w:lang w:val="en-AU"/>
              </w:rPr>
              <w:t>training</w:t>
            </w:r>
          </w:p>
        </w:tc>
        <w:tc>
          <w:tcPr>
            <w:tcW w:w="1020" w:type="dxa"/>
            <w:hideMark/>
          </w:tcPr>
          <w:p w14:paraId="383352CE" w14:textId="03C16212" w:rsidR="00EE5BB8" w:rsidRPr="00C6052E" w:rsidRDefault="00EE5BB8" w:rsidP="00D52474">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23FC873F" w14:textId="77777777" w:rsidR="00EE5BB8" w:rsidRPr="00C6052E" w:rsidRDefault="00EE5BB8" w:rsidP="00D52474">
            <w:pPr>
              <w:pStyle w:val="TableCopy"/>
              <w:jc w:val="right"/>
              <w:rPr>
                <w:lang w:val="en-AU"/>
              </w:rPr>
            </w:pPr>
            <w:r w:rsidRPr="00C6052E">
              <w:rPr>
                <w:lang w:val="en-AU"/>
              </w:rPr>
              <w:t>87.2</w:t>
            </w:r>
          </w:p>
        </w:tc>
        <w:tc>
          <w:tcPr>
            <w:tcW w:w="1020" w:type="dxa"/>
            <w:noWrap/>
            <w:hideMark/>
          </w:tcPr>
          <w:p w14:paraId="29DD50A2" w14:textId="77777777" w:rsidR="00EE5BB8" w:rsidRPr="00C6052E" w:rsidRDefault="00EE5BB8" w:rsidP="00D52474">
            <w:pPr>
              <w:pStyle w:val="TableCopy"/>
              <w:jc w:val="right"/>
              <w:rPr>
                <w:lang w:val="en-AU"/>
              </w:rPr>
            </w:pPr>
            <w:r w:rsidRPr="00C6052E">
              <w:rPr>
                <w:lang w:val="en-AU"/>
              </w:rPr>
              <w:t>85.7</w:t>
            </w:r>
          </w:p>
        </w:tc>
        <w:tc>
          <w:tcPr>
            <w:tcW w:w="1361" w:type="dxa"/>
            <w:noWrap/>
            <w:hideMark/>
          </w:tcPr>
          <w:p w14:paraId="2A6B1B0A" w14:textId="77777777" w:rsidR="00EE5BB8" w:rsidRPr="00C6052E" w:rsidRDefault="00EE5BB8" w:rsidP="00D52474">
            <w:pPr>
              <w:pStyle w:val="TableCopy"/>
              <w:jc w:val="right"/>
              <w:rPr>
                <w:lang w:val="en-AU"/>
              </w:rPr>
            </w:pPr>
            <w:r w:rsidRPr="00C6052E">
              <w:rPr>
                <w:lang w:val="en-AU"/>
              </w:rPr>
              <w:t>1.8%</w:t>
            </w:r>
          </w:p>
        </w:tc>
        <w:tc>
          <w:tcPr>
            <w:tcW w:w="795" w:type="dxa"/>
            <w:noWrap/>
            <w:hideMark/>
          </w:tcPr>
          <w:p w14:paraId="69F90D58" w14:textId="2A95747C" w:rsidR="00EE5BB8" w:rsidRPr="00C6052E" w:rsidRDefault="00D52474" w:rsidP="00D52474">
            <w:pPr>
              <w:pStyle w:val="TableCopy"/>
              <w:jc w:val="right"/>
              <w:rPr>
                <w:lang w:val="en-AU"/>
              </w:rPr>
            </w:pPr>
            <w:r w:rsidRPr="00C6052E">
              <w:rPr>
                <w:lang w:val="en-AU"/>
              </w:rPr>
              <w:t>1</w:t>
            </w:r>
          </w:p>
        </w:tc>
      </w:tr>
      <w:tr w:rsidR="00EE5BB8" w:rsidRPr="00C6052E" w14:paraId="16E3ADEA" w14:textId="77777777" w:rsidTr="00D52474">
        <w:trPr>
          <w:cantSplit/>
        </w:trPr>
        <w:tc>
          <w:tcPr>
            <w:tcW w:w="4531" w:type="dxa"/>
            <w:hideMark/>
          </w:tcPr>
          <w:p w14:paraId="7E9F9575" w14:textId="77777777" w:rsidR="00EE5BB8" w:rsidRDefault="00EE5BB8" w:rsidP="00D52474">
            <w:pPr>
              <w:pStyle w:val="TableCopy"/>
              <w:keepNext/>
              <w:rPr>
                <w:lang w:val="en-AU"/>
              </w:rPr>
            </w:pPr>
            <w:r w:rsidRPr="00C6052E">
              <w:rPr>
                <w:lang w:val="en-AU"/>
              </w:rPr>
              <w:t>Proportion</w:t>
            </w:r>
            <w:r w:rsidR="00177848" w:rsidRPr="00C6052E">
              <w:rPr>
                <w:lang w:val="en-AU"/>
              </w:rPr>
              <w:t xml:space="preserve"> </w:t>
            </w:r>
            <w:r w:rsidRPr="00C6052E">
              <w:rPr>
                <w:lang w:val="en-AU"/>
              </w:rPr>
              <w:t>of</w:t>
            </w:r>
            <w:r w:rsidR="00177848" w:rsidRPr="00C6052E">
              <w:rPr>
                <w:lang w:val="en-AU"/>
              </w:rPr>
              <w:t xml:space="preserve"> </w:t>
            </w:r>
            <w:r w:rsidRPr="00C6052E">
              <w:rPr>
                <w:lang w:val="en-AU"/>
              </w:rPr>
              <w:t>VET</w:t>
            </w:r>
            <w:r w:rsidR="00177848" w:rsidRPr="00C6052E">
              <w:rPr>
                <w:lang w:val="en-AU"/>
              </w:rPr>
              <w:t xml:space="preserve"> </w:t>
            </w:r>
            <w:r w:rsidRPr="00C6052E">
              <w:rPr>
                <w:lang w:val="en-AU"/>
              </w:rPr>
              <w:t>completers</w:t>
            </w:r>
            <w:r w:rsidR="00177848" w:rsidRPr="00C6052E">
              <w:rPr>
                <w:lang w:val="en-AU"/>
              </w:rPr>
              <w:t xml:space="preserve"> </w:t>
            </w:r>
            <w:r w:rsidRPr="00C6052E">
              <w:rPr>
                <w:lang w:val="en-AU"/>
              </w:rPr>
              <w:t>with</w:t>
            </w:r>
            <w:r w:rsidR="00177848" w:rsidRPr="00C6052E">
              <w:rPr>
                <w:lang w:val="en-AU"/>
              </w:rPr>
              <w:t xml:space="preserve"> </w:t>
            </w:r>
            <w:r w:rsidRPr="00C6052E">
              <w:rPr>
                <w:lang w:val="en-AU"/>
              </w:rPr>
              <w:t>an</w:t>
            </w:r>
            <w:r w:rsidR="00177848" w:rsidRPr="00C6052E">
              <w:rPr>
                <w:lang w:val="en-AU"/>
              </w:rPr>
              <w:t xml:space="preserve"> </w:t>
            </w:r>
            <w:r w:rsidRPr="00C6052E">
              <w:rPr>
                <w:lang w:val="en-AU"/>
              </w:rPr>
              <w:t>improved</w:t>
            </w:r>
            <w:r w:rsidR="00177848" w:rsidRPr="00C6052E">
              <w:rPr>
                <w:lang w:val="en-AU"/>
              </w:rPr>
              <w:t xml:space="preserve"> </w:t>
            </w:r>
            <w:r w:rsidRPr="00C6052E">
              <w:rPr>
                <w:lang w:val="en-AU"/>
              </w:rPr>
              <w:t>employment</w:t>
            </w:r>
            <w:r w:rsidR="00177848" w:rsidRPr="00C6052E">
              <w:rPr>
                <w:lang w:val="en-AU"/>
              </w:rPr>
              <w:t xml:space="preserve"> </w:t>
            </w:r>
            <w:r w:rsidRPr="00C6052E">
              <w:rPr>
                <w:lang w:val="en-AU"/>
              </w:rPr>
              <w:t>status</w:t>
            </w:r>
            <w:r w:rsidR="00177848" w:rsidRPr="00C6052E">
              <w:rPr>
                <w:lang w:val="en-AU"/>
              </w:rPr>
              <w:t xml:space="preserve"> </w:t>
            </w:r>
            <w:r w:rsidRPr="00C6052E">
              <w:rPr>
                <w:lang w:val="en-AU"/>
              </w:rPr>
              <w:t>after</w:t>
            </w:r>
            <w:r w:rsidR="00177848" w:rsidRPr="00C6052E">
              <w:rPr>
                <w:lang w:val="en-AU"/>
              </w:rPr>
              <w:t xml:space="preserve"> </w:t>
            </w:r>
            <w:r w:rsidRPr="00C6052E">
              <w:rPr>
                <w:lang w:val="en-AU"/>
              </w:rPr>
              <w:t>training</w:t>
            </w:r>
          </w:p>
          <w:p w14:paraId="1D0BEC76" w14:textId="69DC3DFB" w:rsidR="005D78C4" w:rsidRPr="00C6052E" w:rsidRDefault="005D78C4" w:rsidP="005D78C4">
            <w:pPr>
              <w:pStyle w:val="Tablenotes-indented"/>
              <w:ind w:left="227" w:firstLine="0"/>
              <w:rPr>
                <w:lang w:val="en-AU"/>
              </w:rPr>
            </w:pPr>
            <w:r w:rsidRPr="00C6052E">
              <w:rPr>
                <w:lang w:val="en-AU"/>
              </w:rPr>
              <w:t>Higher result due to strong labour market outcomes.</w:t>
            </w:r>
          </w:p>
        </w:tc>
        <w:tc>
          <w:tcPr>
            <w:tcW w:w="1020" w:type="dxa"/>
            <w:hideMark/>
          </w:tcPr>
          <w:p w14:paraId="6D7B248F" w14:textId="3C298581" w:rsidR="00EE5BB8" w:rsidRPr="00C6052E" w:rsidRDefault="00EE5BB8" w:rsidP="00D52474">
            <w:pPr>
              <w:pStyle w:val="TableCopy"/>
              <w:keepNext/>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28367CE9" w14:textId="77777777" w:rsidR="00EE5BB8" w:rsidRPr="00C6052E" w:rsidRDefault="00EE5BB8" w:rsidP="00D52474">
            <w:pPr>
              <w:pStyle w:val="TableCopy"/>
              <w:keepNext/>
              <w:jc w:val="right"/>
              <w:rPr>
                <w:lang w:val="en-AU"/>
              </w:rPr>
            </w:pPr>
            <w:r w:rsidRPr="00C6052E">
              <w:rPr>
                <w:lang w:val="en-AU"/>
              </w:rPr>
              <w:t>64.5</w:t>
            </w:r>
          </w:p>
        </w:tc>
        <w:tc>
          <w:tcPr>
            <w:tcW w:w="1020" w:type="dxa"/>
            <w:noWrap/>
            <w:hideMark/>
          </w:tcPr>
          <w:p w14:paraId="4D62ACF8" w14:textId="77777777" w:rsidR="00EE5BB8" w:rsidRPr="00C6052E" w:rsidRDefault="00EE5BB8" w:rsidP="00D52474">
            <w:pPr>
              <w:pStyle w:val="TableCopy"/>
              <w:keepNext/>
              <w:jc w:val="right"/>
              <w:rPr>
                <w:lang w:val="en-AU"/>
              </w:rPr>
            </w:pPr>
            <w:r w:rsidRPr="00C6052E">
              <w:rPr>
                <w:lang w:val="en-AU"/>
              </w:rPr>
              <w:t>54.4</w:t>
            </w:r>
          </w:p>
        </w:tc>
        <w:tc>
          <w:tcPr>
            <w:tcW w:w="1361" w:type="dxa"/>
            <w:noWrap/>
            <w:hideMark/>
          </w:tcPr>
          <w:p w14:paraId="5D927405" w14:textId="77777777" w:rsidR="00EE5BB8" w:rsidRPr="00C6052E" w:rsidRDefault="00EE5BB8" w:rsidP="00D52474">
            <w:pPr>
              <w:pStyle w:val="TableCopy"/>
              <w:keepNext/>
              <w:jc w:val="right"/>
              <w:rPr>
                <w:lang w:val="en-AU"/>
              </w:rPr>
            </w:pPr>
            <w:r w:rsidRPr="00C6052E">
              <w:rPr>
                <w:lang w:val="en-AU"/>
              </w:rPr>
              <w:t>18.6%</w:t>
            </w:r>
          </w:p>
        </w:tc>
        <w:tc>
          <w:tcPr>
            <w:tcW w:w="795" w:type="dxa"/>
            <w:noWrap/>
            <w:hideMark/>
          </w:tcPr>
          <w:p w14:paraId="5679BA0F" w14:textId="6F99BAC6" w:rsidR="00EE5BB8" w:rsidRPr="00C6052E" w:rsidRDefault="00D52474" w:rsidP="00D52474">
            <w:pPr>
              <w:pStyle w:val="TableCopy"/>
              <w:keepNext/>
              <w:jc w:val="right"/>
              <w:rPr>
                <w:lang w:val="en-AU"/>
              </w:rPr>
            </w:pPr>
            <w:r w:rsidRPr="00C6052E">
              <w:rPr>
                <w:lang w:val="en-AU"/>
              </w:rPr>
              <w:t>1</w:t>
            </w:r>
          </w:p>
        </w:tc>
      </w:tr>
      <w:tr w:rsidR="00D52474" w:rsidRPr="00C6052E" w14:paraId="1F9412F5" w14:textId="77777777" w:rsidTr="00D52474">
        <w:trPr>
          <w:cantSplit/>
        </w:trPr>
        <w:tc>
          <w:tcPr>
            <w:tcW w:w="4531" w:type="dxa"/>
          </w:tcPr>
          <w:p w14:paraId="0D1F2114" w14:textId="4D66C50A" w:rsidR="00D52474" w:rsidRPr="00C6052E" w:rsidRDefault="00D52474" w:rsidP="0063097D">
            <w:pPr>
              <w:pStyle w:val="TableHeading"/>
              <w:rPr>
                <w:lang w:val="en-AU"/>
              </w:rPr>
            </w:pPr>
            <w:r w:rsidRPr="00C6052E">
              <w:rPr>
                <w:lang w:val="en-AU"/>
              </w:rPr>
              <w:t>Timeliness</w:t>
            </w:r>
          </w:p>
        </w:tc>
        <w:tc>
          <w:tcPr>
            <w:tcW w:w="1020" w:type="dxa"/>
          </w:tcPr>
          <w:p w14:paraId="7E44ABB1" w14:textId="77777777" w:rsidR="00D52474" w:rsidRPr="00C6052E" w:rsidRDefault="00D52474" w:rsidP="00D52474">
            <w:pPr>
              <w:pStyle w:val="TableHeading"/>
              <w:jc w:val="right"/>
              <w:rPr>
                <w:lang w:val="en-AU"/>
              </w:rPr>
            </w:pPr>
          </w:p>
        </w:tc>
        <w:tc>
          <w:tcPr>
            <w:tcW w:w="1020" w:type="dxa"/>
            <w:noWrap/>
          </w:tcPr>
          <w:p w14:paraId="2B7BA4AE" w14:textId="77777777" w:rsidR="00D52474" w:rsidRPr="00C6052E" w:rsidRDefault="00D52474" w:rsidP="00D52474">
            <w:pPr>
              <w:pStyle w:val="TableHeading"/>
              <w:jc w:val="right"/>
              <w:rPr>
                <w:lang w:val="en-AU"/>
              </w:rPr>
            </w:pPr>
          </w:p>
        </w:tc>
        <w:tc>
          <w:tcPr>
            <w:tcW w:w="1020" w:type="dxa"/>
            <w:noWrap/>
          </w:tcPr>
          <w:p w14:paraId="416978F5" w14:textId="77777777" w:rsidR="00D52474" w:rsidRPr="00C6052E" w:rsidRDefault="00D52474" w:rsidP="00D52474">
            <w:pPr>
              <w:pStyle w:val="TableHeading"/>
              <w:jc w:val="right"/>
              <w:rPr>
                <w:lang w:val="en-AU"/>
              </w:rPr>
            </w:pPr>
          </w:p>
        </w:tc>
        <w:tc>
          <w:tcPr>
            <w:tcW w:w="1361" w:type="dxa"/>
            <w:noWrap/>
          </w:tcPr>
          <w:p w14:paraId="06522F5E" w14:textId="77777777" w:rsidR="00D52474" w:rsidRPr="00C6052E" w:rsidRDefault="00D52474" w:rsidP="00D52474">
            <w:pPr>
              <w:pStyle w:val="TableHeading"/>
              <w:jc w:val="right"/>
              <w:rPr>
                <w:lang w:val="en-AU"/>
              </w:rPr>
            </w:pPr>
          </w:p>
        </w:tc>
        <w:tc>
          <w:tcPr>
            <w:tcW w:w="795" w:type="dxa"/>
            <w:noWrap/>
          </w:tcPr>
          <w:p w14:paraId="19EFCCE4" w14:textId="77777777" w:rsidR="00D52474" w:rsidRPr="00C6052E" w:rsidRDefault="00D52474" w:rsidP="00D52474">
            <w:pPr>
              <w:pStyle w:val="TableHeading"/>
              <w:jc w:val="right"/>
              <w:rPr>
                <w:rStyle w:val="Wingdings"/>
                <w:rFonts w:ascii="Arial" w:hAnsi="Arial"/>
                <w:lang w:val="en-AU"/>
              </w:rPr>
            </w:pPr>
          </w:p>
        </w:tc>
      </w:tr>
      <w:tr w:rsidR="00EE5BB8" w:rsidRPr="00C6052E" w14:paraId="41235127" w14:textId="77777777" w:rsidTr="00D52474">
        <w:trPr>
          <w:cantSplit/>
        </w:trPr>
        <w:tc>
          <w:tcPr>
            <w:tcW w:w="4531" w:type="dxa"/>
            <w:hideMark/>
          </w:tcPr>
          <w:p w14:paraId="5C33063D" w14:textId="216184DD" w:rsidR="00EE5BB8" w:rsidRPr="00C6052E" w:rsidRDefault="00EE5BB8" w:rsidP="0063097D">
            <w:pPr>
              <w:pStyle w:val="TableCopy"/>
              <w:rPr>
                <w:lang w:val="en-AU"/>
              </w:rPr>
            </w:pPr>
            <w:r w:rsidRPr="00C6052E">
              <w:rPr>
                <w:lang w:val="en-AU"/>
              </w:rPr>
              <w:t>Four-year</w:t>
            </w:r>
            <w:r w:rsidR="00177848" w:rsidRPr="00C6052E">
              <w:rPr>
                <w:lang w:val="en-AU"/>
              </w:rPr>
              <w:t xml:space="preserve"> </w:t>
            </w:r>
            <w:r w:rsidRPr="00C6052E">
              <w:rPr>
                <w:lang w:val="en-AU"/>
              </w:rPr>
              <w:t>completion</w:t>
            </w:r>
            <w:r w:rsidR="00177848" w:rsidRPr="00C6052E">
              <w:rPr>
                <w:lang w:val="en-AU"/>
              </w:rPr>
              <w:t xml:space="preserve"> </w:t>
            </w:r>
            <w:r w:rsidRPr="00C6052E">
              <w:rPr>
                <w:lang w:val="en-AU"/>
              </w:rPr>
              <w:t>rate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non-apprentice</w:t>
            </w:r>
            <w:r w:rsidR="00177848" w:rsidRPr="00C6052E">
              <w:rPr>
                <w:lang w:val="en-AU"/>
              </w:rPr>
              <w:t xml:space="preserve"> </w:t>
            </w:r>
            <w:r w:rsidRPr="00C6052E">
              <w:rPr>
                <w:lang w:val="en-AU"/>
              </w:rPr>
              <w:t>commencements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Australian</w:t>
            </w:r>
            <w:r w:rsidR="00177848" w:rsidRPr="00C6052E">
              <w:rPr>
                <w:lang w:val="en-AU"/>
              </w:rPr>
              <w:t xml:space="preserve"> </w:t>
            </w:r>
            <w:r w:rsidRPr="00C6052E">
              <w:rPr>
                <w:lang w:val="en-AU"/>
              </w:rPr>
              <w:t>Qualifications</w:t>
            </w:r>
            <w:r w:rsidR="00177848" w:rsidRPr="00C6052E">
              <w:rPr>
                <w:lang w:val="en-AU"/>
              </w:rPr>
              <w:t xml:space="preserve"> </w:t>
            </w:r>
            <w:r w:rsidRPr="00C6052E">
              <w:rPr>
                <w:lang w:val="en-AU"/>
              </w:rPr>
              <w:t>Framework</w:t>
            </w:r>
            <w:r w:rsidR="00177848" w:rsidRPr="00C6052E">
              <w:rPr>
                <w:lang w:val="en-AU"/>
              </w:rPr>
              <w:t xml:space="preserve"> </w:t>
            </w:r>
            <w:r w:rsidRPr="00C6052E">
              <w:rPr>
                <w:lang w:val="en-AU"/>
              </w:rPr>
              <w:t>(AQF)</w:t>
            </w:r>
            <w:r w:rsidR="00177848" w:rsidRPr="00C6052E">
              <w:rPr>
                <w:lang w:val="en-AU"/>
              </w:rPr>
              <w:t xml:space="preserve"> </w:t>
            </w:r>
            <w:r w:rsidRPr="00C6052E">
              <w:rPr>
                <w:lang w:val="en-AU"/>
              </w:rPr>
              <w:t>qualifications</w:t>
            </w:r>
          </w:p>
        </w:tc>
        <w:tc>
          <w:tcPr>
            <w:tcW w:w="1020" w:type="dxa"/>
            <w:hideMark/>
          </w:tcPr>
          <w:p w14:paraId="2C8327E1" w14:textId="7B04370A" w:rsidR="00EE5BB8" w:rsidRPr="00C6052E" w:rsidRDefault="00EE5BB8" w:rsidP="00D52474">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3E9DB4C9" w14:textId="77777777" w:rsidR="00EE5BB8" w:rsidRPr="00C6052E" w:rsidRDefault="00EE5BB8" w:rsidP="00D52474">
            <w:pPr>
              <w:pStyle w:val="TableCopy"/>
              <w:jc w:val="right"/>
              <w:rPr>
                <w:lang w:val="en-AU"/>
              </w:rPr>
            </w:pPr>
            <w:r w:rsidRPr="00C6052E">
              <w:rPr>
                <w:lang w:val="en-AU"/>
              </w:rPr>
              <w:t>50.3</w:t>
            </w:r>
          </w:p>
        </w:tc>
        <w:tc>
          <w:tcPr>
            <w:tcW w:w="1020" w:type="dxa"/>
            <w:noWrap/>
            <w:hideMark/>
          </w:tcPr>
          <w:p w14:paraId="432D58E3" w14:textId="77777777" w:rsidR="00EE5BB8" w:rsidRPr="00C6052E" w:rsidRDefault="00EE5BB8" w:rsidP="00D52474">
            <w:pPr>
              <w:pStyle w:val="TableCopy"/>
              <w:jc w:val="right"/>
              <w:rPr>
                <w:lang w:val="en-AU"/>
              </w:rPr>
            </w:pPr>
            <w:r w:rsidRPr="00C6052E">
              <w:rPr>
                <w:lang w:val="en-AU"/>
              </w:rPr>
              <w:t>50</w:t>
            </w:r>
          </w:p>
        </w:tc>
        <w:tc>
          <w:tcPr>
            <w:tcW w:w="1361" w:type="dxa"/>
            <w:noWrap/>
            <w:hideMark/>
          </w:tcPr>
          <w:p w14:paraId="3DB7DC73" w14:textId="77777777" w:rsidR="00EE5BB8" w:rsidRPr="00C6052E" w:rsidRDefault="00EE5BB8" w:rsidP="00D52474">
            <w:pPr>
              <w:pStyle w:val="TableCopy"/>
              <w:jc w:val="right"/>
              <w:rPr>
                <w:lang w:val="en-AU"/>
              </w:rPr>
            </w:pPr>
            <w:r w:rsidRPr="00C6052E">
              <w:rPr>
                <w:lang w:val="en-AU"/>
              </w:rPr>
              <w:t>0.6%</w:t>
            </w:r>
          </w:p>
        </w:tc>
        <w:tc>
          <w:tcPr>
            <w:tcW w:w="795" w:type="dxa"/>
            <w:noWrap/>
            <w:hideMark/>
          </w:tcPr>
          <w:p w14:paraId="5190F567" w14:textId="37C6699C" w:rsidR="00EE5BB8" w:rsidRPr="00C6052E" w:rsidRDefault="00D52474" w:rsidP="00D52474">
            <w:pPr>
              <w:pStyle w:val="TableCopy"/>
              <w:jc w:val="right"/>
              <w:rPr>
                <w:lang w:val="en-AU"/>
              </w:rPr>
            </w:pPr>
            <w:r w:rsidRPr="00C6052E">
              <w:rPr>
                <w:lang w:val="en-AU"/>
              </w:rPr>
              <w:t>1</w:t>
            </w:r>
          </w:p>
        </w:tc>
      </w:tr>
      <w:tr w:rsidR="00EE5BB8" w:rsidRPr="00C6052E" w14:paraId="36E8D5DE" w14:textId="77777777" w:rsidTr="00D52474">
        <w:trPr>
          <w:cantSplit/>
        </w:trPr>
        <w:tc>
          <w:tcPr>
            <w:tcW w:w="4531" w:type="dxa"/>
            <w:hideMark/>
          </w:tcPr>
          <w:p w14:paraId="34EAAD61" w14:textId="77777777" w:rsidR="00EE5BB8" w:rsidRDefault="00EE5BB8" w:rsidP="0063097D">
            <w:pPr>
              <w:pStyle w:val="TableCopy"/>
              <w:rPr>
                <w:lang w:val="en-AU"/>
              </w:rPr>
            </w:pPr>
            <w:r w:rsidRPr="00C6052E">
              <w:rPr>
                <w:lang w:val="en-AU"/>
              </w:rPr>
              <w:t>Six-year</w:t>
            </w:r>
            <w:r w:rsidR="00177848" w:rsidRPr="00C6052E">
              <w:rPr>
                <w:lang w:val="en-AU"/>
              </w:rPr>
              <w:t xml:space="preserve"> </w:t>
            </w:r>
            <w:r w:rsidRPr="00C6052E">
              <w:rPr>
                <w:lang w:val="en-AU"/>
              </w:rPr>
              <w:t>completion</w:t>
            </w:r>
            <w:r w:rsidR="00177848" w:rsidRPr="00C6052E">
              <w:rPr>
                <w:lang w:val="en-AU"/>
              </w:rPr>
              <w:t xml:space="preserve"> </w:t>
            </w:r>
            <w:r w:rsidRPr="00C6052E">
              <w:rPr>
                <w:lang w:val="en-AU"/>
              </w:rPr>
              <w:t>rate</w:t>
            </w:r>
            <w:r w:rsidR="00177848" w:rsidRPr="00C6052E">
              <w:rPr>
                <w:lang w:val="en-AU"/>
              </w:rPr>
              <w:t xml:space="preserve"> </w:t>
            </w:r>
            <w:r w:rsidRPr="00C6052E">
              <w:rPr>
                <w:lang w:val="en-AU"/>
              </w:rPr>
              <w:t>for</w:t>
            </w:r>
            <w:r w:rsidR="00177848" w:rsidRPr="00C6052E">
              <w:rPr>
                <w:lang w:val="en-AU"/>
              </w:rPr>
              <w:t xml:space="preserve"> </w:t>
            </w:r>
            <w:r w:rsidRPr="00C6052E">
              <w:rPr>
                <w:lang w:val="en-AU"/>
              </w:rPr>
              <w:t>apprentice</w:t>
            </w:r>
            <w:r w:rsidR="00177848" w:rsidRPr="00C6052E">
              <w:rPr>
                <w:lang w:val="en-AU"/>
              </w:rPr>
              <w:t xml:space="preserve"> </w:t>
            </w:r>
            <w:r w:rsidRPr="00C6052E">
              <w:rPr>
                <w:lang w:val="en-AU"/>
              </w:rPr>
              <w:t>commencements</w:t>
            </w:r>
            <w:r w:rsidR="00177848" w:rsidRPr="00C6052E">
              <w:rPr>
                <w:lang w:val="en-AU"/>
              </w:rPr>
              <w:t xml:space="preserve"> </w:t>
            </w:r>
            <w:r w:rsidRPr="00C6052E">
              <w:rPr>
                <w:lang w:val="en-AU"/>
              </w:rPr>
              <w:t>in</w:t>
            </w:r>
            <w:r w:rsidR="00177848" w:rsidRPr="00C6052E">
              <w:rPr>
                <w:lang w:val="en-AU"/>
              </w:rPr>
              <w:t xml:space="preserve"> </w:t>
            </w:r>
            <w:r w:rsidRPr="00C6052E">
              <w:rPr>
                <w:lang w:val="en-AU"/>
              </w:rPr>
              <w:t>government</w:t>
            </w:r>
            <w:r w:rsidR="00177848" w:rsidRPr="00C6052E">
              <w:rPr>
                <w:lang w:val="en-AU"/>
              </w:rPr>
              <w:t xml:space="preserve"> </w:t>
            </w:r>
            <w:r w:rsidRPr="00C6052E">
              <w:rPr>
                <w:lang w:val="en-AU"/>
              </w:rPr>
              <w:t>subsidised</w:t>
            </w:r>
            <w:r w:rsidR="00177848" w:rsidRPr="00C6052E">
              <w:rPr>
                <w:lang w:val="en-AU"/>
              </w:rPr>
              <w:t xml:space="preserve"> </w:t>
            </w:r>
            <w:r w:rsidRPr="00C6052E">
              <w:rPr>
                <w:lang w:val="en-AU"/>
              </w:rPr>
              <w:t>AQF</w:t>
            </w:r>
            <w:r w:rsidR="00177848" w:rsidRPr="00C6052E">
              <w:rPr>
                <w:lang w:val="en-AU"/>
              </w:rPr>
              <w:t xml:space="preserve"> </w:t>
            </w:r>
            <w:r w:rsidRPr="00C6052E">
              <w:rPr>
                <w:lang w:val="en-AU"/>
              </w:rPr>
              <w:t>qualifications</w:t>
            </w:r>
          </w:p>
          <w:p w14:paraId="02ED0BC1" w14:textId="4DD3565D" w:rsidR="005D78C4" w:rsidRPr="00C6052E" w:rsidRDefault="005D78C4" w:rsidP="005D78C4">
            <w:pPr>
              <w:pStyle w:val="Tablenotes-indented"/>
              <w:ind w:left="227" w:firstLine="0"/>
              <w:rPr>
                <w:lang w:val="en-AU"/>
              </w:rPr>
            </w:pPr>
            <w:r w:rsidRPr="00C6052E">
              <w:rPr>
                <w:lang w:val="en-AU"/>
              </w:rPr>
              <w:t>Higher result due to investments made to support apprentices, such as Apprenticeships Victoria and apprenticeship support officers.</w:t>
            </w:r>
          </w:p>
        </w:tc>
        <w:tc>
          <w:tcPr>
            <w:tcW w:w="1020" w:type="dxa"/>
            <w:hideMark/>
          </w:tcPr>
          <w:p w14:paraId="5AE8A2A2" w14:textId="4D6295B5" w:rsidR="00EE5BB8" w:rsidRPr="00C6052E" w:rsidRDefault="00EE5BB8" w:rsidP="00D52474">
            <w:pPr>
              <w:pStyle w:val="TableCopy"/>
              <w:jc w:val="right"/>
              <w:rPr>
                <w:lang w:val="en-AU"/>
              </w:rPr>
            </w:pPr>
            <w:r w:rsidRPr="00C6052E">
              <w:rPr>
                <w:lang w:val="en-AU"/>
              </w:rPr>
              <w:t>per</w:t>
            </w:r>
            <w:r w:rsidR="00177848" w:rsidRPr="00C6052E">
              <w:rPr>
                <w:lang w:val="en-AU"/>
              </w:rPr>
              <w:t xml:space="preserve"> </w:t>
            </w:r>
            <w:r w:rsidRPr="00C6052E">
              <w:rPr>
                <w:lang w:val="en-AU"/>
              </w:rPr>
              <w:t>cent</w:t>
            </w:r>
          </w:p>
        </w:tc>
        <w:tc>
          <w:tcPr>
            <w:tcW w:w="1020" w:type="dxa"/>
            <w:noWrap/>
            <w:hideMark/>
          </w:tcPr>
          <w:p w14:paraId="29B4118C" w14:textId="77777777" w:rsidR="00EE5BB8" w:rsidRPr="00C6052E" w:rsidRDefault="00EE5BB8" w:rsidP="00D52474">
            <w:pPr>
              <w:pStyle w:val="TableCopy"/>
              <w:jc w:val="right"/>
              <w:rPr>
                <w:lang w:val="en-AU"/>
              </w:rPr>
            </w:pPr>
            <w:r w:rsidRPr="00C6052E">
              <w:rPr>
                <w:lang w:val="en-AU"/>
              </w:rPr>
              <w:t>61.1</w:t>
            </w:r>
          </w:p>
        </w:tc>
        <w:tc>
          <w:tcPr>
            <w:tcW w:w="1020" w:type="dxa"/>
            <w:noWrap/>
            <w:hideMark/>
          </w:tcPr>
          <w:p w14:paraId="7C11F987" w14:textId="77777777" w:rsidR="00EE5BB8" w:rsidRPr="00C6052E" w:rsidRDefault="00EE5BB8" w:rsidP="00D52474">
            <w:pPr>
              <w:pStyle w:val="TableCopy"/>
              <w:jc w:val="right"/>
              <w:rPr>
                <w:lang w:val="en-AU"/>
              </w:rPr>
            </w:pPr>
            <w:r w:rsidRPr="00C6052E">
              <w:rPr>
                <w:lang w:val="en-AU"/>
              </w:rPr>
              <w:t>58</w:t>
            </w:r>
          </w:p>
        </w:tc>
        <w:tc>
          <w:tcPr>
            <w:tcW w:w="1361" w:type="dxa"/>
            <w:noWrap/>
            <w:hideMark/>
          </w:tcPr>
          <w:p w14:paraId="589EAFCB" w14:textId="77777777" w:rsidR="00EE5BB8" w:rsidRPr="00C6052E" w:rsidRDefault="00EE5BB8" w:rsidP="00D52474">
            <w:pPr>
              <w:pStyle w:val="TableCopy"/>
              <w:jc w:val="right"/>
              <w:rPr>
                <w:lang w:val="en-AU"/>
              </w:rPr>
            </w:pPr>
            <w:r w:rsidRPr="00C6052E">
              <w:rPr>
                <w:lang w:val="en-AU"/>
              </w:rPr>
              <w:t>5.3%</w:t>
            </w:r>
          </w:p>
        </w:tc>
        <w:tc>
          <w:tcPr>
            <w:tcW w:w="795" w:type="dxa"/>
            <w:noWrap/>
            <w:hideMark/>
          </w:tcPr>
          <w:p w14:paraId="5ACAF368" w14:textId="73EE24DF" w:rsidR="00EE5BB8" w:rsidRPr="00C6052E" w:rsidRDefault="00D52474" w:rsidP="00D52474">
            <w:pPr>
              <w:pStyle w:val="TableCopy"/>
              <w:jc w:val="right"/>
              <w:rPr>
                <w:lang w:val="en-AU"/>
              </w:rPr>
            </w:pPr>
            <w:r w:rsidRPr="00C6052E">
              <w:rPr>
                <w:lang w:val="en-AU"/>
              </w:rPr>
              <w:t>1</w:t>
            </w:r>
          </w:p>
        </w:tc>
      </w:tr>
      <w:tr w:rsidR="00D52474" w:rsidRPr="00C6052E" w14:paraId="4376D68E" w14:textId="77777777" w:rsidTr="00D52474">
        <w:trPr>
          <w:cantSplit/>
        </w:trPr>
        <w:tc>
          <w:tcPr>
            <w:tcW w:w="4531" w:type="dxa"/>
          </w:tcPr>
          <w:p w14:paraId="7AA1EF44" w14:textId="2ADF40FD" w:rsidR="00D52474" w:rsidRPr="00C6052E" w:rsidRDefault="00D52474" w:rsidP="0063097D">
            <w:pPr>
              <w:pStyle w:val="TableHeading"/>
              <w:rPr>
                <w:lang w:val="en-AU"/>
              </w:rPr>
            </w:pPr>
            <w:r w:rsidRPr="00C6052E">
              <w:rPr>
                <w:lang w:val="en-AU"/>
              </w:rPr>
              <w:t>Cost</w:t>
            </w:r>
          </w:p>
        </w:tc>
        <w:tc>
          <w:tcPr>
            <w:tcW w:w="1020" w:type="dxa"/>
          </w:tcPr>
          <w:p w14:paraId="3164ED5A" w14:textId="77777777" w:rsidR="00D52474" w:rsidRPr="00C6052E" w:rsidRDefault="00D52474" w:rsidP="00D52474">
            <w:pPr>
              <w:pStyle w:val="TableHeading"/>
              <w:jc w:val="right"/>
              <w:rPr>
                <w:lang w:val="en-AU"/>
              </w:rPr>
            </w:pPr>
          </w:p>
        </w:tc>
        <w:tc>
          <w:tcPr>
            <w:tcW w:w="1020" w:type="dxa"/>
            <w:noWrap/>
          </w:tcPr>
          <w:p w14:paraId="07F27409" w14:textId="77777777" w:rsidR="00D52474" w:rsidRPr="00C6052E" w:rsidRDefault="00D52474" w:rsidP="00D52474">
            <w:pPr>
              <w:pStyle w:val="TableHeading"/>
              <w:jc w:val="right"/>
              <w:rPr>
                <w:lang w:val="en-AU"/>
              </w:rPr>
            </w:pPr>
          </w:p>
        </w:tc>
        <w:tc>
          <w:tcPr>
            <w:tcW w:w="1020" w:type="dxa"/>
            <w:noWrap/>
          </w:tcPr>
          <w:p w14:paraId="7B5A24AE" w14:textId="77777777" w:rsidR="00D52474" w:rsidRPr="00C6052E" w:rsidRDefault="00D52474" w:rsidP="00D52474">
            <w:pPr>
              <w:pStyle w:val="TableHeading"/>
              <w:jc w:val="right"/>
              <w:rPr>
                <w:lang w:val="en-AU"/>
              </w:rPr>
            </w:pPr>
          </w:p>
        </w:tc>
        <w:tc>
          <w:tcPr>
            <w:tcW w:w="1361" w:type="dxa"/>
            <w:noWrap/>
          </w:tcPr>
          <w:p w14:paraId="4C3E15E1" w14:textId="77777777" w:rsidR="00D52474" w:rsidRPr="00C6052E" w:rsidRDefault="00D52474" w:rsidP="00D52474">
            <w:pPr>
              <w:pStyle w:val="TableHeading"/>
              <w:jc w:val="right"/>
              <w:rPr>
                <w:lang w:val="en-AU"/>
              </w:rPr>
            </w:pPr>
          </w:p>
        </w:tc>
        <w:tc>
          <w:tcPr>
            <w:tcW w:w="795" w:type="dxa"/>
            <w:noWrap/>
          </w:tcPr>
          <w:p w14:paraId="04DA3D85" w14:textId="77777777" w:rsidR="00D52474" w:rsidRPr="00C6052E" w:rsidRDefault="00D52474" w:rsidP="00D52474">
            <w:pPr>
              <w:pStyle w:val="TableHeading"/>
              <w:jc w:val="right"/>
              <w:rPr>
                <w:rStyle w:val="Wingdings"/>
                <w:rFonts w:ascii="Arial" w:hAnsi="Arial"/>
                <w:lang w:val="en-AU"/>
              </w:rPr>
            </w:pPr>
          </w:p>
        </w:tc>
      </w:tr>
      <w:tr w:rsidR="00EE5BB8" w:rsidRPr="00C6052E" w14:paraId="0B1F0D8B" w14:textId="77777777" w:rsidTr="00D52474">
        <w:trPr>
          <w:cantSplit/>
        </w:trPr>
        <w:tc>
          <w:tcPr>
            <w:tcW w:w="4531" w:type="dxa"/>
            <w:hideMark/>
          </w:tcPr>
          <w:p w14:paraId="068EC632" w14:textId="4941C0FC" w:rsidR="00EE5BB8" w:rsidRPr="00C6052E" w:rsidRDefault="00EE5BB8" w:rsidP="00B53837">
            <w:pPr>
              <w:pStyle w:val="Tabletotal"/>
              <w:rPr>
                <w:lang w:val="en-AU"/>
              </w:rPr>
            </w:pPr>
            <w:r w:rsidRPr="00C6052E">
              <w:rPr>
                <w:lang w:val="en-AU"/>
              </w:rPr>
              <w:t>Total</w:t>
            </w:r>
            <w:r w:rsidR="00177848" w:rsidRPr="00C6052E">
              <w:rPr>
                <w:lang w:val="en-AU"/>
              </w:rPr>
              <w:t xml:space="preserve"> </w:t>
            </w:r>
            <w:r w:rsidRPr="00C6052E">
              <w:rPr>
                <w:lang w:val="en-AU"/>
              </w:rPr>
              <w:t>output</w:t>
            </w:r>
            <w:r w:rsidR="00177848" w:rsidRPr="00C6052E">
              <w:rPr>
                <w:lang w:val="en-AU"/>
              </w:rPr>
              <w:t xml:space="preserve"> </w:t>
            </w:r>
            <w:r w:rsidRPr="00C6052E">
              <w:rPr>
                <w:lang w:val="en-AU"/>
              </w:rPr>
              <w:t>cost</w:t>
            </w:r>
          </w:p>
        </w:tc>
        <w:tc>
          <w:tcPr>
            <w:tcW w:w="1020" w:type="dxa"/>
            <w:hideMark/>
          </w:tcPr>
          <w:p w14:paraId="2E560E42" w14:textId="51AAAAEE" w:rsidR="00EE5BB8" w:rsidRPr="00C6052E" w:rsidRDefault="00EE5BB8" w:rsidP="00B53837">
            <w:pPr>
              <w:pStyle w:val="Tabletotal"/>
              <w:jc w:val="right"/>
              <w:rPr>
                <w:lang w:val="en-AU"/>
              </w:rPr>
            </w:pPr>
            <w:r w:rsidRPr="00C6052E">
              <w:rPr>
                <w:lang w:val="en-AU"/>
              </w:rPr>
              <w:t>$</w:t>
            </w:r>
            <w:r w:rsidR="00177848" w:rsidRPr="00C6052E">
              <w:rPr>
                <w:lang w:val="en-AU"/>
              </w:rPr>
              <w:t xml:space="preserve"> </w:t>
            </w:r>
            <w:r w:rsidRPr="00C6052E">
              <w:rPr>
                <w:lang w:val="en-AU"/>
              </w:rPr>
              <w:t>million</w:t>
            </w:r>
          </w:p>
        </w:tc>
        <w:tc>
          <w:tcPr>
            <w:tcW w:w="1020" w:type="dxa"/>
            <w:noWrap/>
            <w:hideMark/>
          </w:tcPr>
          <w:p w14:paraId="366DC641" w14:textId="77777777" w:rsidR="00EE5BB8" w:rsidRPr="00C6052E" w:rsidRDefault="00EE5BB8" w:rsidP="00B53837">
            <w:pPr>
              <w:pStyle w:val="Tabletotal"/>
              <w:jc w:val="right"/>
              <w:rPr>
                <w:lang w:val="en-AU"/>
              </w:rPr>
            </w:pPr>
            <w:r w:rsidRPr="00C6052E">
              <w:rPr>
                <w:lang w:val="en-AU"/>
              </w:rPr>
              <w:t>2,184.0</w:t>
            </w:r>
          </w:p>
        </w:tc>
        <w:tc>
          <w:tcPr>
            <w:tcW w:w="1020" w:type="dxa"/>
            <w:noWrap/>
            <w:hideMark/>
          </w:tcPr>
          <w:p w14:paraId="2C5B8202" w14:textId="77777777" w:rsidR="00EE5BB8" w:rsidRPr="00C6052E" w:rsidRDefault="00EE5BB8" w:rsidP="00B53837">
            <w:pPr>
              <w:pStyle w:val="Tabletotal"/>
              <w:jc w:val="right"/>
              <w:rPr>
                <w:lang w:val="en-AU"/>
              </w:rPr>
            </w:pPr>
            <w:r w:rsidRPr="00C6052E">
              <w:rPr>
                <w:lang w:val="en-AU"/>
              </w:rPr>
              <w:t>2,202.5</w:t>
            </w:r>
          </w:p>
        </w:tc>
        <w:tc>
          <w:tcPr>
            <w:tcW w:w="1361" w:type="dxa"/>
            <w:noWrap/>
            <w:hideMark/>
          </w:tcPr>
          <w:p w14:paraId="4D974AC3" w14:textId="77777777" w:rsidR="00EE5BB8" w:rsidRPr="00C6052E" w:rsidRDefault="00EE5BB8" w:rsidP="00B53837">
            <w:pPr>
              <w:pStyle w:val="Tabletotal"/>
              <w:jc w:val="right"/>
              <w:rPr>
                <w:lang w:val="en-AU"/>
              </w:rPr>
            </w:pPr>
            <w:r w:rsidRPr="00C6052E">
              <w:rPr>
                <w:lang w:val="en-AU"/>
              </w:rPr>
              <w:t>-0.8%</w:t>
            </w:r>
          </w:p>
        </w:tc>
        <w:tc>
          <w:tcPr>
            <w:tcW w:w="795" w:type="dxa"/>
            <w:noWrap/>
            <w:hideMark/>
          </w:tcPr>
          <w:p w14:paraId="401BF1FB" w14:textId="399A939F" w:rsidR="00EE5BB8" w:rsidRPr="00C6052E" w:rsidRDefault="00D52474" w:rsidP="00B53837">
            <w:pPr>
              <w:pStyle w:val="Tabletotal"/>
              <w:jc w:val="right"/>
              <w:rPr>
                <w:lang w:val="en-AU"/>
              </w:rPr>
            </w:pPr>
            <w:r w:rsidRPr="00C6052E">
              <w:rPr>
                <w:lang w:val="en-AU"/>
              </w:rPr>
              <w:t>1</w:t>
            </w:r>
          </w:p>
        </w:tc>
      </w:tr>
    </w:tbl>
    <w:p w14:paraId="41573B6D" w14:textId="79722371" w:rsidR="00EE5BB8" w:rsidRPr="00C6052E" w:rsidRDefault="00EE5BB8" w:rsidP="00EE5BB8">
      <w:pPr>
        <w:pStyle w:val="Tablenotes"/>
      </w:pPr>
      <w:r w:rsidRPr="00C6052E">
        <w:t>Note:</w:t>
      </w:r>
      <w:r w:rsidR="00177848" w:rsidRPr="00C6052E">
        <w:t xml:space="preserve"> </w:t>
      </w:r>
      <w:r w:rsidR="00D52474" w:rsidRPr="00C6052E">
        <w:t>1</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achieved</w:t>
      </w:r>
      <w:r w:rsidR="00177848" w:rsidRPr="00C6052E">
        <w:t xml:space="preserve"> </w:t>
      </w:r>
      <w:r w:rsidRPr="00C6052E">
        <w:t>or</w:t>
      </w:r>
      <w:r w:rsidR="00177848" w:rsidRPr="00C6052E">
        <w:t xml:space="preserve"> </w:t>
      </w:r>
      <w:r w:rsidRPr="00C6052E">
        <w:t>exceeded</w:t>
      </w:r>
      <w:r w:rsidRPr="00C6052E">
        <w:br/>
      </w:r>
      <w:r w:rsidR="00177848" w:rsidRPr="00C6052E">
        <w:t xml:space="preserve"> </w:t>
      </w:r>
      <w:r w:rsidR="00D52474" w:rsidRPr="00C6052E">
        <w:t xml:space="preserve"> </w:t>
      </w:r>
      <w:r w:rsidR="00177848" w:rsidRPr="00C6052E">
        <w:t xml:space="preserve"> </w:t>
      </w:r>
      <w:r w:rsidR="00D52474" w:rsidRPr="00C6052E">
        <w:t>2</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within</w:t>
      </w:r>
      <w:r w:rsidR="00177848" w:rsidRPr="00C6052E">
        <w:t xml:space="preserve"> </w:t>
      </w:r>
      <w:r w:rsidRPr="00C6052E">
        <w:t>5%</w:t>
      </w:r>
      <w:r w:rsidR="00177848" w:rsidRPr="00C6052E">
        <w:t xml:space="preserve"> </w:t>
      </w:r>
      <w:r w:rsidRPr="00C6052E">
        <w:t>variance</w:t>
      </w:r>
      <w:r w:rsidRPr="00C6052E">
        <w:br/>
      </w:r>
      <w:r w:rsidR="00177848" w:rsidRPr="00C6052E">
        <w:t xml:space="preserve">  </w:t>
      </w:r>
      <w:r w:rsidR="00D52474" w:rsidRPr="00C6052E">
        <w:t xml:space="preserve"> 3</w:t>
      </w:r>
      <w:r w:rsidR="00177848" w:rsidRPr="00C6052E">
        <w:t xml:space="preserve"> </w:t>
      </w:r>
      <w:r w:rsidRPr="00C6052E">
        <w:t>Performance</w:t>
      </w:r>
      <w:r w:rsidR="00177848" w:rsidRPr="00C6052E">
        <w:t xml:space="preserve"> </w:t>
      </w:r>
      <w:r w:rsidRPr="00C6052E">
        <w:t>target</w:t>
      </w:r>
      <w:r w:rsidR="00177848" w:rsidRPr="00C6052E">
        <w:t xml:space="preserve"> </w:t>
      </w:r>
      <w:r w:rsidRPr="00C6052E">
        <w:t>not</w:t>
      </w:r>
      <w:r w:rsidR="00177848" w:rsidRPr="00C6052E">
        <w:t xml:space="preserve"> </w:t>
      </w:r>
      <w:r w:rsidRPr="00C6052E">
        <w:t>achieved</w:t>
      </w:r>
      <w:r w:rsidR="00177848" w:rsidRPr="00C6052E">
        <w:t xml:space="preserve"> </w:t>
      </w:r>
      <w:r w:rsidRPr="00C6052E">
        <w:t>exceeds</w:t>
      </w:r>
      <w:r w:rsidR="00177848" w:rsidRPr="00C6052E">
        <w:t xml:space="preserve"> </w:t>
      </w:r>
      <w:r w:rsidRPr="00C6052E">
        <w:t>5%</w:t>
      </w:r>
      <w:r w:rsidR="00177848" w:rsidRPr="00C6052E">
        <w:t xml:space="preserve"> </w:t>
      </w:r>
      <w:r w:rsidRPr="00C6052E">
        <w:t>variance</w:t>
      </w:r>
    </w:p>
    <w:p w14:paraId="4A8FABB3" w14:textId="77777777" w:rsidR="00EE5BB8" w:rsidRPr="00C6052E" w:rsidRDefault="00EE5BB8" w:rsidP="00EE5BB8"/>
    <w:sectPr w:rsidR="00EE5BB8" w:rsidRPr="00C6052E" w:rsidSect="00EE5BB8">
      <w:headerReference w:type="even" r:id="rId39"/>
      <w:headerReference w:type="default" r:id="rId40"/>
      <w:footerReference w:type="even" r:id="rId41"/>
      <w:footerReference w:type="default" r:id="rId42"/>
      <w:pgSz w:w="11907" w:h="16840" w:code="9"/>
      <w:pgMar w:top="1134" w:right="1134" w:bottom="1134" w:left="1134"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A22D" w14:textId="77777777" w:rsidR="00EE5BB8" w:rsidRPr="00C6052E" w:rsidRDefault="00EE5BB8" w:rsidP="00EE5BB8">
      <w:pPr>
        <w:spacing w:after="0" w:line="240" w:lineRule="auto"/>
      </w:pPr>
      <w:r w:rsidRPr="00C6052E">
        <w:separator/>
      </w:r>
    </w:p>
  </w:endnote>
  <w:endnote w:type="continuationSeparator" w:id="0">
    <w:p w14:paraId="62008B48" w14:textId="77777777" w:rsidR="00EE5BB8" w:rsidRPr="00C6052E" w:rsidRDefault="00EE5BB8" w:rsidP="00EE5BB8">
      <w:pPr>
        <w:spacing w:after="0" w:line="240" w:lineRule="auto"/>
      </w:pPr>
      <w:r w:rsidRPr="00C605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Light Italic">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Medium">
    <w:panose1 w:val="00000600000000000000"/>
    <w:charset w:val="00"/>
    <w:family w:val="auto"/>
    <w:pitch w:val="variable"/>
    <w:sig w:usb0="00000007" w:usb1="00000000" w:usb2="00000000" w:usb3="00000000" w:csb0="00000093" w:csb1="00000000"/>
  </w:font>
  <w:font w:name="VIC SemiBold Italic">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IC-Light">
    <w:altName w:val="VIC"/>
    <w:panose1 w:val="00000000000000000000"/>
    <w:charset w:val="4D"/>
    <w:family w:val="auto"/>
    <w:notTrueType/>
    <w:pitch w:val="default"/>
    <w:sig w:usb0="00000003" w:usb1="00000000" w:usb2="00000000" w:usb3="00000000" w:csb0="00000001" w:csb1="00000000"/>
  </w:font>
  <w:font w:name="VIC-Regular">
    <w:altName w:val="VIC"/>
    <w:panose1 w:val="00000000000000000000"/>
    <w:charset w:val="4D"/>
    <w:family w:val="auto"/>
    <w:notTrueType/>
    <w:pitch w:val="default"/>
    <w:sig w:usb0="00000003" w:usb1="00000000" w:usb2="00000000" w:usb3="00000000" w:csb0="00000001" w:csb1="00000000"/>
  </w:font>
  <w:font w:name="VIC-LightItalic">
    <w:altName w:val="VIC"/>
    <w:panose1 w:val="00000000000000000000"/>
    <w:charset w:val="4D"/>
    <w:family w:val="auto"/>
    <w:notTrueType/>
    <w:pitch w:val="default"/>
    <w:sig w:usb0="00000003" w:usb1="00000000" w:usb2="00000000" w:usb3="00000000" w:csb0="00000001" w:csb1="00000000"/>
  </w:font>
  <w:font w:name="VIC-SemiBold">
    <w:altName w:val="VIC"/>
    <w:panose1 w:val="00000000000000000000"/>
    <w:charset w:val="4D"/>
    <w:family w:val="auto"/>
    <w:notTrueType/>
    <w:pitch w:val="default"/>
    <w:sig w:usb0="00000003" w:usb1="00000000" w:usb2="00000000" w:usb3="00000000" w:csb0="00000001" w:csb1="00000000"/>
  </w:font>
  <w:font w:name="VIC-Medium">
    <w:altName w:val="VIC"/>
    <w:panose1 w:val="00000000000000000000"/>
    <w:charset w:val="4D"/>
    <w:family w:val="auto"/>
    <w:notTrueType/>
    <w:pitch w:val="default"/>
    <w:sig w:usb0="00000003" w:usb1="00000000" w:usb2="00000000" w:usb3="00000000" w:csb0="00000001"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B53D" w14:textId="7656833B" w:rsidR="00EE5BB8" w:rsidRPr="00C6052E" w:rsidRDefault="00EE5BB8">
    <w:pPr>
      <w:pStyle w:val="Footer"/>
    </w:pPr>
    <w:r w:rsidRPr="00C6052E">
      <w:rPr>
        <w:noProof/>
        <w14:ligatures w14:val="standardContextual"/>
      </w:rPr>
      <mc:AlternateContent>
        <mc:Choice Requires="wps">
          <w:drawing>
            <wp:anchor distT="0" distB="0" distL="0" distR="0" simplePos="0" relativeHeight="251658268" behindDoc="0" locked="0" layoutInCell="1" allowOverlap="1" wp14:anchorId="6FF5724E" wp14:editId="6BD82792">
              <wp:simplePos x="635" y="635"/>
              <wp:positionH relativeFrom="page">
                <wp:align>center</wp:align>
              </wp:positionH>
              <wp:positionV relativeFrom="page">
                <wp:align>bottom</wp:align>
              </wp:positionV>
              <wp:extent cx="906145" cy="393700"/>
              <wp:effectExtent l="0" t="0" r="8255" b="0"/>
              <wp:wrapNone/>
              <wp:docPr id="1589362439" name="Text Box 10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3A5EF697" w14:textId="6826D9BE"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5724E" id="_x0000_t202" coordsize="21600,21600" o:spt="202" path="m,l,21600r21600,l21600,xe">
              <v:stroke joinstyle="miter"/>
              <v:path gradientshapeok="t" o:connecttype="rect"/>
            </v:shapetype>
            <v:shape id="Text Box 101" o:spid="_x0000_s1027" type="#_x0000_t202" alt="UNOFFICIAL" style="position:absolute;margin-left:0;margin-top:0;width:71.35pt;height:31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" filled="f" stroked="f">
              <v:textbox style="mso-fit-shape-to-text:t" inset="0,0,0,15pt">
                <w:txbxContent>
                  <w:p w14:paraId="3A5EF697" w14:textId="6826D9BE"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D560" w14:textId="21D7F673" w:rsidR="00EE5BB8" w:rsidRPr="00C6052E" w:rsidRDefault="00EE5BB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3189" w14:textId="77777777" w:rsidR="00EE5BB8" w:rsidRPr="00C6052E" w:rsidRDefault="00EE5BB8" w:rsidP="00EE5BB8">
      <w:pPr>
        <w:spacing w:after="0" w:line="240" w:lineRule="auto"/>
      </w:pPr>
      <w:r w:rsidRPr="00C6052E">
        <w:separator/>
      </w:r>
    </w:p>
  </w:footnote>
  <w:footnote w:type="continuationSeparator" w:id="0">
    <w:p w14:paraId="288FF812" w14:textId="77777777" w:rsidR="00EE5BB8" w:rsidRPr="00C6052E" w:rsidRDefault="00EE5BB8" w:rsidP="00EE5BB8">
      <w:pPr>
        <w:spacing w:after="0" w:line="240" w:lineRule="auto"/>
      </w:pPr>
      <w:r w:rsidRPr="00C6052E">
        <w:continuationSeparator/>
      </w:r>
    </w:p>
  </w:footnote>
  <w:footnote w:id="1">
    <w:p w14:paraId="33EF1BBC" w14:textId="3E1067F5" w:rsidR="00EE5BB8" w:rsidRPr="00C6052E" w:rsidRDefault="00EE5BB8" w:rsidP="00EE5BB8">
      <w:pPr>
        <w:pStyle w:val="Footnote"/>
      </w:pPr>
      <w:r w:rsidRPr="00C6052E">
        <w:rPr>
          <w:lang w:eastAsia="ja-JP"/>
        </w:rPr>
        <w:footnoteRef/>
      </w:r>
      <w:r w:rsidR="00177848" w:rsidRPr="00C6052E">
        <w:rPr>
          <w:lang w:eastAsia="ja-JP"/>
        </w:rPr>
        <w:t xml:space="preserve"> </w:t>
      </w:r>
      <w:r w:rsidRPr="00C6052E">
        <w:rPr>
          <w:lang w:eastAsia="ja-JP"/>
        </w:rPr>
        <w:t>The</w:t>
      </w:r>
      <w:r w:rsidR="00177848" w:rsidRPr="00C6052E">
        <w:rPr>
          <w:lang w:eastAsia="ja-JP"/>
        </w:rPr>
        <w:t xml:space="preserve"> </w:t>
      </w:r>
      <w:r w:rsidRPr="00C6052E">
        <w:rPr>
          <w:lang w:eastAsia="ja-JP"/>
        </w:rPr>
        <w:t>MPSG</w:t>
      </w:r>
      <w:r w:rsidR="00177848" w:rsidRPr="00C6052E">
        <w:rPr>
          <w:lang w:eastAsia="ja-JP"/>
        </w:rPr>
        <w:t xml:space="preserve"> </w:t>
      </w:r>
      <w:r w:rsidRPr="00C6052E">
        <w:rPr>
          <w:lang w:eastAsia="ja-JP"/>
        </w:rPr>
        <w:t>reports</w:t>
      </w:r>
      <w:r w:rsidR="00177848" w:rsidRPr="00C6052E">
        <w:rPr>
          <w:lang w:eastAsia="ja-JP"/>
        </w:rPr>
        <w:t xml:space="preserve"> </w:t>
      </w:r>
      <w:r w:rsidRPr="00C6052E">
        <w:rPr>
          <w:lang w:eastAsia="ja-JP"/>
        </w:rPr>
        <w:t>on</w:t>
      </w:r>
      <w:r w:rsidR="00177848" w:rsidRPr="00C6052E">
        <w:rPr>
          <w:lang w:eastAsia="ja-JP"/>
        </w:rPr>
        <w:t xml:space="preserve"> </w:t>
      </w:r>
      <w:r w:rsidRPr="00C6052E">
        <w:rPr>
          <w:lang w:eastAsia="ja-JP"/>
        </w:rPr>
        <w:t>30</w:t>
      </w:r>
      <w:r w:rsidR="00177848" w:rsidRPr="00C6052E">
        <w:rPr>
          <w:lang w:eastAsia="ja-JP"/>
        </w:rPr>
        <w:t xml:space="preserve"> </w:t>
      </w:r>
      <w:r w:rsidRPr="00C6052E">
        <w:rPr>
          <w:lang w:eastAsia="ja-JP"/>
        </w:rPr>
        <w:t>March</w:t>
      </w:r>
      <w:r w:rsidR="00177848" w:rsidRPr="00C6052E">
        <w:rPr>
          <w:lang w:eastAsia="ja-JP"/>
        </w:rPr>
        <w:t xml:space="preserve"> </w:t>
      </w:r>
      <w:r w:rsidRPr="00C6052E">
        <w:rPr>
          <w:lang w:eastAsia="ja-JP"/>
        </w:rPr>
        <w:t>and</w:t>
      </w:r>
      <w:r w:rsidR="00177848" w:rsidRPr="00C6052E">
        <w:rPr>
          <w:lang w:eastAsia="ja-JP"/>
        </w:rPr>
        <w:t xml:space="preserve"> </w:t>
      </w:r>
      <w:r w:rsidRPr="00C6052E">
        <w:rPr>
          <w:lang w:eastAsia="ja-JP"/>
        </w:rPr>
        <w:t>30</w:t>
      </w:r>
      <w:r w:rsidR="00177848" w:rsidRPr="00C6052E">
        <w:rPr>
          <w:lang w:eastAsia="ja-JP"/>
        </w:rPr>
        <w:t xml:space="preserve"> </w:t>
      </w:r>
      <w:r w:rsidRPr="00C6052E">
        <w:rPr>
          <w:lang w:eastAsia="ja-JP"/>
        </w:rPr>
        <w:t>September</w:t>
      </w:r>
      <w:r w:rsidR="00177848" w:rsidRPr="00C6052E">
        <w:rPr>
          <w:lang w:eastAsia="ja-JP"/>
        </w:rPr>
        <w:t xml:space="preserve"> </w:t>
      </w:r>
      <w:r w:rsidRPr="00C6052E">
        <w:rPr>
          <w:lang w:eastAsia="ja-JP"/>
        </w:rPr>
        <w:t>each</w:t>
      </w:r>
      <w:r w:rsidR="00177848" w:rsidRPr="00C6052E">
        <w:rPr>
          <w:lang w:eastAsia="ja-JP"/>
        </w:rPr>
        <w:t xml:space="preserve"> </w:t>
      </w:r>
      <w:r w:rsidRPr="00C6052E">
        <w:rPr>
          <w:lang w:eastAsia="ja-JP"/>
        </w:rPr>
        <w:t>year.</w:t>
      </w:r>
    </w:p>
  </w:footnote>
  <w:footnote w:id="2">
    <w:p w14:paraId="7707D2A9" w14:textId="3EE90FD2" w:rsidR="00EE5BB8" w:rsidRPr="00C6052E" w:rsidRDefault="00EE5BB8" w:rsidP="00EE5BB8">
      <w:pPr>
        <w:pStyle w:val="Footnote"/>
      </w:pPr>
      <w:r w:rsidRPr="00C6052E">
        <w:rPr>
          <w:rStyle w:val="FootnoteReference"/>
          <w:rFonts w:ascii="VIC Light" w:hAnsi="VIC Light"/>
          <w:sz w:val="18"/>
          <w:szCs w:val="18"/>
        </w:rPr>
        <w:footnoteRef/>
      </w:r>
      <w:r w:rsidR="00177848" w:rsidRPr="00C6052E">
        <w:t xml:space="preserve"> </w:t>
      </w:r>
      <w:r w:rsidRPr="00C6052E">
        <w:tab/>
        <w:t>Australian</w:t>
      </w:r>
      <w:r w:rsidR="00177848" w:rsidRPr="00C6052E">
        <w:t xml:space="preserve"> </w:t>
      </w:r>
      <w:r w:rsidRPr="00C6052E">
        <w:t>National</w:t>
      </w:r>
      <w:r w:rsidR="00177848" w:rsidRPr="00C6052E">
        <w:t xml:space="preserve"> </w:t>
      </w:r>
      <w:r w:rsidRPr="00C6052E">
        <w:t>Accounts:</w:t>
      </w:r>
      <w:r w:rsidR="00177848" w:rsidRPr="00C6052E">
        <w:t xml:space="preserve"> </w:t>
      </w:r>
      <w:r w:rsidRPr="00C6052E">
        <w:t>State</w:t>
      </w:r>
      <w:r w:rsidR="00177848" w:rsidRPr="00C6052E">
        <w:t xml:space="preserve"> </w:t>
      </w:r>
      <w:r w:rsidRPr="00C6052E">
        <w:t>Accounts,</w:t>
      </w:r>
      <w:r w:rsidR="00177848" w:rsidRPr="00C6052E">
        <w:t xml:space="preserve"> </w:t>
      </w:r>
      <w:r w:rsidRPr="00C6052E">
        <w:t>2023–24</w:t>
      </w:r>
      <w:r w:rsidR="00177848" w:rsidRPr="00C6052E">
        <w:t xml:space="preserve"> </w:t>
      </w:r>
      <w:r w:rsidRPr="00C6052E">
        <w:t>financial</w:t>
      </w:r>
      <w:r w:rsidR="00177848" w:rsidRPr="00C6052E">
        <w:t xml:space="preserve"> </w:t>
      </w:r>
      <w:r w:rsidRPr="00C6052E">
        <w:t>year,</w:t>
      </w:r>
      <w:r w:rsidR="00177848" w:rsidRPr="00C6052E">
        <w:t xml:space="preserve"> </w:t>
      </w:r>
      <w:r w:rsidRPr="00C6052E">
        <w:t>Australian</w:t>
      </w:r>
      <w:r w:rsidR="00177848" w:rsidRPr="00C6052E">
        <w:t xml:space="preserve"> </w:t>
      </w:r>
      <w:r w:rsidRPr="00C6052E">
        <w:t>Bureau</w:t>
      </w:r>
      <w:r w:rsidR="00177848" w:rsidRPr="00C6052E">
        <w:t xml:space="preserve"> </w:t>
      </w:r>
      <w:r w:rsidRPr="00C6052E">
        <w:t>of</w:t>
      </w:r>
      <w:r w:rsidR="00177848" w:rsidRPr="00C6052E">
        <w:t xml:space="preserve"> </w:t>
      </w:r>
      <w:r w:rsidRPr="00C6052E">
        <w:t>Statistics</w:t>
      </w:r>
    </w:p>
  </w:footnote>
  <w:footnote w:id="3">
    <w:p w14:paraId="022995A9" w14:textId="27CB4F95" w:rsidR="00EE5BB8" w:rsidRDefault="00EE5BB8" w:rsidP="00EE5BB8">
      <w:pPr>
        <w:pStyle w:val="Footnote"/>
        <w:rPr>
          <w:lang w:eastAsia="en-AU"/>
        </w:rPr>
      </w:pPr>
      <w:r w:rsidRPr="00C6052E">
        <w:rPr>
          <w:rStyle w:val="FootnoteReference"/>
        </w:rPr>
        <w:footnoteRef/>
      </w:r>
      <w:r w:rsidR="00177848" w:rsidRPr="00C6052E">
        <w:t xml:space="preserve"> </w:t>
      </w:r>
      <w:r w:rsidRPr="00C6052E">
        <w:tab/>
      </w:r>
      <w:r w:rsidRPr="00C6052E">
        <w:rPr>
          <w:lang w:eastAsia="en-AU"/>
        </w:rPr>
        <w:t>Tourism</w:t>
      </w:r>
      <w:r w:rsidR="00177848" w:rsidRPr="00C6052E">
        <w:rPr>
          <w:lang w:eastAsia="en-AU"/>
        </w:rPr>
        <w:t xml:space="preserve"> </w:t>
      </w:r>
      <w:r w:rsidRPr="00C6052E">
        <w:rPr>
          <w:lang w:eastAsia="en-AU"/>
        </w:rPr>
        <w:t>Research</w:t>
      </w:r>
      <w:r w:rsidR="00177848" w:rsidRPr="00C6052E">
        <w:rPr>
          <w:lang w:eastAsia="en-AU"/>
        </w:rPr>
        <w:t xml:space="preserve"> </w:t>
      </w:r>
      <w:r w:rsidRPr="00C6052E">
        <w:rPr>
          <w:lang w:eastAsia="en-AU"/>
        </w:rPr>
        <w:t>Australia</w:t>
      </w:r>
      <w:r w:rsidR="00177848" w:rsidRPr="00C6052E">
        <w:rPr>
          <w:lang w:eastAsia="en-AU"/>
        </w:rPr>
        <w:t xml:space="preserve"> </w:t>
      </w:r>
      <w:r w:rsidRPr="00C6052E">
        <w:rPr>
          <w:lang w:eastAsia="en-AU"/>
        </w:rPr>
        <w:t>implemented</w:t>
      </w:r>
      <w:r w:rsidR="00177848" w:rsidRPr="00C6052E">
        <w:rPr>
          <w:lang w:eastAsia="en-AU"/>
        </w:rPr>
        <w:t xml:space="preserve"> </w:t>
      </w:r>
      <w:r w:rsidRPr="00C6052E">
        <w:rPr>
          <w:lang w:eastAsia="en-AU"/>
        </w:rPr>
        <w:t>the</w:t>
      </w:r>
      <w:r w:rsidR="00177848" w:rsidRPr="00C6052E">
        <w:rPr>
          <w:lang w:eastAsia="en-AU"/>
        </w:rPr>
        <w:t xml:space="preserve"> </w:t>
      </w:r>
      <w:r w:rsidRPr="00C6052E">
        <w:rPr>
          <w:lang w:eastAsia="en-AU"/>
        </w:rPr>
        <w:t>new</w:t>
      </w:r>
      <w:r w:rsidR="00177848" w:rsidRPr="00C6052E">
        <w:rPr>
          <w:lang w:eastAsia="en-AU"/>
        </w:rPr>
        <w:t xml:space="preserve"> </w:t>
      </w:r>
      <w:r w:rsidRPr="00C6052E">
        <w:rPr>
          <w:lang w:eastAsia="en-AU"/>
        </w:rPr>
        <w:t>Domestic</w:t>
      </w:r>
      <w:r w:rsidR="00177848" w:rsidRPr="00C6052E">
        <w:rPr>
          <w:lang w:eastAsia="en-AU"/>
        </w:rPr>
        <w:t xml:space="preserve"> </w:t>
      </w:r>
      <w:r w:rsidRPr="00C6052E">
        <w:rPr>
          <w:lang w:eastAsia="en-AU"/>
        </w:rPr>
        <w:t>Tourism</w:t>
      </w:r>
      <w:r w:rsidR="00177848" w:rsidRPr="00C6052E">
        <w:rPr>
          <w:lang w:eastAsia="en-AU"/>
        </w:rPr>
        <w:t xml:space="preserve"> </w:t>
      </w:r>
      <w:r w:rsidRPr="00C6052E">
        <w:rPr>
          <w:lang w:eastAsia="en-AU"/>
        </w:rPr>
        <w:t>Statistics</w:t>
      </w:r>
      <w:r w:rsidR="00177848" w:rsidRPr="00C6052E">
        <w:rPr>
          <w:lang w:eastAsia="en-AU"/>
        </w:rPr>
        <w:t xml:space="preserve"> </w:t>
      </w:r>
      <w:r w:rsidRPr="00C6052E">
        <w:rPr>
          <w:lang w:eastAsia="en-AU"/>
        </w:rPr>
        <w:t>(DoTS)</w:t>
      </w:r>
      <w:r w:rsidR="00177848" w:rsidRPr="00C6052E">
        <w:rPr>
          <w:lang w:eastAsia="en-AU"/>
        </w:rPr>
        <w:t xml:space="preserve"> </w:t>
      </w:r>
      <w:r w:rsidRPr="00C6052E">
        <w:rPr>
          <w:lang w:eastAsia="en-AU"/>
        </w:rPr>
        <w:t>methodology</w:t>
      </w:r>
      <w:r w:rsidR="00177848" w:rsidRPr="00C6052E">
        <w:rPr>
          <w:lang w:eastAsia="en-AU"/>
        </w:rPr>
        <w:t xml:space="preserve"> </w:t>
      </w:r>
      <w:r w:rsidRPr="00C6052E">
        <w:rPr>
          <w:lang w:eastAsia="en-AU"/>
        </w:rPr>
        <w:t>in</w:t>
      </w:r>
      <w:r w:rsidR="00177848" w:rsidRPr="00C6052E">
        <w:rPr>
          <w:lang w:eastAsia="en-AU"/>
        </w:rPr>
        <w:t xml:space="preserve"> </w:t>
      </w:r>
      <w:r w:rsidRPr="00C6052E">
        <w:rPr>
          <w:lang w:eastAsia="en-AU"/>
        </w:rPr>
        <w:t>January</w:t>
      </w:r>
      <w:r w:rsidR="00177848" w:rsidRPr="00C6052E">
        <w:rPr>
          <w:lang w:eastAsia="en-AU"/>
        </w:rPr>
        <w:t xml:space="preserve"> </w:t>
      </w:r>
      <w:r w:rsidRPr="00C6052E">
        <w:rPr>
          <w:lang w:eastAsia="en-AU"/>
        </w:rPr>
        <w:t>2025,</w:t>
      </w:r>
      <w:r w:rsidR="00177848" w:rsidRPr="00C6052E">
        <w:rPr>
          <w:lang w:eastAsia="en-AU"/>
        </w:rPr>
        <w:t xml:space="preserve"> </w:t>
      </w:r>
      <w:r w:rsidRPr="00C6052E">
        <w:rPr>
          <w:lang w:eastAsia="en-AU"/>
        </w:rPr>
        <w:t>replacing</w:t>
      </w:r>
      <w:r w:rsidR="00177848" w:rsidRPr="00C6052E">
        <w:rPr>
          <w:lang w:eastAsia="en-AU"/>
        </w:rPr>
        <w:t xml:space="preserve"> </w:t>
      </w:r>
      <w:r w:rsidRPr="00C6052E">
        <w:rPr>
          <w:lang w:eastAsia="en-AU"/>
        </w:rPr>
        <w:t>the</w:t>
      </w:r>
      <w:r w:rsidR="00177848" w:rsidRPr="00C6052E">
        <w:rPr>
          <w:lang w:eastAsia="en-AU"/>
        </w:rPr>
        <w:t xml:space="preserve"> </w:t>
      </w:r>
      <w:r w:rsidRPr="00C6052E">
        <w:rPr>
          <w:lang w:eastAsia="en-AU"/>
        </w:rPr>
        <w:t>National</w:t>
      </w:r>
      <w:r w:rsidR="00177848" w:rsidRPr="00C6052E">
        <w:rPr>
          <w:lang w:eastAsia="en-AU"/>
        </w:rPr>
        <w:t xml:space="preserve"> </w:t>
      </w:r>
      <w:r w:rsidRPr="00C6052E">
        <w:rPr>
          <w:lang w:eastAsia="en-AU"/>
        </w:rPr>
        <w:t>Visitor</w:t>
      </w:r>
      <w:r w:rsidR="00177848" w:rsidRPr="00C6052E">
        <w:rPr>
          <w:lang w:eastAsia="en-AU"/>
        </w:rPr>
        <w:t xml:space="preserve"> </w:t>
      </w:r>
      <w:r w:rsidRPr="00C6052E">
        <w:rPr>
          <w:lang w:eastAsia="en-AU"/>
        </w:rPr>
        <w:t>Survey</w:t>
      </w:r>
      <w:r w:rsidR="00177848" w:rsidRPr="00C6052E">
        <w:rPr>
          <w:lang w:eastAsia="en-AU"/>
        </w:rPr>
        <w:t xml:space="preserve"> </w:t>
      </w:r>
      <w:r w:rsidRPr="00C6052E">
        <w:rPr>
          <w:lang w:eastAsia="en-AU"/>
        </w:rPr>
        <w:t>(NVS)</w:t>
      </w:r>
      <w:r w:rsidR="00177848" w:rsidRPr="00C6052E">
        <w:rPr>
          <w:lang w:eastAsia="en-AU"/>
        </w:rPr>
        <w:t xml:space="preserve"> </w:t>
      </w:r>
      <w:r w:rsidRPr="00C6052E">
        <w:rPr>
          <w:lang w:eastAsia="en-AU"/>
        </w:rPr>
        <w:t>to</w:t>
      </w:r>
      <w:r w:rsidR="00177848" w:rsidRPr="00C6052E">
        <w:rPr>
          <w:lang w:eastAsia="en-AU"/>
        </w:rPr>
        <w:t xml:space="preserve"> </w:t>
      </w:r>
      <w:r w:rsidRPr="00C6052E">
        <w:rPr>
          <w:lang w:eastAsia="en-AU"/>
        </w:rPr>
        <w:t>improve</w:t>
      </w:r>
      <w:r w:rsidR="00177848" w:rsidRPr="00C6052E">
        <w:rPr>
          <w:lang w:eastAsia="en-AU"/>
        </w:rPr>
        <w:t xml:space="preserve"> </w:t>
      </w:r>
      <w:r w:rsidRPr="00C6052E">
        <w:rPr>
          <w:lang w:eastAsia="en-AU"/>
        </w:rPr>
        <w:t>the</w:t>
      </w:r>
      <w:r w:rsidR="00177848" w:rsidRPr="00C6052E">
        <w:rPr>
          <w:lang w:eastAsia="en-AU"/>
        </w:rPr>
        <w:t xml:space="preserve"> </w:t>
      </w:r>
      <w:r w:rsidRPr="00C6052E">
        <w:rPr>
          <w:lang w:eastAsia="en-AU"/>
        </w:rPr>
        <w:t>quality</w:t>
      </w:r>
      <w:r w:rsidR="00177848" w:rsidRPr="00C6052E">
        <w:rPr>
          <w:lang w:eastAsia="en-AU"/>
        </w:rPr>
        <w:t xml:space="preserve"> </w:t>
      </w:r>
      <w:r w:rsidRPr="00C6052E">
        <w:rPr>
          <w:lang w:eastAsia="en-AU"/>
        </w:rPr>
        <w:t>and</w:t>
      </w:r>
      <w:r w:rsidR="00177848" w:rsidRPr="00C6052E">
        <w:rPr>
          <w:lang w:eastAsia="en-AU"/>
        </w:rPr>
        <w:t xml:space="preserve"> </w:t>
      </w:r>
      <w:r w:rsidRPr="00C6052E">
        <w:rPr>
          <w:lang w:eastAsia="en-AU"/>
        </w:rPr>
        <w:t>reliability</w:t>
      </w:r>
      <w:r w:rsidR="00177848" w:rsidRPr="00C6052E">
        <w:rPr>
          <w:lang w:eastAsia="en-AU"/>
        </w:rPr>
        <w:t xml:space="preserve"> </w:t>
      </w:r>
      <w:r w:rsidRPr="00C6052E">
        <w:rPr>
          <w:lang w:eastAsia="en-AU"/>
        </w:rPr>
        <w:t>of</w:t>
      </w:r>
      <w:r w:rsidR="00177848" w:rsidRPr="00C6052E">
        <w:rPr>
          <w:lang w:eastAsia="en-AU"/>
        </w:rPr>
        <w:t xml:space="preserve"> </w:t>
      </w:r>
      <w:r w:rsidRPr="00C6052E">
        <w:rPr>
          <w:lang w:eastAsia="en-AU"/>
        </w:rPr>
        <w:t>tourism</w:t>
      </w:r>
      <w:r w:rsidR="00177848" w:rsidRPr="00C6052E">
        <w:rPr>
          <w:lang w:eastAsia="en-AU"/>
        </w:rPr>
        <w:t xml:space="preserve"> </w:t>
      </w:r>
      <w:r w:rsidRPr="00C6052E">
        <w:rPr>
          <w:lang w:eastAsia="en-AU"/>
        </w:rPr>
        <w:t>estimates.</w:t>
      </w:r>
      <w:r w:rsidR="00177848" w:rsidRPr="00C6052E">
        <w:rPr>
          <w:lang w:eastAsia="en-AU"/>
        </w:rPr>
        <w:t xml:space="preserve"> </w:t>
      </w:r>
      <w:r w:rsidRPr="00C6052E">
        <w:rPr>
          <w:lang w:eastAsia="en-AU"/>
        </w:rPr>
        <w:t>As</w:t>
      </w:r>
      <w:r w:rsidR="00177848" w:rsidRPr="00C6052E">
        <w:rPr>
          <w:lang w:eastAsia="en-AU"/>
        </w:rPr>
        <w:t xml:space="preserve"> </w:t>
      </w:r>
      <w:r w:rsidRPr="00C6052E">
        <w:rPr>
          <w:lang w:eastAsia="en-AU"/>
        </w:rPr>
        <w:t>a</w:t>
      </w:r>
      <w:r w:rsidR="00177848" w:rsidRPr="00C6052E">
        <w:rPr>
          <w:lang w:eastAsia="en-AU"/>
        </w:rPr>
        <w:t xml:space="preserve"> </w:t>
      </w:r>
      <w:r w:rsidRPr="00C6052E">
        <w:rPr>
          <w:lang w:eastAsia="en-AU"/>
        </w:rPr>
        <w:t>result,</w:t>
      </w:r>
      <w:r w:rsidR="00177848" w:rsidRPr="00C6052E">
        <w:rPr>
          <w:lang w:eastAsia="en-AU"/>
        </w:rPr>
        <w:t xml:space="preserve"> </w:t>
      </w:r>
      <w:r w:rsidRPr="00C6052E">
        <w:rPr>
          <w:lang w:eastAsia="en-AU"/>
        </w:rPr>
        <w:t>only</w:t>
      </w:r>
      <w:r w:rsidR="00177848" w:rsidRPr="00C6052E">
        <w:rPr>
          <w:lang w:eastAsia="en-AU"/>
        </w:rPr>
        <w:t xml:space="preserve"> </w:t>
      </w:r>
      <w:r w:rsidRPr="00C6052E">
        <w:rPr>
          <w:lang w:eastAsia="en-AU"/>
        </w:rPr>
        <w:t>March</w:t>
      </w:r>
      <w:r w:rsidR="00177848" w:rsidRPr="00C6052E">
        <w:rPr>
          <w:lang w:eastAsia="en-AU"/>
        </w:rPr>
        <w:t xml:space="preserve"> </w:t>
      </w:r>
      <w:r w:rsidRPr="00C6052E">
        <w:rPr>
          <w:lang w:eastAsia="en-AU"/>
        </w:rPr>
        <w:t>quarter</w:t>
      </w:r>
      <w:r w:rsidR="00177848" w:rsidRPr="00C6052E">
        <w:rPr>
          <w:lang w:eastAsia="en-AU"/>
        </w:rPr>
        <w:t xml:space="preserve"> </w:t>
      </w:r>
      <w:r w:rsidRPr="00C6052E">
        <w:rPr>
          <w:lang w:eastAsia="en-AU"/>
        </w:rPr>
        <w:t>2025</w:t>
      </w:r>
      <w:r w:rsidR="00177848" w:rsidRPr="00C6052E">
        <w:rPr>
          <w:lang w:eastAsia="en-AU"/>
        </w:rPr>
        <w:t xml:space="preserve"> </w:t>
      </w:r>
      <w:r w:rsidRPr="00C6052E">
        <w:rPr>
          <w:lang w:eastAsia="en-AU"/>
        </w:rPr>
        <w:t>data</w:t>
      </w:r>
      <w:r w:rsidR="00177848" w:rsidRPr="00C6052E">
        <w:rPr>
          <w:lang w:eastAsia="en-AU"/>
        </w:rPr>
        <w:t xml:space="preserve"> </w:t>
      </w:r>
      <w:r w:rsidRPr="00C6052E">
        <w:rPr>
          <w:lang w:eastAsia="en-AU"/>
        </w:rPr>
        <w:t>is</w:t>
      </w:r>
      <w:r w:rsidR="00177848" w:rsidRPr="00C6052E">
        <w:rPr>
          <w:lang w:eastAsia="en-AU"/>
        </w:rPr>
        <w:t xml:space="preserve"> </w:t>
      </w:r>
      <w:r w:rsidRPr="00C6052E">
        <w:rPr>
          <w:lang w:eastAsia="en-AU"/>
        </w:rPr>
        <w:t>currently</w:t>
      </w:r>
      <w:r w:rsidR="00177848" w:rsidRPr="00C6052E">
        <w:rPr>
          <w:lang w:eastAsia="en-AU"/>
        </w:rPr>
        <w:t xml:space="preserve"> </w:t>
      </w:r>
      <w:r w:rsidRPr="00C6052E">
        <w:rPr>
          <w:lang w:eastAsia="en-AU"/>
        </w:rPr>
        <w:t>available</w:t>
      </w:r>
      <w:r w:rsidR="00177848" w:rsidRPr="00C6052E">
        <w:rPr>
          <w:lang w:eastAsia="en-AU"/>
        </w:rPr>
        <w:t xml:space="preserve"> </w:t>
      </w:r>
      <w:r w:rsidRPr="00C6052E">
        <w:rPr>
          <w:lang w:eastAsia="en-AU"/>
        </w:rPr>
        <w:t>below</w:t>
      </w:r>
      <w:r w:rsidR="00177848" w:rsidRPr="00C6052E">
        <w:rPr>
          <w:lang w:eastAsia="en-AU"/>
        </w:rPr>
        <w:t xml:space="preserve"> </w:t>
      </w:r>
      <w:r w:rsidRPr="00C6052E">
        <w:rPr>
          <w:lang w:eastAsia="en-AU"/>
        </w:rPr>
        <w:t>the</w:t>
      </w:r>
      <w:r w:rsidR="00177848" w:rsidRPr="00C6052E">
        <w:rPr>
          <w:lang w:eastAsia="en-AU"/>
        </w:rPr>
        <w:t xml:space="preserve"> </w:t>
      </w:r>
      <w:r w:rsidRPr="00C6052E">
        <w:rPr>
          <w:lang w:eastAsia="en-AU"/>
        </w:rPr>
        <w:t>state</w:t>
      </w:r>
      <w:r w:rsidR="00177848" w:rsidRPr="00C6052E">
        <w:rPr>
          <w:lang w:eastAsia="en-AU"/>
        </w:rPr>
        <w:t xml:space="preserve"> </w:t>
      </w:r>
      <w:r w:rsidRPr="00C6052E">
        <w:rPr>
          <w:lang w:eastAsia="en-AU"/>
        </w:rPr>
        <w:t>level.</w:t>
      </w:r>
      <w:r w:rsidR="00177848" w:rsidRPr="00C6052E">
        <w:rPr>
          <w:lang w:eastAsia="en-AU"/>
        </w:rPr>
        <w:t xml:space="preserve"> </w:t>
      </w:r>
      <w:r w:rsidRPr="00C6052E">
        <w:rPr>
          <w:lang w:eastAsia="en-AU"/>
        </w:rPr>
        <w:t>Domestic</w:t>
      </w:r>
      <w:r w:rsidR="00177848" w:rsidRPr="00C6052E">
        <w:rPr>
          <w:lang w:eastAsia="en-AU"/>
        </w:rPr>
        <w:t xml:space="preserve"> </w:t>
      </w:r>
      <w:r w:rsidRPr="00C6052E">
        <w:rPr>
          <w:lang w:eastAsia="en-AU"/>
        </w:rPr>
        <w:t>day-trip</w:t>
      </w:r>
      <w:r w:rsidR="00177848" w:rsidRPr="00C6052E">
        <w:rPr>
          <w:lang w:eastAsia="en-AU"/>
        </w:rPr>
        <w:t xml:space="preserve"> </w:t>
      </w:r>
      <w:r w:rsidRPr="00C6052E">
        <w:rPr>
          <w:lang w:eastAsia="en-AU"/>
        </w:rPr>
        <w:t>estimates</w:t>
      </w:r>
      <w:r w:rsidR="00177848" w:rsidRPr="00C6052E">
        <w:rPr>
          <w:lang w:eastAsia="en-AU"/>
        </w:rPr>
        <w:t xml:space="preserve"> </w:t>
      </w:r>
      <w:r w:rsidRPr="00C6052E">
        <w:rPr>
          <w:lang w:eastAsia="en-AU"/>
        </w:rPr>
        <w:t>under</w:t>
      </w:r>
      <w:r w:rsidR="00177848" w:rsidRPr="00C6052E">
        <w:rPr>
          <w:lang w:eastAsia="en-AU"/>
        </w:rPr>
        <w:t xml:space="preserve"> </w:t>
      </w:r>
      <w:r w:rsidRPr="00C6052E">
        <w:rPr>
          <w:lang w:eastAsia="en-AU"/>
        </w:rPr>
        <w:t>the</w:t>
      </w:r>
      <w:r w:rsidR="00177848" w:rsidRPr="00C6052E">
        <w:rPr>
          <w:lang w:eastAsia="en-AU"/>
        </w:rPr>
        <w:t xml:space="preserve"> </w:t>
      </w:r>
      <w:r w:rsidRPr="00C6052E">
        <w:rPr>
          <w:lang w:eastAsia="en-AU"/>
        </w:rPr>
        <w:t>revised</w:t>
      </w:r>
      <w:r w:rsidR="00177848" w:rsidRPr="00C6052E">
        <w:rPr>
          <w:lang w:eastAsia="en-AU"/>
        </w:rPr>
        <w:t xml:space="preserve"> </w:t>
      </w:r>
      <w:r w:rsidRPr="00C6052E">
        <w:rPr>
          <w:lang w:eastAsia="en-AU"/>
        </w:rPr>
        <w:t>methodology</w:t>
      </w:r>
      <w:r w:rsidR="00177848" w:rsidRPr="00C6052E">
        <w:rPr>
          <w:lang w:eastAsia="en-AU"/>
        </w:rPr>
        <w:t xml:space="preserve"> </w:t>
      </w:r>
      <w:r w:rsidRPr="00C6052E">
        <w:rPr>
          <w:lang w:eastAsia="en-AU"/>
        </w:rPr>
        <w:t>are</w:t>
      </w:r>
      <w:r w:rsidR="00177848" w:rsidRPr="00C6052E">
        <w:rPr>
          <w:lang w:eastAsia="en-AU"/>
        </w:rPr>
        <w:t xml:space="preserve"> </w:t>
      </w:r>
      <w:r w:rsidRPr="00C6052E">
        <w:rPr>
          <w:lang w:eastAsia="en-AU"/>
        </w:rPr>
        <w:t>also</w:t>
      </w:r>
      <w:r w:rsidR="00177848" w:rsidRPr="00C6052E">
        <w:rPr>
          <w:lang w:eastAsia="en-AU"/>
        </w:rPr>
        <w:t xml:space="preserve"> </w:t>
      </w:r>
      <w:r w:rsidRPr="00C6052E">
        <w:rPr>
          <w:lang w:eastAsia="en-AU"/>
        </w:rPr>
        <w:t>unavailable</w:t>
      </w:r>
      <w:r w:rsidR="00177848" w:rsidRPr="00C6052E">
        <w:rPr>
          <w:lang w:eastAsia="en-AU"/>
        </w:rPr>
        <w:t xml:space="preserve"> </w:t>
      </w:r>
      <w:r w:rsidRPr="00C6052E">
        <w:rPr>
          <w:lang w:eastAsia="en-AU"/>
        </w:rPr>
        <w:t>in</w:t>
      </w:r>
      <w:r w:rsidR="00177848" w:rsidRPr="00C6052E">
        <w:rPr>
          <w:lang w:eastAsia="en-AU"/>
        </w:rPr>
        <w:t xml:space="preserve"> </w:t>
      </w:r>
      <w:r w:rsidRPr="00C6052E">
        <w:rPr>
          <w:lang w:eastAsia="en-AU"/>
        </w:rPr>
        <w:t>the</w:t>
      </w:r>
      <w:r w:rsidR="00177848" w:rsidRPr="00C6052E">
        <w:rPr>
          <w:lang w:eastAsia="en-AU"/>
        </w:rPr>
        <w:t xml:space="preserve"> </w:t>
      </w:r>
      <w:r w:rsidRPr="00C6052E">
        <w:rPr>
          <w:lang w:eastAsia="en-AU"/>
        </w:rPr>
        <w:t>March</w:t>
      </w:r>
      <w:r w:rsidR="00177848" w:rsidRPr="00C6052E">
        <w:rPr>
          <w:lang w:eastAsia="en-AU"/>
        </w:rPr>
        <w:t xml:space="preserve"> </w:t>
      </w:r>
      <w:r w:rsidRPr="00C6052E">
        <w:rPr>
          <w:lang w:eastAsia="en-AU"/>
        </w:rPr>
        <w:t>2025</w:t>
      </w:r>
      <w:r w:rsidR="00177848" w:rsidRPr="00C6052E">
        <w:rPr>
          <w:lang w:eastAsia="en-AU"/>
        </w:rPr>
        <w:t xml:space="preserve"> </w:t>
      </w:r>
      <w:r w:rsidRPr="00C6052E">
        <w:rPr>
          <w:lang w:eastAsia="en-AU"/>
        </w:rPr>
        <w:t>quarter</w:t>
      </w:r>
      <w:r w:rsidR="00177848" w:rsidRPr="00C6052E">
        <w:rPr>
          <w:lang w:eastAsia="en-AU"/>
        </w:rPr>
        <w:t xml:space="preserve"> </w:t>
      </w:r>
      <w:r w:rsidRPr="00C6052E">
        <w:rPr>
          <w:lang w:eastAsia="en-AU"/>
        </w:rPr>
        <w:t>but</w:t>
      </w:r>
      <w:r w:rsidR="00177848" w:rsidRPr="00C6052E">
        <w:rPr>
          <w:lang w:eastAsia="en-AU"/>
        </w:rPr>
        <w:t xml:space="preserve"> </w:t>
      </w:r>
      <w:r w:rsidRPr="00C6052E">
        <w:rPr>
          <w:lang w:eastAsia="en-AU"/>
        </w:rPr>
        <w:t>will</w:t>
      </w:r>
      <w:r w:rsidR="00177848" w:rsidRPr="00C6052E">
        <w:rPr>
          <w:lang w:eastAsia="en-AU"/>
        </w:rPr>
        <w:t xml:space="preserve"> </w:t>
      </w:r>
      <w:r w:rsidRPr="00C6052E">
        <w:rPr>
          <w:lang w:eastAsia="en-AU"/>
        </w:rPr>
        <w:t>be</w:t>
      </w:r>
      <w:r w:rsidR="00177848" w:rsidRPr="00C6052E">
        <w:rPr>
          <w:lang w:eastAsia="en-AU"/>
        </w:rPr>
        <w:t xml:space="preserve"> </w:t>
      </w:r>
      <w:r w:rsidRPr="00C6052E">
        <w:rPr>
          <w:lang w:eastAsia="en-AU"/>
        </w:rPr>
        <w:t>added</w:t>
      </w:r>
      <w:r w:rsidR="00177848" w:rsidRPr="00C6052E">
        <w:rPr>
          <w:lang w:eastAsia="en-AU"/>
        </w:rPr>
        <w:t xml:space="preserve"> </w:t>
      </w:r>
      <w:r w:rsidRPr="00C6052E">
        <w:rPr>
          <w:lang w:eastAsia="en-AU"/>
        </w:rPr>
        <w:t>to</w:t>
      </w:r>
      <w:r w:rsidR="00177848" w:rsidRPr="00C6052E">
        <w:rPr>
          <w:lang w:eastAsia="en-AU"/>
        </w:rPr>
        <w:t xml:space="preserve"> </w:t>
      </w:r>
      <w:r w:rsidRPr="00C6052E">
        <w:rPr>
          <w:lang w:eastAsia="en-AU"/>
        </w:rPr>
        <w:t>future</w:t>
      </w:r>
      <w:r w:rsidR="00177848" w:rsidRPr="00C6052E">
        <w:rPr>
          <w:lang w:eastAsia="en-AU"/>
        </w:rPr>
        <w:t xml:space="preserve"> </w:t>
      </w:r>
      <w:r w:rsidRPr="00C6052E">
        <w:rPr>
          <w:lang w:eastAsia="en-AU"/>
        </w:rPr>
        <w:t>releases.</w:t>
      </w:r>
      <w:r w:rsidR="00177848" w:rsidRPr="00C6052E">
        <w:rPr>
          <w:lang w:eastAsia="en-AU"/>
        </w:rPr>
        <w:t xml:space="preserve"> </w:t>
      </w:r>
      <w:r w:rsidRPr="00C6052E">
        <w:rPr>
          <w:lang w:eastAsia="en-AU"/>
        </w:rPr>
        <w:t>DoTS</w:t>
      </w:r>
      <w:r w:rsidR="00177848" w:rsidRPr="00C6052E">
        <w:rPr>
          <w:lang w:eastAsia="en-AU"/>
        </w:rPr>
        <w:t xml:space="preserve"> </w:t>
      </w:r>
      <w:r w:rsidRPr="00C6052E">
        <w:rPr>
          <w:lang w:eastAsia="en-AU"/>
        </w:rPr>
        <w:t>data</w:t>
      </w:r>
      <w:r w:rsidR="00177848" w:rsidRPr="00C6052E">
        <w:rPr>
          <w:lang w:eastAsia="en-AU"/>
        </w:rPr>
        <w:t xml:space="preserve"> </w:t>
      </w:r>
      <w:r w:rsidRPr="00C6052E">
        <w:rPr>
          <w:lang w:eastAsia="en-AU"/>
        </w:rPr>
        <w:t>is</w:t>
      </w:r>
      <w:r w:rsidR="00177848" w:rsidRPr="00C6052E">
        <w:rPr>
          <w:lang w:eastAsia="en-AU"/>
        </w:rPr>
        <w:t xml:space="preserve"> </w:t>
      </w:r>
      <w:r w:rsidRPr="00C6052E">
        <w:rPr>
          <w:lang w:eastAsia="en-AU"/>
        </w:rPr>
        <w:t>not</w:t>
      </w:r>
      <w:r w:rsidR="00177848" w:rsidRPr="00C6052E">
        <w:rPr>
          <w:lang w:eastAsia="en-AU"/>
        </w:rPr>
        <w:t xml:space="preserve"> </w:t>
      </w:r>
      <w:r w:rsidRPr="00C6052E">
        <w:rPr>
          <w:lang w:eastAsia="en-AU"/>
        </w:rPr>
        <w:t>comparable</w:t>
      </w:r>
      <w:r w:rsidR="00177848" w:rsidRPr="00C6052E">
        <w:rPr>
          <w:lang w:eastAsia="en-AU"/>
        </w:rPr>
        <w:t xml:space="preserve"> </w:t>
      </w:r>
      <w:r w:rsidRPr="00C6052E">
        <w:rPr>
          <w:lang w:eastAsia="en-AU"/>
        </w:rPr>
        <w:t>with</w:t>
      </w:r>
      <w:r w:rsidR="00177848" w:rsidRPr="00C6052E">
        <w:rPr>
          <w:lang w:eastAsia="en-AU"/>
        </w:rPr>
        <w:t xml:space="preserve"> </w:t>
      </w:r>
      <w:r w:rsidRPr="00C6052E">
        <w:rPr>
          <w:lang w:eastAsia="en-AU"/>
        </w:rPr>
        <w:t>NVS</w:t>
      </w:r>
      <w:r w:rsidR="00177848" w:rsidRPr="00C6052E">
        <w:rPr>
          <w:lang w:eastAsia="en-AU"/>
        </w:rPr>
        <w:t xml:space="preserve"> </w:t>
      </w:r>
      <w:r w:rsidRPr="00C6052E">
        <w:rPr>
          <w:lang w:eastAsia="en-AU"/>
        </w:rPr>
        <w:t>estimates.</w:t>
      </w:r>
      <w:r w:rsidR="00177848" w:rsidRPr="00C6052E">
        <w:rPr>
          <w:lang w:eastAsia="en-AU"/>
        </w:rPr>
        <w:t xml:space="preserve"> </w:t>
      </w:r>
      <w:r w:rsidRPr="00C6052E">
        <w:rPr>
          <w:lang w:eastAsia="en-AU"/>
        </w:rPr>
        <w:t>DoTS</w:t>
      </w:r>
      <w:r w:rsidR="00177848" w:rsidRPr="00C6052E">
        <w:rPr>
          <w:lang w:eastAsia="en-AU"/>
        </w:rPr>
        <w:t xml:space="preserve"> </w:t>
      </w:r>
      <w:r w:rsidRPr="00C6052E">
        <w:rPr>
          <w:lang w:eastAsia="en-AU"/>
        </w:rPr>
        <w:t>March</w:t>
      </w:r>
      <w:r w:rsidR="00177848" w:rsidRPr="00C6052E">
        <w:rPr>
          <w:lang w:eastAsia="en-AU"/>
        </w:rPr>
        <w:t xml:space="preserve"> </w:t>
      </w:r>
      <w:r w:rsidRPr="00C6052E">
        <w:rPr>
          <w:lang w:eastAsia="en-AU"/>
        </w:rPr>
        <w:t>2025</w:t>
      </w:r>
      <w:r w:rsidR="00177848" w:rsidRPr="00C6052E">
        <w:rPr>
          <w:lang w:eastAsia="en-AU"/>
        </w:rPr>
        <w:t xml:space="preserve"> </w:t>
      </w:r>
      <w:r w:rsidRPr="00C6052E">
        <w:rPr>
          <w:lang w:eastAsia="en-AU"/>
        </w:rPr>
        <w:t>estimates</w:t>
      </w:r>
      <w:r w:rsidR="00177848" w:rsidRPr="00C6052E">
        <w:rPr>
          <w:lang w:eastAsia="en-AU"/>
        </w:rPr>
        <w:t xml:space="preserve"> </w:t>
      </w:r>
      <w:r w:rsidRPr="00C6052E">
        <w:rPr>
          <w:lang w:eastAsia="en-AU"/>
        </w:rPr>
        <w:t>published</w:t>
      </w:r>
      <w:r w:rsidR="00177848" w:rsidRPr="00C6052E">
        <w:rPr>
          <w:lang w:eastAsia="en-AU"/>
        </w:rPr>
        <w:t xml:space="preserve"> </w:t>
      </w:r>
      <w:r w:rsidRPr="00C6052E">
        <w:rPr>
          <w:lang w:eastAsia="en-AU"/>
        </w:rPr>
        <w:t>in</w:t>
      </w:r>
      <w:r w:rsidR="00177848" w:rsidRPr="00C6052E">
        <w:rPr>
          <w:lang w:eastAsia="en-AU"/>
        </w:rPr>
        <w:t xml:space="preserve"> </w:t>
      </w:r>
      <w:r w:rsidRPr="00C6052E">
        <w:rPr>
          <w:lang w:eastAsia="en-AU"/>
        </w:rPr>
        <w:t>June</w:t>
      </w:r>
      <w:r w:rsidR="00177848" w:rsidRPr="00C6052E">
        <w:rPr>
          <w:lang w:eastAsia="en-AU"/>
        </w:rPr>
        <w:t xml:space="preserve"> </w:t>
      </w:r>
      <w:r w:rsidRPr="00C6052E">
        <w:rPr>
          <w:lang w:eastAsia="en-AU"/>
        </w:rPr>
        <w:t>2025</w:t>
      </w:r>
      <w:r w:rsidR="00177848" w:rsidRPr="00C6052E">
        <w:rPr>
          <w:lang w:eastAsia="en-AU"/>
        </w:rPr>
        <w:t xml:space="preserve"> </w:t>
      </w:r>
      <w:r w:rsidRPr="00C6052E">
        <w:rPr>
          <w:lang w:eastAsia="en-AU"/>
        </w:rPr>
        <w:t>(subject</w:t>
      </w:r>
      <w:r w:rsidR="00177848" w:rsidRPr="00C6052E">
        <w:rPr>
          <w:lang w:eastAsia="en-AU"/>
        </w:rPr>
        <w:t xml:space="preserve"> </w:t>
      </w:r>
      <w:r w:rsidRPr="00C6052E">
        <w:rPr>
          <w:lang w:eastAsia="en-AU"/>
        </w:rPr>
        <w:t>to</w:t>
      </w:r>
      <w:r w:rsidR="00177848" w:rsidRPr="00C6052E">
        <w:rPr>
          <w:lang w:eastAsia="en-AU"/>
        </w:rPr>
        <w:t xml:space="preserve"> </w:t>
      </w:r>
      <w:r w:rsidRPr="00C6052E">
        <w:rPr>
          <w:lang w:eastAsia="en-AU"/>
        </w:rPr>
        <w:t>back</w:t>
      </w:r>
      <w:r w:rsidR="00177848" w:rsidRPr="00C6052E">
        <w:rPr>
          <w:lang w:eastAsia="en-AU"/>
        </w:rPr>
        <w:t xml:space="preserve"> </w:t>
      </w:r>
      <w:r w:rsidRPr="00C6052E">
        <w:rPr>
          <w:lang w:eastAsia="en-AU"/>
        </w:rPr>
        <w:t>casting</w:t>
      </w:r>
      <w:r w:rsidR="00177848" w:rsidRPr="00C6052E">
        <w:rPr>
          <w:lang w:eastAsia="en-AU"/>
        </w:rPr>
        <w:t xml:space="preserve"> </w:t>
      </w:r>
      <w:r w:rsidRPr="00C6052E">
        <w:rPr>
          <w:lang w:eastAsia="en-AU"/>
        </w:rPr>
        <w:t>revisions).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910C" w14:textId="6DA11814" w:rsidR="00EE5BB8" w:rsidRPr="00C6052E" w:rsidRDefault="00EE5BB8">
    <w:pPr>
      <w:pStyle w:val="Header"/>
    </w:pPr>
    <w:r w:rsidRPr="00C6052E">
      <w:rPr>
        <w:noProof/>
        <w14:ligatures w14:val="standardContextual"/>
      </w:rPr>
      <mc:AlternateContent>
        <mc:Choice Requires="wps">
          <w:drawing>
            <wp:anchor distT="0" distB="0" distL="0" distR="0" simplePos="0" relativeHeight="251658261" behindDoc="0" locked="0" layoutInCell="1" allowOverlap="1" wp14:anchorId="5825B871" wp14:editId="061DF824">
              <wp:simplePos x="635" y="635"/>
              <wp:positionH relativeFrom="page">
                <wp:align>center</wp:align>
              </wp:positionH>
              <wp:positionV relativeFrom="page">
                <wp:align>top</wp:align>
              </wp:positionV>
              <wp:extent cx="906145" cy="393700"/>
              <wp:effectExtent l="0" t="0" r="8255" b="6350"/>
              <wp:wrapNone/>
              <wp:docPr id="1287231877" name="Text Box 6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93700"/>
                      </a:xfrm>
                      <a:prstGeom prst="rect">
                        <a:avLst/>
                      </a:prstGeom>
                      <a:noFill/>
                      <a:ln>
                        <a:noFill/>
                      </a:ln>
                    </wps:spPr>
                    <wps:txbx>
                      <w:txbxContent>
                        <w:p w14:paraId="0907A395" w14:textId="051B4F78"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5B871" id="_x0000_t202" coordsize="21600,21600" o:spt="202" path="m,l,21600r21600,l21600,xe">
              <v:stroke joinstyle="miter"/>
              <v:path gradientshapeok="t" o:connecttype="rect"/>
            </v:shapetype>
            <v:shape id="Text Box 63" o:spid="_x0000_s1026" type="#_x0000_t202" alt="UNOFFICIAL" style="position:absolute;margin-left:0;margin-top:0;width:71.35pt;height:31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" filled="f" stroked="f">
              <v:textbox style="mso-fit-shape-to-text:t" inset="0,15pt,0,0">
                <w:txbxContent>
                  <w:p w14:paraId="0907A395" w14:textId="051B4F78" w:rsidR="00EE5BB8" w:rsidRPr="00C6052E" w:rsidRDefault="00EE5BB8" w:rsidP="00EE5BB8">
                    <w:pPr>
                      <w:spacing w:after="0"/>
                      <w:rPr>
                        <w:rFonts w:ascii="Arial" w:eastAsia="Arial" w:hAnsi="Arial" w:cs="Arial"/>
                        <w:color w:val="000000"/>
                      </w:rPr>
                    </w:pPr>
                    <w:r w:rsidRPr="00C6052E">
                      <w:rPr>
                        <w:rFonts w:ascii="Arial" w:eastAsia="Arial" w:hAnsi="Arial" w:cs="Arial"/>
                        <w:color w:val="0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73B4" w14:textId="61B246C4" w:rsidR="00EE5BB8" w:rsidRPr="00C6052E" w:rsidRDefault="00EE5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B44"/>
    <w:multiLevelType w:val="hybridMultilevel"/>
    <w:tmpl w:val="0F4C2FF6"/>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50CD6"/>
    <w:multiLevelType w:val="hybridMultilevel"/>
    <w:tmpl w:val="56EAA8FC"/>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F0493"/>
    <w:multiLevelType w:val="hybridMultilevel"/>
    <w:tmpl w:val="CEF2D786"/>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15893"/>
    <w:multiLevelType w:val="hybridMultilevel"/>
    <w:tmpl w:val="7DD00AA8"/>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456EE"/>
    <w:multiLevelType w:val="hybridMultilevel"/>
    <w:tmpl w:val="ED8808E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B6ECF"/>
    <w:multiLevelType w:val="hybridMultilevel"/>
    <w:tmpl w:val="EE66435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A6629C"/>
    <w:multiLevelType w:val="hybridMultilevel"/>
    <w:tmpl w:val="EECE1768"/>
    <w:lvl w:ilvl="0" w:tplc="04090019">
      <w:start w:val="1"/>
      <w:numFmt w:val="lowerLetter"/>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26E91"/>
    <w:multiLevelType w:val="hybridMultilevel"/>
    <w:tmpl w:val="2C0044A2"/>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FF6FBC"/>
    <w:multiLevelType w:val="hybridMultilevel"/>
    <w:tmpl w:val="BF5EF25A"/>
    <w:lvl w:ilvl="0" w:tplc="28CC6E1A">
      <w:start w:val="1"/>
      <w:numFmt w:val="decimal"/>
      <w:lvlText w:val="%1."/>
      <w:lvlJc w:val="left"/>
      <w:pPr>
        <w:ind w:left="284" w:hanging="284"/>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357A56"/>
    <w:multiLevelType w:val="hybridMultilevel"/>
    <w:tmpl w:val="7EFAD776"/>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D00B84"/>
    <w:multiLevelType w:val="hybridMultilevel"/>
    <w:tmpl w:val="4B986B64"/>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057E37"/>
    <w:multiLevelType w:val="hybridMultilevel"/>
    <w:tmpl w:val="D7B25184"/>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BE277B"/>
    <w:multiLevelType w:val="hybridMultilevel"/>
    <w:tmpl w:val="7D2A40B6"/>
    <w:lvl w:ilvl="0" w:tplc="F66AFD0A">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D44FF"/>
    <w:multiLevelType w:val="hybridMultilevel"/>
    <w:tmpl w:val="9C62F9A8"/>
    <w:lvl w:ilvl="0" w:tplc="27A2F330">
      <w:start w:val="1"/>
      <w:numFmt w:val="lowerLetter"/>
      <w:lvlText w:val="(%1)"/>
      <w:lvlJc w:val="left"/>
      <w:pPr>
        <w:ind w:left="284" w:hanging="284"/>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40001E"/>
    <w:multiLevelType w:val="hybridMultilevel"/>
    <w:tmpl w:val="79949276"/>
    <w:lvl w:ilvl="0" w:tplc="8E909B6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C8B43A7"/>
    <w:multiLevelType w:val="hybridMultilevel"/>
    <w:tmpl w:val="5824DDB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AE08BB"/>
    <w:multiLevelType w:val="hybridMultilevel"/>
    <w:tmpl w:val="FE464DB6"/>
    <w:lvl w:ilvl="0" w:tplc="E83CF0FE">
      <w:start w:val="1"/>
      <w:numFmt w:val="decimal"/>
      <w:pStyle w:val="Tablenotes-numbered"/>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8520FE"/>
    <w:multiLevelType w:val="hybridMultilevel"/>
    <w:tmpl w:val="7EFAD776"/>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015455"/>
    <w:multiLevelType w:val="hybridMultilevel"/>
    <w:tmpl w:val="0C30E990"/>
    <w:lvl w:ilvl="0" w:tplc="BB484E26">
      <w:numFmt w:val="bullet"/>
      <w:lvlText w:val="•"/>
      <w:lvlJc w:val="left"/>
      <w:pPr>
        <w:ind w:left="832" w:hanging="366"/>
      </w:pPr>
      <w:rPr>
        <w:rFonts w:ascii="Arial" w:eastAsia="Arial" w:hAnsi="Arial" w:cs="Arial" w:hint="default"/>
        <w:b w:val="0"/>
        <w:bCs w:val="0"/>
        <w:i w:val="0"/>
        <w:iCs w:val="0"/>
        <w:spacing w:val="0"/>
        <w:w w:val="123"/>
        <w:sz w:val="17"/>
        <w:szCs w:val="17"/>
        <w:lang w:val="en-US" w:eastAsia="en-US" w:bidi="ar-SA"/>
      </w:rPr>
    </w:lvl>
    <w:lvl w:ilvl="1" w:tplc="7494D044">
      <w:numFmt w:val="bullet"/>
      <w:lvlText w:val="•"/>
      <w:lvlJc w:val="left"/>
      <w:pPr>
        <w:ind w:left="1580" w:hanging="366"/>
      </w:pPr>
      <w:rPr>
        <w:rFonts w:hint="default"/>
        <w:lang w:val="en-US" w:eastAsia="en-US" w:bidi="ar-SA"/>
      </w:rPr>
    </w:lvl>
    <w:lvl w:ilvl="2" w:tplc="7114A724">
      <w:numFmt w:val="bullet"/>
      <w:lvlText w:val="•"/>
      <w:lvlJc w:val="left"/>
      <w:pPr>
        <w:ind w:left="2321" w:hanging="366"/>
      </w:pPr>
      <w:rPr>
        <w:rFonts w:hint="default"/>
        <w:lang w:val="en-US" w:eastAsia="en-US" w:bidi="ar-SA"/>
      </w:rPr>
    </w:lvl>
    <w:lvl w:ilvl="3" w:tplc="797034B4">
      <w:numFmt w:val="bullet"/>
      <w:lvlText w:val="•"/>
      <w:lvlJc w:val="left"/>
      <w:pPr>
        <w:ind w:left="3061" w:hanging="366"/>
      </w:pPr>
      <w:rPr>
        <w:rFonts w:hint="default"/>
        <w:lang w:val="en-US" w:eastAsia="en-US" w:bidi="ar-SA"/>
      </w:rPr>
    </w:lvl>
    <w:lvl w:ilvl="4" w:tplc="3B8E462C">
      <w:numFmt w:val="bullet"/>
      <w:lvlText w:val="•"/>
      <w:lvlJc w:val="left"/>
      <w:pPr>
        <w:ind w:left="3802" w:hanging="366"/>
      </w:pPr>
      <w:rPr>
        <w:rFonts w:hint="default"/>
        <w:lang w:val="en-US" w:eastAsia="en-US" w:bidi="ar-SA"/>
      </w:rPr>
    </w:lvl>
    <w:lvl w:ilvl="5" w:tplc="8E3C00B6">
      <w:numFmt w:val="bullet"/>
      <w:lvlText w:val="•"/>
      <w:lvlJc w:val="left"/>
      <w:pPr>
        <w:ind w:left="4543" w:hanging="366"/>
      </w:pPr>
      <w:rPr>
        <w:rFonts w:hint="default"/>
        <w:lang w:val="en-US" w:eastAsia="en-US" w:bidi="ar-SA"/>
      </w:rPr>
    </w:lvl>
    <w:lvl w:ilvl="6" w:tplc="AF281E9C">
      <w:numFmt w:val="bullet"/>
      <w:lvlText w:val="•"/>
      <w:lvlJc w:val="left"/>
      <w:pPr>
        <w:ind w:left="5283" w:hanging="366"/>
      </w:pPr>
      <w:rPr>
        <w:rFonts w:hint="default"/>
        <w:lang w:val="en-US" w:eastAsia="en-US" w:bidi="ar-SA"/>
      </w:rPr>
    </w:lvl>
    <w:lvl w:ilvl="7" w:tplc="CCB01ACA">
      <w:numFmt w:val="bullet"/>
      <w:lvlText w:val="•"/>
      <w:lvlJc w:val="left"/>
      <w:pPr>
        <w:ind w:left="6024" w:hanging="366"/>
      </w:pPr>
      <w:rPr>
        <w:rFonts w:hint="default"/>
        <w:lang w:val="en-US" w:eastAsia="en-US" w:bidi="ar-SA"/>
      </w:rPr>
    </w:lvl>
    <w:lvl w:ilvl="8" w:tplc="214A9AB4">
      <w:numFmt w:val="bullet"/>
      <w:lvlText w:val="•"/>
      <w:lvlJc w:val="left"/>
      <w:pPr>
        <w:ind w:left="6765" w:hanging="366"/>
      </w:pPr>
      <w:rPr>
        <w:rFonts w:hint="default"/>
        <w:lang w:val="en-US" w:eastAsia="en-US" w:bidi="ar-SA"/>
      </w:rPr>
    </w:lvl>
  </w:abstractNum>
  <w:abstractNum w:abstractNumId="19" w15:restartNumberingAfterBreak="0">
    <w:nsid w:val="1E0F51A3"/>
    <w:multiLevelType w:val="hybridMultilevel"/>
    <w:tmpl w:val="BEFC745E"/>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57707E"/>
    <w:multiLevelType w:val="hybridMultilevel"/>
    <w:tmpl w:val="071E645A"/>
    <w:lvl w:ilvl="0" w:tplc="04090019">
      <w:start w:val="1"/>
      <w:numFmt w:val="lowerLetter"/>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660E8C"/>
    <w:multiLevelType w:val="hybridMultilevel"/>
    <w:tmpl w:val="25467588"/>
    <w:lvl w:ilvl="0" w:tplc="04090019">
      <w:start w:val="1"/>
      <w:numFmt w:val="lowerLetter"/>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D34EFC"/>
    <w:multiLevelType w:val="hybridMultilevel"/>
    <w:tmpl w:val="690EBEE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F50187"/>
    <w:multiLevelType w:val="hybridMultilevel"/>
    <w:tmpl w:val="308CB480"/>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352FFB"/>
    <w:multiLevelType w:val="hybridMultilevel"/>
    <w:tmpl w:val="EB5CAA0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8860EE"/>
    <w:multiLevelType w:val="hybridMultilevel"/>
    <w:tmpl w:val="147C5580"/>
    <w:lvl w:ilvl="0" w:tplc="92B8491A">
      <w:start w:val="1"/>
      <w:numFmt w:val="lowerLetter"/>
      <w:pStyle w:val="Bulleta"/>
      <w:lvlText w:val="%1)"/>
      <w:lvlJc w:val="left"/>
      <w:pPr>
        <w:ind w:left="284" w:hanging="284"/>
      </w:pPr>
      <w:rPr>
        <w:rFonts w:ascii="Arial" w:eastAsia="Arial" w:hAnsi="Arial" w:cs="Arial" w:hint="default"/>
        <w:color w:val="383834"/>
        <w:spacing w:val="-2"/>
        <w:w w:val="103"/>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313744F2"/>
    <w:multiLevelType w:val="hybridMultilevel"/>
    <w:tmpl w:val="80BAD51A"/>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5E1443"/>
    <w:multiLevelType w:val="hybridMultilevel"/>
    <w:tmpl w:val="F0989CDC"/>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CF6C8A"/>
    <w:multiLevelType w:val="hybridMultilevel"/>
    <w:tmpl w:val="C6842A4E"/>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3690DD0"/>
    <w:multiLevelType w:val="hybridMultilevel"/>
    <w:tmpl w:val="58C4DDD4"/>
    <w:lvl w:ilvl="0" w:tplc="88104A3C">
      <w:start w:val="9"/>
      <w:numFmt w:val="bullet"/>
      <w:lvlText w:val="–"/>
      <w:lvlJc w:val="left"/>
      <w:pPr>
        <w:ind w:left="644" w:hanging="360"/>
      </w:pPr>
      <w:rPr>
        <w:rFonts w:ascii="VIC Light Italic" w:eastAsiaTheme="minorHAnsi" w:hAnsi="VIC Light Italic"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35356FE0"/>
    <w:multiLevelType w:val="hybridMultilevel"/>
    <w:tmpl w:val="B352DDFE"/>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D41CCC"/>
    <w:multiLevelType w:val="hybridMultilevel"/>
    <w:tmpl w:val="22C4260A"/>
    <w:lvl w:ilvl="0" w:tplc="D9D697CA">
      <w:numFmt w:val="bullet"/>
      <w:pStyle w:val="Bullet1"/>
      <w:lvlText w:val="•"/>
      <w:lvlJc w:val="left"/>
      <w:pPr>
        <w:ind w:left="717" w:hanging="360"/>
      </w:pPr>
      <w:rPr>
        <w:rFonts w:ascii="Arial" w:hAnsi="Arial" w:cstheme="minorBidi" w:hint="default"/>
        <w:sz w:val="24"/>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7FE42FC"/>
    <w:multiLevelType w:val="multilevel"/>
    <w:tmpl w:val="B6509240"/>
    <w:styleLink w:val="ListBulletStyl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3" w15:restartNumberingAfterBreak="0">
    <w:nsid w:val="38460243"/>
    <w:multiLevelType w:val="hybridMultilevel"/>
    <w:tmpl w:val="F26C99C8"/>
    <w:lvl w:ilvl="0" w:tplc="0F408CB0">
      <w:numFmt w:val="bullet"/>
      <w:lvlText w:val="•"/>
      <w:lvlJc w:val="left"/>
      <w:pPr>
        <w:ind w:left="569" w:hanging="360"/>
      </w:pPr>
      <w:rPr>
        <w:rFonts w:ascii="Arial" w:eastAsia="Arial" w:hAnsi="Arial" w:cs="Arial" w:hint="default"/>
        <w:b w:val="0"/>
        <w:bCs w:val="0"/>
        <w:i w:val="0"/>
        <w:iCs w:val="0"/>
        <w:color w:val="010101"/>
        <w:spacing w:val="0"/>
        <w:w w:val="103"/>
        <w:sz w:val="17"/>
        <w:szCs w:val="17"/>
        <w:lang w:val="en-US" w:eastAsia="en-US" w:bidi="ar-SA"/>
      </w:rPr>
    </w:lvl>
    <w:lvl w:ilvl="1" w:tplc="B37650EA">
      <w:numFmt w:val="bullet"/>
      <w:lvlText w:val="•"/>
      <w:lvlJc w:val="left"/>
      <w:pPr>
        <w:ind w:left="1047" w:hanging="360"/>
      </w:pPr>
      <w:rPr>
        <w:rFonts w:hint="default"/>
        <w:lang w:val="en-US" w:eastAsia="en-US" w:bidi="ar-SA"/>
      </w:rPr>
    </w:lvl>
    <w:lvl w:ilvl="2" w:tplc="98DE0CBE">
      <w:numFmt w:val="bullet"/>
      <w:lvlText w:val="•"/>
      <w:lvlJc w:val="left"/>
      <w:pPr>
        <w:ind w:left="1535" w:hanging="360"/>
      </w:pPr>
      <w:rPr>
        <w:rFonts w:hint="default"/>
        <w:lang w:val="en-US" w:eastAsia="en-US" w:bidi="ar-SA"/>
      </w:rPr>
    </w:lvl>
    <w:lvl w:ilvl="3" w:tplc="3BE674EC">
      <w:numFmt w:val="bullet"/>
      <w:lvlText w:val="•"/>
      <w:lvlJc w:val="left"/>
      <w:pPr>
        <w:ind w:left="2023" w:hanging="360"/>
      </w:pPr>
      <w:rPr>
        <w:rFonts w:hint="default"/>
        <w:lang w:val="en-US" w:eastAsia="en-US" w:bidi="ar-SA"/>
      </w:rPr>
    </w:lvl>
    <w:lvl w:ilvl="4" w:tplc="F07C54C8">
      <w:numFmt w:val="bullet"/>
      <w:lvlText w:val="•"/>
      <w:lvlJc w:val="left"/>
      <w:pPr>
        <w:ind w:left="2510" w:hanging="360"/>
      </w:pPr>
      <w:rPr>
        <w:rFonts w:hint="default"/>
        <w:lang w:val="en-US" w:eastAsia="en-US" w:bidi="ar-SA"/>
      </w:rPr>
    </w:lvl>
    <w:lvl w:ilvl="5" w:tplc="E4F63546">
      <w:numFmt w:val="bullet"/>
      <w:lvlText w:val="•"/>
      <w:lvlJc w:val="left"/>
      <w:pPr>
        <w:ind w:left="2998" w:hanging="360"/>
      </w:pPr>
      <w:rPr>
        <w:rFonts w:hint="default"/>
        <w:lang w:val="en-US" w:eastAsia="en-US" w:bidi="ar-SA"/>
      </w:rPr>
    </w:lvl>
    <w:lvl w:ilvl="6" w:tplc="23D64A8E">
      <w:numFmt w:val="bullet"/>
      <w:lvlText w:val="•"/>
      <w:lvlJc w:val="left"/>
      <w:pPr>
        <w:ind w:left="3486" w:hanging="360"/>
      </w:pPr>
      <w:rPr>
        <w:rFonts w:hint="default"/>
        <w:lang w:val="en-US" w:eastAsia="en-US" w:bidi="ar-SA"/>
      </w:rPr>
    </w:lvl>
    <w:lvl w:ilvl="7" w:tplc="86A8704E">
      <w:numFmt w:val="bullet"/>
      <w:lvlText w:val="•"/>
      <w:lvlJc w:val="left"/>
      <w:pPr>
        <w:ind w:left="3973" w:hanging="360"/>
      </w:pPr>
      <w:rPr>
        <w:rFonts w:hint="default"/>
        <w:lang w:val="en-US" w:eastAsia="en-US" w:bidi="ar-SA"/>
      </w:rPr>
    </w:lvl>
    <w:lvl w:ilvl="8" w:tplc="B98262E8">
      <w:numFmt w:val="bullet"/>
      <w:lvlText w:val="•"/>
      <w:lvlJc w:val="left"/>
      <w:pPr>
        <w:ind w:left="4461" w:hanging="360"/>
      </w:pPr>
      <w:rPr>
        <w:rFonts w:hint="default"/>
        <w:lang w:val="en-US" w:eastAsia="en-US" w:bidi="ar-SA"/>
      </w:rPr>
    </w:lvl>
  </w:abstractNum>
  <w:abstractNum w:abstractNumId="34" w15:restartNumberingAfterBreak="0">
    <w:nsid w:val="391109B2"/>
    <w:multiLevelType w:val="hybridMultilevel"/>
    <w:tmpl w:val="41DC0D9A"/>
    <w:lvl w:ilvl="0" w:tplc="26ACE7AE">
      <w:numFmt w:val="bullet"/>
      <w:lvlText w:val="•"/>
      <w:lvlJc w:val="left"/>
      <w:pPr>
        <w:ind w:left="814" w:hanging="359"/>
      </w:pPr>
      <w:rPr>
        <w:rFonts w:ascii="Arial" w:eastAsia="Arial" w:hAnsi="Arial" w:cs="Arial" w:hint="default"/>
        <w:b w:val="0"/>
        <w:bCs w:val="0"/>
        <w:i w:val="0"/>
        <w:iCs w:val="0"/>
        <w:color w:val="010101"/>
        <w:spacing w:val="0"/>
        <w:w w:val="106"/>
        <w:sz w:val="17"/>
        <w:szCs w:val="17"/>
        <w:lang w:val="en-US" w:eastAsia="en-US" w:bidi="ar-SA"/>
      </w:rPr>
    </w:lvl>
    <w:lvl w:ilvl="1" w:tplc="AACE50F8">
      <w:numFmt w:val="bullet"/>
      <w:lvlText w:val="•"/>
      <w:lvlJc w:val="left"/>
      <w:pPr>
        <w:ind w:left="1547" w:hanging="359"/>
      </w:pPr>
      <w:rPr>
        <w:rFonts w:hint="default"/>
        <w:lang w:val="en-US" w:eastAsia="en-US" w:bidi="ar-SA"/>
      </w:rPr>
    </w:lvl>
    <w:lvl w:ilvl="2" w:tplc="9C0C27A2">
      <w:numFmt w:val="bullet"/>
      <w:lvlText w:val="•"/>
      <w:lvlJc w:val="left"/>
      <w:pPr>
        <w:ind w:left="2274" w:hanging="359"/>
      </w:pPr>
      <w:rPr>
        <w:rFonts w:hint="default"/>
        <w:lang w:val="en-US" w:eastAsia="en-US" w:bidi="ar-SA"/>
      </w:rPr>
    </w:lvl>
    <w:lvl w:ilvl="3" w:tplc="CE540748">
      <w:numFmt w:val="bullet"/>
      <w:lvlText w:val="•"/>
      <w:lvlJc w:val="left"/>
      <w:pPr>
        <w:ind w:left="3002" w:hanging="359"/>
      </w:pPr>
      <w:rPr>
        <w:rFonts w:hint="default"/>
        <w:lang w:val="en-US" w:eastAsia="en-US" w:bidi="ar-SA"/>
      </w:rPr>
    </w:lvl>
    <w:lvl w:ilvl="4" w:tplc="BBEAAE70">
      <w:numFmt w:val="bullet"/>
      <w:lvlText w:val="•"/>
      <w:lvlJc w:val="left"/>
      <w:pPr>
        <w:ind w:left="3729" w:hanging="359"/>
      </w:pPr>
      <w:rPr>
        <w:rFonts w:hint="default"/>
        <w:lang w:val="en-US" w:eastAsia="en-US" w:bidi="ar-SA"/>
      </w:rPr>
    </w:lvl>
    <w:lvl w:ilvl="5" w:tplc="AA52B048">
      <w:numFmt w:val="bullet"/>
      <w:lvlText w:val="•"/>
      <w:lvlJc w:val="left"/>
      <w:pPr>
        <w:ind w:left="4457" w:hanging="359"/>
      </w:pPr>
      <w:rPr>
        <w:rFonts w:hint="default"/>
        <w:lang w:val="en-US" w:eastAsia="en-US" w:bidi="ar-SA"/>
      </w:rPr>
    </w:lvl>
    <w:lvl w:ilvl="6" w:tplc="470601EA">
      <w:numFmt w:val="bullet"/>
      <w:lvlText w:val="•"/>
      <w:lvlJc w:val="left"/>
      <w:pPr>
        <w:ind w:left="5184" w:hanging="359"/>
      </w:pPr>
      <w:rPr>
        <w:rFonts w:hint="default"/>
        <w:lang w:val="en-US" w:eastAsia="en-US" w:bidi="ar-SA"/>
      </w:rPr>
    </w:lvl>
    <w:lvl w:ilvl="7" w:tplc="DC7877FC">
      <w:numFmt w:val="bullet"/>
      <w:lvlText w:val="•"/>
      <w:lvlJc w:val="left"/>
      <w:pPr>
        <w:ind w:left="5912" w:hanging="359"/>
      </w:pPr>
      <w:rPr>
        <w:rFonts w:hint="default"/>
        <w:lang w:val="en-US" w:eastAsia="en-US" w:bidi="ar-SA"/>
      </w:rPr>
    </w:lvl>
    <w:lvl w:ilvl="8" w:tplc="64B609B0">
      <w:numFmt w:val="bullet"/>
      <w:lvlText w:val="•"/>
      <w:lvlJc w:val="left"/>
      <w:pPr>
        <w:ind w:left="6639" w:hanging="359"/>
      </w:pPr>
      <w:rPr>
        <w:rFonts w:hint="default"/>
        <w:lang w:val="en-US" w:eastAsia="en-US" w:bidi="ar-SA"/>
      </w:rPr>
    </w:lvl>
  </w:abstractNum>
  <w:abstractNum w:abstractNumId="35" w15:restartNumberingAfterBreak="0">
    <w:nsid w:val="39343991"/>
    <w:multiLevelType w:val="hybridMultilevel"/>
    <w:tmpl w:val="B0BCC27C"/>
    <w:lvl w:ilvl="0" w:tplc="A498DCF4">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3CC93DB9"/>
    <w:multiLevelType w:val="hybridMultilevel"/>
    <w:tmpl w:val="80BAD51A"/>
    <w:lvl w:ilvl="0" w:tplc="B328A828">
      <w:start w:val="1"/>
      <w:numFmt w:val="lowerRoman"/>
      <w:lvlText w:val="%1."/>
      <w:lvlJc w:val="left"/>
      <w:pPr>
        <w:ind w:left="284" w:hanging="28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2F6730"/>
    <w:multiLevelType w:val="hybridMultilevel"/>
    <w:tmpl w:val="4DECEE42"/>
    <w:lvl w:ilvl="0" w:tplc="6F5CBED0">
      <w:numFmt w:val="bullet"/>
      <w:pStyle w:val="Tablebullet0"/>
      <w:lvlText w:val="•"/>
      <w:lvlJc w:val="left"/>
      <w:pPr>
        <w:ind w:left="720" w:hanging="360"/>
      </w:pPr>
      <w:rPr>
        <w:rFonts w:ascii="Arial" w:hAnsi="Arial" w:cstheme="minorBid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586DCD"/>
    <w:multiLevelType w:val="hybridMultilevel"/>
    <w:tmpl w:val="56EAA8FC"/>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7908D8"/>
    <w:multiLevelType w:val="hybridMultilevel"/>
    <w:tmpl w:val="38C64B28"/>
    <w:lvl w:ilvl="0" w:tplc="04090019">
      <w:start w:val="1"/>
      <w:numFmt w:val="lowerLetter"/>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F8070A"/>
    <w:multiLevelType w:val="hybridMultilevel"/>
    <w:tmpl w:val="894E16F4"/>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AD0E0A"/>
    <w:multiLevelType w:val="hybridMultilevel"/>
    <w:tmpl w:val="3FA03BBC"/>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8315A6"/>
    <w:multiLevelType w:val="multilevel"/>
    <w:tmpl w:val="47421C64"/>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0534059"/>
    <w:multiLevelType w:val="hybridMultilevel"/>
    <w:tmpl w:val="950C99C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5F13EFE"/>
    <w:multiLevelType w:val="hybridMultilevel"/>
    <w:tmpl w:val="070CA036"/>
    <w:lvl w:ilvl="0" w:tplc="8F2E4E24">
      <w:start w:val="1"/>
      <w:numFmt w:val="decimal"/>
      <w:pStyle w:val="AppendixHeading2numbered"/>
      <w:lvlText w:val="%1."/>
      <w:lvlJc w:val="left"/>
      <w:pPr>
        <w:tabs>
          <w:tab w:val="num" w:pos="284"/>
        </w:tabs>
        <w:ind w:left="284" w:hanging="284"/>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7" w15:restartNumberingAfterBreak="0">
    <w:nsid w:val="560550B8"/>
    <w:multiLevelType w:val="hybridMultilevel"/>
    <w:tmpl w:val="6D4C6CD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6320D01"/>
    <w:multiLevelType w:val="hybridMultilevel"/>
    <w:tmpl w:val="352EA56E"/>
    <w:lvl w:ilvl="0" w:tplc="37FAD234">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727018"/>
    <w:multiLevelType w:val="hybridMultilevel"/>
    <w:tmpl w:val="4C2EEC1A"/>
    <w:lvl w:ilvl="0" w:tplc="23607E76">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043A0A"/>
    <w:multiLevelType w:val="hybridMultilevel"/>
    <w:tmpl w:val="08C842A6"/>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FC2898"/>
    <w:multiLevelType w:val="hybridMultilevel"/>
    <w:tmpl w:val="A5948DBE"/>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06A13FC"/>
    <w:multiLevelType w:val="hybridMultilevel"/>
    <w:tmpl w:val="56EAA8FC"/>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78727A"/>
    <w:multiLevelType w:val="hybridMultilevel"/>
    <w:tmpl w:val="B60C91A0"/>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397557E"/>
    <w:multiLevelType w:val="hybridMultilevel"/>
    <w:tmpl w:val="0F4C2FF6"/>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C67CA4"/>
    <w:multiLevelType w:val="hybridMultilevel"/>
    <w:tmpl w:val="3A64906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7F568FF"/>
    <w:multiLevelType w:val="hybridMultilevel"/>
    <w:tmpl w:val="32346908"/>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8211583"/>
    <w:multiLevelType w:val="hybridMultilevel"/>
    <w:tmpl w:val="35207828"/>
    <w:lvl w:ilvl="0" w:tplc="2DAA2390">
      <w:start w:val="1"/>
      <w:numFmt w:val="lowerLetter"/>
      <w:pStyle w:val="ListParagrapha"/>
      <w:lvlText w:val="%1)"/>
      <w:lvlJc w:val="left"/>
      <w:pPr>
        <w:ind w:left="720" w:hanging="360"/>
      </w:pPr>
      <w:rPr>
        <w:rFonts w:ascii="Arial" w:eastAsia="Arial" w:hAnsi="Arial" w:cs="Arial" w:hint="default"/>
        <w:color w:val="383834"/>
        <w:spacing w:val="-2"/>
        <w:w w:val="103"/>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C5D75AE"/>
    <w:multiLevelType w:val="hybridMultilevel"/>
    <w:tmpl w:val="ED8808EA"/>
    <w:lvl w:ilvl="0" w:tplc="FFFFFFFF">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DC435D1"/>
    <w:multiLevelType w:val="hybridMultilevel"/>
    <w:tmpl w:val="2EAE37B0"/>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E965071"/>
    <w:multiLevelType w:val="hybridMultilevel"/>
    <w:tmpl w:val="28EE7636"/>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0182B45"/>
    <w:multiLevelType w:val="multilevel"/>
    <w:tmpl w:val="B4ACC6EA"/>
    <w:lvl w:ilvl="0">
      <w:start w:val="1"/>
      <w:numFmt w:val="decimal"/>
      <w:pStyle w:val="Heading1numbered0"/>
      <w:lvlText w:val="%1."/>
      <w:lvlJc w:val="left"/>
      <w:pPr>
        <w:ind w:left="851" w:hanging="567"/>
      </w:pPr>
      <w:rPr>
        <w:rFonts w:hint="default"/>
      </w:rPr>
    </w:lvl>
    <w:lvl w:ilvl="1">
      <w:start w:val="1"/>
      <w:numFmt w:val="decimal"/>
      <w:pStyle w:val="Heading2numbered0"/>
      <w:lvlText w:val="%1.%2"/>
      <w:lvlJc w:val="left"/>
      <w:pPr>
        <w:ind w:left="567" w:hanging="567"/>
      </w:pPr>
      <w:rPr>
        <w:rFonts w:hint="default"/>
      </w:rPr>
    </w:lvl>
    <w:lvl w:ilvl="2">
      <w:start w:val="1"/>
      <w:numFmt w:val="decimal"/>
      <w:pStyle w:val="Heading3numbered0"/>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abstractNum w:abstractNumId="64" w15:restartNumberingAfterBreak="0">
    <w:nsid w:val="7493057A"/>
    <w:multiLevelType w:val="hybridMultilevel"/>
    <w:tmpl w:val="0226D09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6C1098B"/>
    <w:multiLevelType w:val="hybridMultilevel"/>
    <w:tmpl w:val="841EEEEC"/>
    <w:lvl w:ilvl="0" w:tplc="32E86D06">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9D24AA6"/>
    <w:multiLevelType w:val="hybridMultilevel"/>
    <w:tmpl w:val="EB640E18"/>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B857542"/>
    <w:multiLevelType w:val="hybridMultilevel"/>
    <w:tmpl w:val="232C9A6A"/>
    <w:lvl w:ilvl="0" w:tplc="B328A828">
      <w:start w:val="1"/>
      <w:numFmt w:val="lowerRoman"/>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9680121">
    <w:abstractNumId w:val="31"/>
  </w:num>
  <w:num w:numId="2" w16cid:durableId="1348017532">
    <w:abstractNumId w:val="31"/>
  </w:num>
  <w:num w:numId="3" w16cid:durableId="1276909800">
    <w:abstractNumId w:val="42"/>
  </w:num>
  <w:num w:numId="4" w16cid:durableId="1095596940">
    <w:abstractNumId w:val="49"/>
  </w:num>
  <w:num w:numId="5" w16cid:durableId="10035801">
    <w:abstractNumId w:val="28"/>
  </w:num>
  <w:num w:numId="6" w16cid:durableId="1046485235">
    <w:abstractNumId w:val="63"/>
  </w:num>
  <w:num w:numId="7" w16cid:durableId="1737119480">
    <w:abstractNumId w:val="12"/>
  </w:num>
  <w:num w:numId="8" w16cid:durableId="5313842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45934">
    <w:abstractNumId w:val="55"/>
  </w:num>
  <w:num w:numId="10" w16cid:durableId="1767537595">
    <w:abstractNumId w:val="41"/>
  </w:num>
  <w:num w:numId="11" w16cid:durableId="1744600531">
    <w:abstractNumId w:val="35"/>
  </w:num>
  <w:num w:numId="12" w16cid:durableId="1265452756">
    <w:abstractNumId w:val="62"/>
  </w:num>
  <w:num w:numId="13" w16cid:durableId="248542423">
    <w:abstractNumId w:val="37"/>
  </w:num>
  <w:num w:numId="14" w16cid:durableId="552620858">
    <w:abstractNumId w:val="16"/>
  </w:num>
  <w:num w:numId="15" w16cid:durableId="722800995">
    <w:abstractNumId w:val="36"/>
  </w:num>
  <w:num w:numId="16" w16cid:durableId="1689984267">
    <w:abstractNumId w:val="52"/>
  </w:num>
  <w:num w:numId="17" w16cid:durableId="796529045">
    <w:abstractNumId w:val="38"/>
  </w:num>
  <w:num w:numId="18" w16cid:durableId="377557111">
    <w:abstractNumId w:val="1"/>
  </w:num>
  <w:num w:numId="19" w16cid:durableId="254825739">
    <w:abstractNumId w:val="29"/>
  </w:num>
  <w:num w:numId="20" w16cid:durableId="1204751160">
    <w:abstractNumId w:val="26"/>
  </w:num>
  <w:num w:numId="21" w16cid:durableId="904602790">
    <w:abstractNumId w:val="3"/>
  </w:num>
  <w:num w:numId="22" w16cid:durableId="1431318513">
    <w:abstractNumId w:val="11"/>
  </w:num>
  <w:num w:numId="23" w16cid:durableId="1828398994">
    <w:abstractNumId w:val="47"/>
  </w:num>
  <w:num w:numId="24" w16cid:durableId="1136530042">
    <w:abstractNumId w:val="60"/>
  </w:num>
  <w:num w:numId="25" w16cid:durableId="513543286">
    <w:abstractNumId w:val="15"/>
  </w:num>
  <w:num w:numId="26" w16cid:durableId="861818024">
    <w:abstractNumId w:val="67"/>
  </w:num>
  <w:num w:numId="27" w16cid:durableId="1474176640">
    <w:abstractNumId w:val="22"/>
  </w:num>
  <w:num w:numId="28" w16cid:durableId="1318414999">
    <w:abstractNumId w:val="64"/>
  </w:num>
  <w:num w:numId="29" w16cid:durableId="410615178">
    <w:abstractNumId w:val="2"/>
  </w:num>
  <w:num w:numId="30" w16cid:durableId="974527482">
    <w:abstractNumId w:val="25"/>
    <w:lvlOverride w:ilvl="0">
      <w:startOverride w:val="1"/>
    </w:lvlOverride>
  </w:num>
  <w:num w:numId="31" w16cid:durableId="950161115">
    <w:abstractNumId w:val="4"/>
  </w:num>
  <w:num w:numId="32" w16cid:durableId="1348144043">
    <w:abstractNumId w:val="45"/>
  </w:num>
  <w:num w:numId="33" w16cid:durableId="100804273">
    <w:abstractNumId w:val="56"/>
  </w:num>
  <w:num w:numId="34" w16cid:durableId="1854875897">
    <w:abstractNumId w:val="7"/>
  </w:num>
  <w:num w:numId="35" w16cid:durableId="1866406196">
    <w:abstractNumId w:val="10"/>
  </w:num>
  <w:num w:numId="36" w16cid:durableId="1486817022">
    <w:abstractNumId w:val="5"/>
  </w:num>
  <w:num w:numId="37" w16cid:durableId="132645977">
    <w:abstractNumId w:val="66"/>
  </w:num>
  <w:num w:numId="38" w16cid:durableId="1838576120">
    <w:abstractNumId w:val="24"/>
  </w:num>
  <w:num w:numId="39" w16cid:durableId="216092471">
    <w:abstractNumId w:val="9"/>
  </w:num>
  <w:num w:numId="40" w16cid:durableId="1519390386">
    <w:abstractNumId w:val="50"/>
  </w:num>
  <w:num w:numId="41" w16cid:durableId="1194415084">
    <w:abstractNumId w:val="30"/>
  </w:num>
  <w:num w:numId="42" w16cid:durableId="1177579557">
    <w:abstractNumId w:val="61"/>
  </w:num>
  <w:num w:numId="43" w16cid:durableId="1387413112">
    <w:abstractNumId w:val="25"/>
    <w:lvlOverride w:ilvl="0">
      <w:startOverride w:val="1"/>
    </w:lvlOverride>
  </w:num>
  <w:num w:numId="44" w16cid:durableId="1844735731">
    <w:abstractNumId w:val="25"/>
    <w:lvlOverride w:ilvl="0">
      <w:startOverride w:val="1"/>
    </w:lvlOverride>
  </w:num>
  <w:num w:numId="45" w16cid:durableId="1018586129">
    <w:abstractNumId w:val="44"/>
  </w:num>
  <w:num w:numId="46" w16cid:durableId="648100325">
    <w:abstractNumId w:val="32"/>
  </w:num>
  <w:num w:numId="47" w16cid:durableId="1072580293">
    <w:abstractNumId w:val="58"/>
  </w:num>
  <w:num w:numId="48" w16cid:durableId="138960282">
    <w:abstractNumId w:val="39"/>
  </w:num>
  <w:num w:numId="49" w16cid:durableId="997808520">
    <w:abstractNumId w:val="21"/>
  </w:num>
  <w:num w:numId="50" w16cid:durableId="1777824625">
    <w:abstractNumId w:val="20"/>
  </w:num>
  <w:num w:numId="51" w16cid:durableId="1454206979">
    <w:abstractNumId w:val="6"/>
  </w:num>
  <w:num w:numId="52" w16cid:durableId="355233517">
    <w:abstractNumId w:val="16"/>
    <w:lvlOverride w:ilvl="0">
      <w:startOverride w:val="1"/>
    </w:lvlOverride>
  </w:num>
  <w:num w:numId="53" w16cid:durableId="1309627910">
    <w:abstractNumId w:val="8"/>
  </w:num>
  <w:num w:numId="54" w16cid:durableId="983240121">
    <w:abstractNumId w:val="43"/>
  </w:num>
  <w:num w:numId="55" w16cid:durableId="1316959962">
    <w:abstractNumId w:val="23"/>
  </w:num>
  <w:num w:numId="56" w16cid:durableId="1282683006">
    <w:abstractNumId w:val="57"/>
  </w:num>
  <w:num w:numId="57" w16cid:durableId="2050569955">
    <w:abstractNumId w:val="53"/>
  </w:num>
  <w:num w:numId="58" w16cid:durableId="1061368095">
    <w:abstractNumId w:val="65"/>
  </w:num>
  <w:num w:numId="59" w16cid:durableId="201215040">
    <w:abstractNumId w:val="27"/>
  </w:num>
  <w:num w:numId="60" w16cid:durableId="313609179">
    <w:abstractNumId w:val="19"/>
  </w:num>
  <w:num w:numId="61" w16cid:durableId="257300619">
    <w:abstractNumId w:val="51"/>
  </w:num>
  <w:num w:numId="62" w16cid:durableId="1266041855">
    <w:abstractNumId w:val="40"/>
  </w:num>
  <w:num w:numId="63" w16cid:durableId="2051801187">
    <w:abstractNumId w:val="54"/>
  </w:num>
  <w:num w:numId="64" w16cid:durableId="865868752">
    <w:abstractNumId w:val="0"/>
  </w:num>
  <w:num w:numId="65" w16cid:durableId="466777864">
    <w:abstractNumId w:val="13"/>
  </w:num>
  <w:num w:numId="66" w16cid:durableId="1392148243">
    <w:abstractNumId w:val="14"/>
  </w:num>
  <w:num w:numId="67" w16cid:durableId="308941162">
    <w:abstractNumId w:val="46"/>
  </w:num>
  <w:num w:numId="68" w16cid:durableId="1426027262">
    <w:abstractNumId w:val="48"/>
  </w:num>
  <w:num w:numId="69" w16cid:durableId="1520269185">
    <w:abstractNumId w:val="17"/>
  </w:num>
  <w:num w:numId="70" w16cid:durableId="1941451797">
    <w:abstractNumId w:val="59"/>
  </w:num>
  <w:num w:numId="71" w16cid:durableId="1341664884">
    <w:abstractNumId w:val="18"/>
  </w:num>
  <w:num w:numId="72" w16cid:durableId="1656957921">
    <w:abstractNumId w:val="33"/>
  </w:num>
  <w:num w:numId="73" w16cid:durableId="1412460413">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B8"/>
    <w:rsid w:val="00003EF4"/>
    <w:rsid w:val="00006100"/>
    <w:rsid w:val="00030B7E"/>
    <w:rsid w:val="0005118D"/>
    <w:rsid w:val="000B7BBB"/>
    <w:rsid w:val="000C0740"/>
    <w:rsid w:val="000E75FB"/>
    <w:rsid w:val="000F5B20"/>
    <w:rsid w:val="00104228"/>
    <w:rsid w:val="00114908"/>
    <w:rsid w:val="00157285"/>
    <w:rsid w:val="001629A5"/>
    <w:rsid w:val="001700E3"/>
    <w:rsid w:val="001713CE"/>
    <w:rsid w:val="001772C9"/>
    <w:rsid w:val="00177848"/>
    <w:rsid w:val="00193B39"/>
    <w:rsid w:val="001C20F9"/>
    <w:rsid w:val="001D1E8C"/>
    <w:rsid w:val="001E567B"/>
    <w:rsid w:val="00203239"/>
    <w:rsid w:val="00242AA9"/>
    <w:rsid w:val="00246C6A"/>
    <w:rsid w:val="00265891"/>
    <w:rsid w:val="00274ABA"/>
    <w:rsid w:val="0028635E"/>
    <w:rsid w:val="00291743"/>
    <w:rsid w:val="002A0A54"/>
    <w:rsid w:val="002A2311"/>
    <w:rsid w:val="002A3B26"/>
    <w:rsid w:val="002A3CC0"/>
    <w:rsid w:val="002A4825"/>
    <w:rsid w:val="002A4D98"/>
    <w:rsid w:val="002C10CE"/>
    <w:rsid w:val="002C2DC7"/>
    <w:rsid w:val="0035690A"/>
    <w:rsid w:val="00362CF6"/>
    <w:rsid w:val="00366FA4"/>
    <w:rsid w:val="00370FD2"/>
    <w:rsid w:val="003829F5"/>
    <w:rsid w:val="0039148E"/>
    <w:rsid w:val="003957FF"/>
    <w:rsid w:val="003A3F2A"/>
    <w:rsid w:val="003D4A8B"/>
    <w:rsid w:val="003E05F4"/>
    <w:rsid w:val="003E1C09"/>
    <w:rsid w:val="00421510"/>
    <w:rsid w:val="004450EB"/>
    <w:rsid w:val="00445EF8"/>
    <w:rsid w:val="004635F2"/>
    <w:rsid w:val="00483058"/>
    <w:rsid w:val="00487AB1"/>
    <w:rsid w:val="0049039B"/>
    <w:rsid w:val="00494786"/>
    <w:rsid w:val="004C0653"/>
    <w:rsid w:val="00513A15"/>
    <w:rsid w:val="005227B7"/>
    <w:rsid w:val="0052379D"/>
    <w:rsid w:val="00590BC1"/>
    <w:rsid w:val="0059361A"/>
    <w:rsid w:val="005C6D11"/>
    <w:rsid w:val="005D78C4"/>
    <w:rsid w:val="005E4417"/>
    <w:rsid w:val="005F1F70"/>
    <w:rsid w:val="00602595"/>
    <w:rsid w:val="00615ADA"/>
    <w:rsid w:val="006232BC"/>
    <w:rsid w:val="00667796"/>
    <w:rsid w:val="00686513"/>
    <w:rsid w:val="006B5FCB"/>
    <w:rsid w:val="006C36CA"/>
    <w:rsid w:val="006D5FE0"/>
    <w:rsid w:val="006E345D"/>
    <w:rsid w:val="006F1C8C"/>
    <w:rsid w:val="00730A3C"/>
    <w:rsid w:val="00756F8D"/>
    <w:rsid w:val="00774F8D"/>
    <w:rsid w:val="007C69B9"/>
    <w:rsid w:val="007D0236"/>
    <w:rsid w:val="007D3D95"/>
    <w:rsid w:val="00814D77"/>
    <w:rsid w:val="0082442A"/>
    <w:rsid w:val="00842B07"/>
    <w:rsid w:val="008475A5"/>
    <w:rsid w:val="008543A0"/>
    <w:rsid w:val="00857D46"/>
    <w:rsid w:val="00880FCA"/>
    <w:rsid w:val="00887305"/>
    <w:rsid w:val="008E7383"/>
    <w:rsid w:val="00906363"/>
    <w:rsid w:val="00912EEA"/>
    <w:rsid w:val="00914AF9"/>
    <w:rsid w:val="009564D4"/>
    <w:rsid w:val="0096090B"/>
    <w:rsid w:val="009952C1"/>
    <w:rsid w:val="009B2A17"/>
    <w:rsid w:val="009C530E"/>
    <w:rsid w:val="009F04B2"/>
    <w:rsid w:val="00A05778"/>
    <w:rsid w:val="00A26513"/>
    <w:rsid w:val="00A42238"/>
    <w:rsid w:val="00A45FFA"/>
    <w:rsid w:val="00A6480E"/>
    <w:rsid w:val="00AA0230"/>
    <w:rsid w:val="00AB1A66"/>
    <w:rsid w:val="00AC7696"/>
    <w:rsid w:val="00AD2C21"/>
    <w:rsid w:val="00B03435"/>
    <w:rsid w:val="00B1545C"/>
    <w:rsid w:val="00B26B52"/>
    <w:rsid w:val="00B515DB"/>
    <w:rsid w:val="00B53837"/>
    <w:rsid w:val="00B66698"/>
    <w:rsid w:val="00BD048B"/>
    <w:rsid w:val="00BD0FAC"/>
    <w:rsid w:val="00BE3C43"/>
    <w:rsid w:val="00BF20ED"/>
    <w:rsid w:val="00C17A57"/>
    <w:rsid w:val="00C34F64"/>
    <w:rsid w:val="00C50F53"/>
    <w:rsid w:val="00C6052E"/>
    <w:rsid w:val="00C80666"/>
    <w:rsid w:val="00CA7AB2"/>
    <w:rsid w:val="00CC2B8F"/>
    <w:rsid w:val="00D02276"/>
    <w:rsid w:val="00D051D2"/>
    <w:rsid w:val="00D33AA2"/>
    <w:rsid w:val="00D41E95"/>
    <w:rsid w:val="00D50D3B"/>
    <w:rsid w:val="00D51F51"/>
    <w:rsid w:val="00D52474"/>
    <w:rsid w:val="00D807D2"/>
    <w:rsid w:val="00D83915"/>
    <w:rsid w:val="00D966F0"/>
    <w:rsid w:val="00D97857"/>
    <w:rsid w:val="00DA7266"/>
    <w:rsid w:val="00DB608A"/>
    <w:rsid w:val="00DD1B40"/>
    <w:rsid w:val="00DF33C2"/>
    <w:rsid w:val="00E0291D"/>
    <w:rsid w:val="00E02B91"/>
    <w:rsid w:val="00E16C0A"/>
    <w:rsid w:val="00E26B6E"/>
    <w:rsid w:val="00E611C7"/>
    <w:rsid w:val="00E828ED"/>
    <w:rsid w:val="00E9084D"/>
    <w:rsid w:val="00E95FCD"/>
    <w:rsid w:val="00E97D0C"/>
    <w:rsid w:val="00EA66F2"/>
    <w:rsid w:val="00EA6770"/>
    <w:rsid w:val="00EA7A88"/>
    <w:rsid w:val="00EC3A08"/>
    <w:rsid w:val="00EE5BB8"/>
    <w:rsid w:val="00EF4E9E"/>
    <w:rsid w:val="00F04AE1"/>
    <w:rsid w:val="00F660D1"/>
    <w:rsid w:val="00F704C8"/>
    <w:rsid w:val="00FD0B0B"/>
    <w:rsid w:val="00FD7B75"/>
    <w:rsid w:val="00FE1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35CEDD"/>
  <w15:chartTrackingRefBased/>
  <w15:docId w15:val="{BE36425F-83E1-4075-B61E-BC827ECD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7B7"/>
    <w:pPr>
      <w:autoSpaceDE w:val="0"/>
      <w:autoSpaceDN w:val="0"/>
      <w:spacing w:after="240" w:line="276" w:lineRule="auto"/>
    </w:pPr>
    <w:rPr>
      <w:kern w:val="0"/>
      <w14:ligatures w14:val="none"/>
    </w:rPr>
  </w:style>
  <w:style w:type="paragraph" w:styleId="Heading1">
    <w:name w:val="heading 1"/>
    <w:basedOn w:val="Normal"/>
    <w:next w:val="Normal"/>
    <w:link w:val="Heading1Char"/>
    <w:uiPriority w:val="9"/>
    <w:qFormat/>
    <w:rsid w:val="00EE5BB8"/>
    <w:pPr>
      <w:keepNext/>
      <w:keepLines/>
      <w:pageBreakBefore/>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EE5BB8"/>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EE5BB8"/>
    <w:pPr>
      <w:keepNext/>
      <w:keepLines/>
      <w:suppressAutoHyphens/>
      <w:autoSpaceDE/>
      <w:autoSpaceDN/>
      <w:spacing w:before="240" w:after="200"/>
      <w:outlineLvl w:val="2"/>
    </w:pPr>
    <w:rPr>
      <w:rFonts w:ascii="Arial" w:eastAsia="MS Gothic" w:hAnsi="Arial" w:cs="Arial"/>
      <w:b/>
      <w:bCs/>
      <w:sz w:val="28"/>
      <w:szCs w:val="32"/>
    </w:rPr>
  </w:style>
  <w:style w:type="paragraph" w:styleId="Heading4">
    <w:name w:val="heading 4"/>
    <w:basedOn w:val="Normal"/>
    <w:next w:val="Normal"/>
    <w:link w:val="Heading4Char"/>
    <w:uiPriority w:val="9"/>
    <w:unhideWhenUsed/>
    <w:qFormat/>
    <w:rsid w:val="00EE5BB8"/>
    <w:pPr>
      <w:keepNext/>
      <w:keepLines/>
      <w:suppressAutoHyphens/>
      <w:autoSpaceDE/>
      <w:autoSpaceDN/>
      <w:spacing w:before="240" w:after="120"/>
      <w:outlineLvl w:val="3"/>
    </w:pPr>
    <w:rPr>
      <w:rFonts w:ascii="Arial" w:eastAsia="MS Gothic" w:hAnsi="Arial" w:cs="Arial"/>
      <w:b/>
      <w:bCs/>
      <w:iCs/>
      <w:szCs w:val="32"/>
    </w:rPr>
  </w:style>
  <w:style w:type="paragraph" w:styleId="Heading5">
    <w:name w:val="heading 5"/>
    <w:basedOn w:val="Normal"/>
    <w:next w:val="Normal"/>
    <w:link w:val="Heading5Char"/>
    <w:uiPriority w:val="9"/>
    <w:unhideWhenUsed/>
    <w:qFormat/>
    <w:rsid w:val="00EE5BB8"/>
    <w:pPr>
      <w:numPr>
        <w:numId w:val="5"/>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C6052E"/>
    <w:pPr>
      <w:keepNext/>
      <w:spacing w:before="240" w:after="60"/>
      <w:outlineLvl w:val="5"/>
    </w:pPr>
    <w:rPr>
      <w:rFonts w:eastAsia="Times New Roman" w:cs="Times New Roman"/>
      <w:b/>
      <w:bCs/>
      <w:szCs w:val="22"/>
    </w:rPr>
  </w:style>
  <w:style w:type="paragraph" w:styleId="Heading7">
    <w:name w:val="heading 7"/>
    <w:basedOn w:val="Normal"/>
    <w:next w:val="Normal"/>
    <w:link w:val="Heading7Char"/>
    <w:uiPriority w:val="9"/>
    <w:semiHidden/>
    <w:unhideWhenUsed/>
    <w:qFormat/>
    <w:rsid w:val="00EE5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30A3C"/>
    <w:pPr>
      <w:keepNext/>
      <w:tabs>
        <w:tab w:val="right" w:leader="dot" w:pos="9629"/>
      </w:tabs>
      <w:spacing w:before="120" w:after="0"/>
    </w:pPr>
    <w:rPr>
      <w:b/>
    </w:rPr>
  </w:style>
  <w:style w:type="paragraph" w:customStyle="1" w:styleId="Tablenotes-indented">
    <w:name w:val="Table notes - indented"/>
    <w:basedOn w:val="Normal"/>
    <w:qFormat/>
    <w:rsid w:val="00D52474"/>
    <w:pPr>
      <w:tabs>
        <w:tab w:val="left" w:pos="294"/>
      </w:tabs>
      <w:spacing w:after="113"/>
      <w:ind w:left="397" w:hanging="170"/>
    </w:pPr>
    <w:rPr>
      <w:rFonts w:ascii="Arial" w:hAnsi="Arial"/>
      <w:i/>
      <w:color w:val="262626" w:themeColor="text1" w:themeTint="D9"/>
      <w:sz w:val="20"/>
      <w:szCs w:val="14"/>
      <w:lang w:val="en-GB"/>
    </w:rPr>
  </w:style>
  <w:style w:type="paragraph" w:customStyle="1" w:styleId="Bullet1">
    <w:name w:val="Bullet 1"/>
    <w:basedOn w:val="Normal"/>
    <w:qFormat/>
    <w:rsid w:val="00EC3A08"/>
    <w:pPr>
      <w:numPr>
        <w:numId w:val="2"/>
      </w:numPr>
      <w:spacing w:after="120" w:line="240" w:lineRule="exact"/>
    </w:pPr>
    <w:rPr>
      <w:color w:val="262626" w:themeColor="text1" w:themeTint="D9"/>
      <w:szCs w:val="18"/>
      <w:lang w:val="en-GB"/>
    </w:rPr>
  </w:style>
  <w:style w:type="paragraph" w:styleId="TOC2">
    <w:name w:val="toc 2"/>
    <w:basedOn w:val="Normal"/>
    <w:next w:val="Normal"/>
    <w:autoRedefine/>
    <w:uiPriority w:val="39"/>
    <w:unhideWhenUsed/>
    <w:rsid w:val="00EE5BB8"/>
    <w:pPr>
      <w:spacing w:after="0"/>
      <w:ind w:left="200"/>
    </w:pPr>
    <w:rPr>
      <w:szCs w:val="22"/>
    </w:rPr>
  </w:style>
  <w:style w:type="paragraph" w:customStyle="1" w:styleId="Bullet1last">
    <w:name w:val="Bullet 1 last"/>
    <w:basedOn w:val="Bullet1"/>
    <w:qFormat/>
    <w:rsid w:val="001713CE"/>
    <w:pPr>
      <w:spacing w:after="240"/>
      <w:ind w:left="284" w:hanging="284"/>
    </w:pPr>
  </w:style>
  <w:style w:type="character" w:customStyle="1" w:styleId="Heading1Char">
    <w:name w:val="Heading 1 Char"/>
    <w:link w:val="Heading1"/>
    <w:uiPriority w:val="9"/>
    <w:rsid w:val="00EE5BB8"/>
    <w:rPr>
      <w:rFonts w:eastAsia="MS Gothic" w:cs="Times New Roman"/>
      <w:b/>
      <w:bCs/>
      <w:kern w:val="0"/>
      <w:sz w:val="36"/>
      <w:lang w:val="en-US"/>
      <w14:ligatures w14:val="none"/>
    </w:rPr>
  </w:style>
  <w:style w:type="character" w:customStyle="1" w:styleId="Heading2Char">
    <w:name w:val="Heading 2 Char"/>
    <w:link w:val="Heading2"/>
    <w:uiPriority w:val="9"/>
    <w:rsid w:val="00EE5BB8"/>
    <w:rPr>
      <w:rFonts w:eastAsia="MS Gothic" w:cs="Times New Roman"/>
      <w:b/>
      <w:bCs/>
      <w:kern w:val="0"/>
      <w:sz w:val="32"/>
      <w:szCs w:val="26"/>
      <w:lang w:val="en-US"/>
      <w14:ligatures w14:val="none"/>
    </w:rPr>
  </w:style>
  <w:style w:type="character" w:customStyle="1" w:styleId="Heading3Char">
    <w:name w:val="Heading 3 Char"/>
    <w:link w:val="Heading3"/>
    <w:uiPriority w:val="9"/>
    <w:rsid w:val="00EE5BB8"/>
    <w:rPr>
      <w:rFonts w:ascii="Arial" w:eastAsia="MS Gothic" w:hAnsi="Arial" w:cs="Arial"/>
      <w:b/>
      <w:bCs/>
      <w:kern w:val="0"/>
      <w:sz w:val="28"/>
      <w:szCs w:val="32"/>
      <w:lang w:val="en-US"/>
      <w14:ligatures w14:val="none"/>
    </w:rPr>
  </w:style>
  <w:style w:type="character" w:customStyle="1" w:styleId="Heading4Char">
    <w:name w:val="Heading 4 Char"/>
    <w:link w:val="Heading4"/>
    <w:uiPriority w:val="9"/>
    <w:rsid w:val="00EE5BB8"/>
    <w:rPr>
      <w:rFonts w:ascii="Arial" w:eastAsia="MS Gothic" w:hAnsi="Arial" w:cs="Arial"/>
      <w:b/>
      <w:bCs/>
      <w:iCs/>
      <w:kern w:val="0"/>
      <w:szCs w:val="32"/>
      <w:lang w:val="en-US"/>
      <w14:ligatures w14:val="none"/>
    </w:rPr>
  </w:style>
  <w:style w:type="character" w:customStyle="1" w:styleId="Heading5Char">
    <w:name w:val="Heading 5 Char"/>
    <w:link w:val="Heading5"/>
    <w:uiPriority w:val="9"/>
    <w:rsid w:val="00EE5BB8"/>
    <w:rPr>
      <w:rFonts w:cs="Times New Roman"/>
      <w:b/>
      <w:bCs/>
      <w:iCs/>
      <w:kern w:val="0"/>
      <w:szCs w:val="26"/>
      <w:lang w:val="en-US"/>
      <w14:ligatures w14:val="none"/>
    </w:rPr>
  </w:style>
  <w:style w:type="character" w:customStyle="1" w:styleId="Heading6Char">
    <w:name w:val="Heading 6 Char"/>
    <w:link w:val="Heading6"/>
    <w:uiPriority w:val="9"/>
    <w:rsid w:val="00C6052E"/>
    <w:rPr>
      <w:rFonts w:eastAsia="Times New Roman" w:cs="Times New Roman"/>
      <w:b/>
      <w:bCs/>
      <w:kern w:val="0"/>
      <w:szCs w:val="22"/>
      <w:lang w:val="en-US"/>
      <w14:ligatures w14:val="none"/>
    </w:rPr>
  </w:style>
  <w:style w:type="character" w:customStyle="1" w:styleId="Heading7Char">
    <w:name w:val="Heading 7 Char"/>
    <w:basedOn w:val="DefaultParagraphFont"/>
    <w:link w:val="Heading7"/>
    <w:uiPriority w:val="9"/>
    <w:rsid w:val="00EE5BB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E5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E5BB8"/>
    <w:rPr>
      <w:rFonts w:eastAsiaTheme="majorEastAsia" w:cstheme="majorBidi"/>
      <w:color w:val="272727" w:themeColor="text1" w:themeTint="D8"/>
    </w:rPr>
  </w:style>
  <w:style w:type="paragraph" w:styleId="Title">
    <w:name w:val="Title"/>
    <w:basedOn w:val="Normal"/>
    <w:next w:val="Normal"/>
    <w:link w:val="TitleChar"/>
    <w:uiPriority w:val="10"/>
    <w:qFormat/>
    <w:rsid w:val="00EE5BB8"/>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BB8"/>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EE5BB8"/>
    <w:pPr>
      <w:outlineLvl w:val="1"/>
    </w:pPr>
    <w:rPr>
      <w:rFonts w:eastAsia="Times New Roman" w:cs="Times New Roman"/>
      <w:sz w:val="28"/>
      <w:szCs w:val="36"/>
    </w:rPr>
  </w:style>
  <w:style w:type="character" w:customStyle="1" w:styleId="SubtitleChar">
    <w:name w:val="Subtitle Char"/>
    <w:link w:val="Subtitle"/>
    <w:uiPriority w:val="11"/>
    <w:rsid w:val="00EE5BB8"/>
    <w:rPr>
      <w:rFonts w:eastAsia="Times New Roman" w:cs="Times New Roman"/>
      <w:kern w:val="0"/>
      <w:sz w:val="28"/>
      <w:szCs w:val="36"/>
      <w:lang w:val="en-US"/>
      <w14:ligatures w14:val="none"/>
    </w:rPr>
  </w:style>
  <w:style w:type="paragraph" w:styleId="ListParagraph">
    <w:name w:val="List Paragraph"/>
    <w:basedOn w:val="Normal"/>
    <w:uiPriority w:val="1"/>
    <w:qFormat/>
    <w:rsid w:val="00EE5BB8"/>
    <w:pPr>
      <w:numPr>
        <w:numId w:val="6"/>
      </w:numPr>
      <w:tabs>
        <w:tab w:val="left" w:pos="2180"/>
        <w:tab w:val="left" w:pos="2181"/>
      </w:tabs>
      <w:spacing w:after="140"/>
    </w:pPr>
    <w:rPr>
      <w:rFonts w:eastAsia="Times New Roman"/>
      <w:lang w:eastAsia="en-GB"/>
    </w:rPr>
  </w:style>
  <w:style w:type="paragraph" w:styleId="BalloonText">
    <w:name w:val="Balloon Text"/>
    <w:basedOn w:val="Normal"/>
    <w:link w:val="BalloonTextChar"/>
    <w:uiPriority w:val="99"/>
    <w:semiHidden/>
    <w:unhideWhenUsed/>
    <w:rsid w:val="00EE5BB8"/>
    <w:rPr>
      <w:rFonts w:ascii="Lucida Grande" w:hAnsi="Lucida Grande" w:cs="Lucida Grande"/>
      <w:sz w:val="18"/>
      <w:szCs w:val="18"/>
    </w:rPr>
  </w:style>
  <w:style w:type="character" w:customStyle="1" w:styleId="BalloonTextChar">
    <w:name w:val="Balloon Text Char"/>
    <w:link w:val="BalloonText"/>
    <w:uiPriority w:val="99"/>
    <w:semiHidden/>
    <w:rsid w:val="00EE5BB8"/>
    <w:rPr>
      <w:rFonts w:ascii="Lucida Grande" w:hAnsi="Lucida Grande" w:cs="Lucida Grande"/>
      <w:kern w:val="0"/>
      <w:sz w:val="18"/>
      <w:szCs w:val="18"/>
      <w:lang w:val="en-US"/>
      <w14:ligatures w14:val="none"/>
    </w:rPr>
  </w:style>
  <w:style w:type="paragraph" w:styleId="BodyTextIndent">
    <w:name w:val="Body Text Indent"/>
    <w:basedOn w:val="Normal"/>
    <w:link w:val="BodyTextIndentChar"/>
    <w:uiPriority w:val="99"/>
    <w:semiHidden/>
    <w:unhideWhenUsed/>
    <w:rsid w:val="00EE5BB8"/>
    <w:pPr>
      <w:spacing w:after="120"/>
      <w:ind w:left="283"/>
    </w:pPr>
  </w:style>
  <w:style w:type="character" w:customStyle="1" w:styleId="BodyTextIndentChar">
    <w:name w:val="Body Text Indent Char"/>
    <w:link w:val="BodyTextIndent"/>
    <w:uiPriority w:val="99"/>
    <w:semiHidden/>
    <w:rsid w:val="00EE5BB8"/>
    <w:rPr>
      <w:kern w:val="0"/>
      <w:lang w:val="en-US"/>
      <w14:ligatures w14:val="none"/>
    </w:rPr>
  </w:style>
  <w:style w:type="paragraph" w:customStyle="1" w:styleId="Bullet">
    <w:name w:val="Bullet"/>
    <w:basedOn w:val="Normal"/>
    <w:qFormat/>
    <w:rsid w:val="00EE5BB8"/>
    <w:pPr>
      <w:numPr>
        <w:numId w:val="4"/>
      </w:numPr>
      <w:spacing w:after="140"/>
    </w:pPr>
  </w:style>
  <w:style w:type="paragraph" w:customStyle="1" w:styleId="Bullet2">
    <w:name w:val="Bullet 2"/>
    <w:basedOn w:val="Bullet"/>
    <w:qFormat/>
    <w:rsid w:val="00EE5BB8"/>
    <w:pPr>
      <w:numPr>
        <w:numId w:val="3"/>
      </w:numPr>
    </w:pPr>
  </w:style>
  <w:style w:type="paragraph" w:customStyle="1" w:styleId="Bulletlast">
    <w:name w:val="Bullet last"/>
    <w:basedOn w:val="Bullet"/>
    <w:qFormat/>
    <w:rsid w:val="00EE5BB8"/>
    <w:pPr>
      <w:spacing w:after="280"/>
    </w:pPr>
  </w:style>
  <w:style w:type="paragraph" w:customStyle="1" w:styleId="Default">
    <w:name w:val="Default"/>
    <w:rsid w:val="00EE5BB8"/>
    <w:pPr>
      <w:autoSpaceDE w:val="0"/>
      <w:autoSpaceDN w:val="0"/>
      <w:adjustRightInd w:val="0"/>
    </w:pPr>
    <w:rPr>
      <w:rFonts w:ascii="Arial" w:hAnsi="Arial" w:cs="Arial"/>
      <w:color w:val="000000"/>
      <w:kern w:val="0"/>
      <w14:ligatures w14:val="none"/>
    </w:rPr>
  </w:style>
  <w:style w:type="character" w:styleId="FollowedHyperlink">
    <w:name w:val="FollowedHyperlink"/>
    <w:uiPriority w:val="99"/>
    <w:semiHidden/>
    <w:unhideWhenUsed/>
    <w:rsid w:val="00EE5BB8"/>
    <w:rPr>
      <w:color w:val="800080"/>
      <w:u w:val="single"/>
    </w:rPr>
  </w:style>
  <w:style w:type="paragraph" w:styleId="Footer">
    <w:name w:val="footer"/>
    <w:basedOn w:val="Normal"/>
    <w:link w:val="FooterChar"/>
    <w:uiPriority w:val="99"/>
    <w:unhideWhenUsed/>
    <w:rsid w:val="00EE5BB8"/>
    <w:pPr>
      <w:tabs>
        <w:tab w:val="center" w:pos="4320"/>
        <w:tab w:val="right" w:pos="9639"/>
      </w:tabs>
      <w:spacing w:after="0" w:line="200" w:lineRule="atLeast"/>
    </w:pPr>
    <w:rPr>
      <w:sz w:val="16"/>
    </w:rPr>
  </w:style>
  <w:style w:type="character" w:customStyle="1" w:styleId="FooterChar">
    <w:name w:val="Footer Char"/>
    <w:link w:val="Footer"/>
    <w:uiPriority w:val="99"/>
    <w:rsid w:val="00EE5BB8"/>
    <w:rPr>
      <w:kern w:val="0"/>
      <w:sz w:val="16"/>
      <w:lang w:val="en-US"/>
      <w14:ligatures w14:val="none"/>
    </w:rPr>
  </w:style>
  <w:style w:type="character" w:styleId="FootnoteReference">
    <w:name w:val="footnote reference"/>
    <w:uiPriority w:val="99"/>
    <w:unhideWhenUsed/>
    <w:rsid w:val="00EE5BB8"/>
    <w:rPr>
      <w:rFonts w:ascii="Arial" w:hAnsi="Arial"/>
      <w:vertAlign w:val="superscript"/>
    </w:rPr>
  </w:style>
  <w:style w:type="paragraph" w:styleId="FootnoteText">
    <w:name w:val="footnote text"/>
    <w:basedOn w:val="Normal"/>
    <w:link w:val="FootnoteTextChar"/>
    <w:uiPriority w:val="99"/>
    <w:unhideWhenUsed/>
    <w:rsid w:val="00EE5BB8"/>
    <w:pPr>
      <w:spacing w:after="60"/>
    </w:pPr>
    <w:rPr>
      <w:sz w:val="20"/>
    </w:rPr>
  </w:style>
  <w:style w:type="character" w:customStyle="1" w:styleId="FootnoteTextChar">
    <w:name w:val="Footnote Text Char"/>
    <w:link w:val="FootnoteText"/>
    <w:uiPriority w:val="99"/>
    <w:rsid w:val="00EE5BB8"/>
    <w:rPr>
      <w:kern w:val="0"/>
      <w:sz w:val="20"/>
      <w:lang w:val="en-US"/>
      <w14:ligatures w14:val="none"/>
    </w:rPr>
  </w:style>
  <w:style w:type="paragraph" w:styleId="Header">
    <w:name w:val="header"/>
    <w:basedOn w:val="Normal"/>
    <w:link w:val="HeaderChar"/>
    <w:uiPriority w:val="99"/>
    <w:unhideWhenUsed/>
    <w:rsid w:val="00EE5BB8"/>
    <w:pPr>
      <w:tabs>
        <w:tab w:val="center" w:pos="4320"/>
        <w:tab w:val="right" w:pos="8640"/>
      </w:tabs>
    </w:pPr>
  </w:style>
  <w:style w:type="character" w:customStyle="1" w:styleId="HeaderChar">
    <w:name w:val="Header Char"/>
    <w:link w:val="Header"/>
    <w:uiPriority w:val="99"/>
    <w:rsid w:val="00EE5BB8"/>
    <w:rPr>
      <w:kern w:val="0"/>
      <w:lang w:val="en-US"/>
      <w14:ligatures w14:val="none"/>
    </w:rPr>
  </w:style>
  <w:style w:type="character" w:styleId="Hyperlink">
    <w:name w:val="Hyperlink"/>
    <w:uiPriority w:val="99"/>
    <w:unhideWhenUsed/>
    <w:rsid w:val="00EE5BB8"/>
    <w:rPr>
      <w:rFonts w:ascii="Arial" w:hAnsi="Arial"/>
      <w:color w:val="0000FF"/>
      <w:u w:val="single"/>
    </w:rPr>
  </w:style>
  <w:style w:type="paragraph" w:styleId="NormalWeb">
    <w:name w:val="Normal (Web)"/>
    <w:basedOn w:val="Normal"/>
    <w:uiPriority w:val="99"/>
    <w:semiHidden/>
    <w:unhideWhenUsed/>
    <w:rsid w:val="00EE5BB8"/>
    <w:pPr>
      <w:spacing w:before="100" w:beforeAutospacing="1" w:after="100" w:afterAutospacing="1"/>
    </w:pPr>
    <w:rPr>
      <w:rFonts w:ascii="Times New Roman" w:eastAsia="Times New Roman" w:hAnsi="Times New Roman" w:cs="Times New Roman"/>
      <w:lang w:eastAsia="en-GB"/>
    </w:rPr>
  </w:style>
  <w:style w:type="paragraph" w:customStyle="1" w:styleId="Normalbeforebullets">
    <w:name w:val="Normal before bullets"/>
    <w:basedOn w:val="Normal"/>
    <w:qFormat/>
    <w:rsid w:val="00EE5BB8"/>
    <w:pPr>
      <w:keepNext/>
      <w:spacing w:after="140"/>
    </w:pPr>
  </w:style>
  <w:style w:type="character" w:styleId="PageNumber">
    <w:name w:val="page number"/>
    <w:uiPriority w:val="99"/>
    <w:unhideWhenUsed/>
    <w:rsid w:val="00EE5BB8"/>
  </w:style>
  <w:style w:type="paragraph" w:customStyle="1" w:styleId="TableCopy">
    <w:name w:val="Table Copy"/>
    <w:basedOn w:val="Normal"/>
    <w:qFormat/>
    <w:rsid w:val="00EA66F2"/>
    <w:pPr>
      <w:spacing w:after="120"/>
    </w:pPr>
  </w:style>
  <w:style w:type="paragraph" w:customStyle="1" w:styleId="TableBullet">
    <w:name w:val="Table Bullet"/>
    <w:basedOn w:val="TableCopy"/>
    <w:qFormat/>
    <w:rsid w:val="00EE5BB8"/>
    <w:pPr>
      <w:numPr>
        <w:numId w:val="7"/>
      </w:numPr>
      <w:spacing w:before="60" w:after="60"/>
    </w:pPr>
    <w:rPr>
      <w:szCs w:val="22"/>
    </w:rPr>
  </w:style>
  <w:style w:type="paragraph" w:customStyle="1" w:styleId="TableHeading">
    <w:name w:val="Table Heading"/>
    <w:basedOn w:val="Normal"/>
    <w:qFormat/>
    <w:rsid w:val="00EE5BB8"/>
    <w:pPr>
      <w:keepNext/>
      <w:spacing w:after="60"/>
    </w:pPr>
    <w:rPr>
      <w:b/>
      <w:lang w:eastAsia="en-GB"/>
    </w:rPr>
  </w:style>
  <w:style w:type="paragraph" w:customStyle="1" w:styleId="TableColumnHeading">
    <w:name w:val="Table Column Heading"/>
    <w:basedOn w:val="TableHeading"/>
    <w:qFormat/>
    <w:rsid w:val="00EE5BB8"/>
    <w:pPr>
      <w:spacing w:before="80" w:after="80"/>
    </w:pPr>
    <w:rPr>
      <w:szCs w:val="36"/>
      <w:lang w:val="en-GB"/>
    </w:rPr>
  </w:style>
  <w:style w:type="table" w:styleId="TableGrid">
    <w:name w:val="Table Grid"/>
    <w:basedOn w:val="TableNormal"/>
    <w:uiPriority w:val="59"/>
    <w:rsid w:val="00177848"/>
    <w:rPr>
      <w:rFonts w:ascii="Arial" w:eastAsia="MS Mincho"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EE5BB8"/>
    <w:pPr>
      <w:widowControl w:val="0"/>
      <w:autoSpaceDE w:val="0"/>
      <w:autoSpaceDN w:val="0"/>
    </w:pPr>
    <w:rPr>
      <w:kern w:val="0"/>
      <w:lang w:val="en-US"/>
      <w14:ligatures w14:val="none"/>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Paragraph">
    <w:name w:val="Table Paragraph"/>
    <w:basedOn w:val="Normal"/>
    <w:uiPriority w:val="1"/>
    <w:qFormat/>
    <w:rsid w:val="00EE5BB8"/>
    <w:pPr>
      <w:spacing w:after="140"/>
    </w:pPr>
    <w:rPr>
      <w:rFonts w:eastAsia="Arial"/>
      <w:szCs w:val="22"/>
      <w:lang w:eastAsia="en-GB"/>
    </w:rPr>
  </w:style>
  <w:style w:type="paragraph" w:styleId="TOC4">
    <w:name w:val="toc 4"/>
    <w:basedOn w:val="Normal"/>
    <w:next w:val="Normal"/>
    <w:autoRedefine/>
    <w:uiPriority w:val="39"/>
    <w:unhideWhenUsed/>
    <w:rsid w:val="00EE5BB8"/>
    <w:pPr>
      <w:spacing w:after="0"/>
      <w:ind w:left="600"/>
    </w:pPr>
    <w:rPr>
      <w:rFonts w:ascii="Cambria" w:hAnsi="Cambria"/>
      <w:szCs w:val="20"/>
    </w:rPr>
  </w:style>
  <w:style w:type="paragraph" w:styleId="TOC5">
    <w:name w:val="toc 5"/>
    <w:basedOn w:val="Normal"/>
    <w:next w:val="Normal"/>
    <w:autoRedefine/>
    <w:uiPriority w:val="39"/>
    <w:unhideWhenUsed/>
    <w:rsid w:val="00EE5BB8"/>
    <w:pPr>
      <w:spacing w:after="0"/>
      <w:ind w:left="800"/>
    </w:pPr>
    <w:rPr>
      <w:rFonts w:ascii="Cambria" w:hAnsi="Cambria"/>
      <w:szCs w:val="20"/>
    </w:rPr>
  </w:style>
  <w:style w:type="paragraph" w:styleId="TOC6">
    <w:name w:val="toc 6"/>
    <w:basedOn w:val="Normal"/>
    <w:next w:val="Normal"/>
    <w:autoRedefine/>
    <w:uiPriority w:val="39"/>
    <w:unhideWhenUsed/>
    <w:rsid w:val="00EE5BB8"/>
    <w:pPr>
      <w:spacing w:after="0"/>
      <w:ind w:left="1000"/>
    </w:pPr>
    <w:rPr>
      <w:rFonts w:ascii="Cambria" w:hAnsi="Cambria"/>
      <w:szCs w:val="20"/>
    </w:rPr>
  </w:style>
  <w:style w:type="paragraph" w:styleId="TOC7">
    <w:name w:val="toc 7"/>
    <w:basedOn w:val="Normal"/>
    <w:next w:val="Normal"/>
    <w:autoRedefine/>
    <w:uiPriority w:val="39"/>
    <w:unhideWhenUsed/>
    <w:rsid w:val="00EE5BB8"/>
    <w:pPr>
      <w:spacing w:after="0"/>
      <w:ind w:left="1200"/>
    </w:pPr>
    <w:rPr>
      <w:rFonts w:ascii="Cambria" w:hAnsi="Cambria"/>
      <w:szCs w:val="20"/>
    </w:rPr>
  </w:style>
  <w:style w:type="paragraph" w:styleId="TOC8">
    <w:name w:val="toc 8"/>
    <w:basedOn w:val="Normal"/>
    <w:next w:val="Normal"/>
    <w:autoRedefine/>
    <w:uiPriority w:val="39"/>
    <w:unhideWhenUsed/>
    <w:rsid w:val="00EE5BB8"/>
    <w:pPr>
      <w:spacing w:after="0"/>
      <w:ind w:left="1400"/>
    </w:pPr>
    <w:rPr>
      <w:rFonts w:ascii="Cambria" w:hAnsi="Cambria"/>
      <w:szCs w:val="20"/>
    </w:rPr>
  </w:style>
  <w:style w:type="paragraph" w:styleId="TOC9">
    <w:name w:val="toc 9"/>
    <w:basedOn w:val="Normal"/>
    <w:next w:val="Normal"/>
    <w:autoRedefine/>
    <w:uiPriority w:val="39"/>
    <w:unhideWhenUsed/>
    <w:rsid w:val="00EE5BB8"/>
    <w:pPr>
      <w:spacing w:after="0"/>
      <w:ind w:left="1600"/>
    </w:pPr>
    <w:rPr>
      <w:rFonts w:ascii="Cambria" w:hAnsi="Cambria"/>
      <w:szCs w:val="20"/>
    </w:rPr>
  </w:style>
  <w:style w:type="paragraph" w:styleId="TOCHeading">
    <w:name w:val="TOC Heading"/>
    <w:basedOn w:val="Heading1"/>
    <w:next w:val="Normal"/>
    <w:uiPriority w:val="39"/>
    <w:unhideWhenUsed/>
    <w:qFormat/>
    <w:rsid w:val="00EE5BB8"/>
    <w:pPr>
      <w:pageBreakBefore w:val="0"/>
      <w:spacing w:line="360" w:lineRule="auto"/>
      <w:outlineLvl w:val="9"/>
    </w:pPr>
    <w:rPr>
      <w:sz w:val="32"/>
      <w:szCs w:val="28"/>
    </w:rPr>
  </w:style>
  <w:style w:type="numbering" w:customStyle="1" w:styleId="CurrentList1">
    <w:name w:val="Current List1"/>
    <w:uiPriority w:val="99"/>
    <w:rsid w:val="00EE5BB8"/>
    <w:pPr>
      <w:numPr>
        <w:numId w:val="9"/>
      </w:numPr>
    </w:pPr>
  </w:style>
  <w:style w:type="numbering" w:customStyle="1" w:styleId="CurrentList2">
    <w:name w:val="Current List2"/>
    <w:uiPriority w:val="99"/>
    <w:rsid w:val="00EE5BB8"/>
    <w:pPr>
      <w:numPr>
        <w:numId w:val="10"/>
      </w:numPr>
    </w:pPr>
  </w:style>
  <w:style w:type="paragraph" w:customStyle="1" w:styleId="Contentsheading">
    <w:name w:val="Contents heading"/>
    <w:basedOn w:val="Normal"/>
    <w:qFormat/>
    <w:rsid w:val="00EE5BB8"/>
    <w:pPr>
      <w:keepNext/>
      <w:spacing w:line="240" w:lineRule="auto"/>
    </w:pPr>
    <w:rPr>
      <w:b/>
      <w:color w:val="000000" w:themeColor="text1"/>
      <w:sz w:val="32"/>
      <w:szCs w:val="44"/>
    </w:rPr>
  </w:style>
  <w:style w:type="table" w:customStyle="1" w:styleId="14514AnnualReport">
    <w:name w:val="14514_Annual_Report"/>
    <w:basedOn w:val="TableNormal"/>
    <w:uiPriority w:val="99"/>
    <w:rsid w:val="00EE5BB8"/>
    <w:pPr>
      <w:spacing w:after="0" w:line="240" w:lineRule="auto"/>
    </w:pPr>
    <w:rPr>
      <w:sz w:val="16"/>
    </w:rPr>
    <w:tblPr>
      <w:tblBorders>
        <w:top w:val="single" w:sz="6" w:space="0" w:color="196B24" w:themeColor="accent3"/>
        <w:bottom w:val="single" w:sz="6" w:space="0" w:color="196B24" w:themeColor="accent3"/>
        <w:insideH w:val="dashed" w:sz="4" w:space="0" w:color="ADADAD" w:themeColor="background2" w:themeShade="BF"/>
      </w:tblBorders>
      <w:tblCellMar>
        <w:top w:w="57" w:type="dxa"/>
        <w:left w:w="57" w:type="dxa"/>
        <w:bottom w:w="57" w:type="dxa"/>
        <w:right w:w="57" w:type="dxa"/>
      </w:tblCellMar>
    </w:tblPr>
    <w:trPr>
      <w:cantSplit/>
    </w:trPr>
    <w:tblStylePr w:type="firstRow">
      <w:pPr>
        <w:jc w:val="left"/>
      </w:pPr>
      <w:rPr>
        <w:rFonts w:asciiTheme="minorHAnsi" w:hAnsiTheme="minorHAnsi"/>
        <w:sz w:val="16"/>
      </w:rPr>
      <w:tblPr/>
      <w:tcPr>
        <w:tcBorders>
          <w:top w:val="single" w:sz="6" w:space="0" w:color="196B24" w:themeColor="accent3"/>
          <w:left w:val="nil"/>
          <w:bottom w:val="single" w:sz="6" w:space="0" w:color="196B24" w:themeColor="accent3"/>
          <w:right w:val="nil"/>
          <w:insideH w:val="nil"/>
          <w:insideV w:val="nil"/>
          <w:tl2br w:val="nil"/>
          <w:tr2bl w:val="nil"/>
        </w:tcBorders>
        <w:vAlign w:val="bottom"/>
      </w:tcPr>
    </w:tblStylePr>
    <w:tblStylePr w:type="lastRow">
      <w:rPr>
        <w:rFonts w:asciiTheme="minorHAnsi" w:hAnsiTheme="minorHAnsi"/>
        <w:sz w:val="16"/>
      </w:rPr>
      <w:tblPr/>
      <w:tcPr>
        <w:tcBorders>
          <w:top w:val="single" w:sz="6" w:space="0" w:color="196B24" w:themeColor="accent3"/>
          <w:left w:val="nil"/>
          <w:bottom w:val="single" w:sz="6" w:space="0" w:color="196B24" w:themeColor="accent3"/>
          <w:right w:val="nil"/>
          <w:insideH w:val="nil"/>
          <w:insideV w:val="nil"/>
          <w:tl2br w:val="nil"/>
          <w:tr2bl w:val="nil"/>
        </w:tcBorders>
      </w:tcPr>
    </w:tblStylePr>
  </w:style>
  <w:style w:type="paragraph" w:customStyle="1" w:styleId="ChapterNumber">
    <w:name w:val="Chapter Number"/>
    <w:basedOn w:val="Normal"/>
    <w:qFormat/>
    <w:rsid w:val="00EE5BB8"/>
    <w:pPr>
      <w:spacing w:before="4960" w:after="500" w:line="4800" w:lineRule="exact"/>
      <w:ind w:left="-425"/>
    </w:pPr>
    <w:rPr>
      <w:color w:val="196B24" w:themeColor="accent3"/>
      <w:spacing w:val="-420"/>
      <w:sz w:val="804"/>
      <w:szCs w:val="804"/>
    </w:rPr>
  </w:style>
  <w:style w:type="paragraph" w:customStyle="1" w:styleId="Chaptertitle">
    <w:name w:val="Chapter title"/>
    <w:basedOn w:val="Normal"/>
    <w:qFormat/>
    <w:rsid w:val="00EE5BB8"/>
    <w:pPr>
      <w:spacing w:line="920" w:lineRule="exact"/>
      <w:ind w:left="113"/>
    </w:pPr>
    <w:rPr>
      <w:color w:val="196B24" w:themeColor="accent3"/>
      <w:sz w:val="100"/>
      <w:szCs w:val="100"/>
    </w:rPr>
  </w:style>
  <w:style w:type="paragraph" w:customStyle="1" w:styleId="Graph">
    <w:name w:val="Graph"/>
    <w:basedOn w:val="Normal"/>
    <w:qFormat/>
    <w:rsid w:val="00EE5BB8"/>
    <w:pPr>
      <w:spacing w:before="113" w:line="240" w:lineRule="auto"/>
    </w:pPr>
    <w:rPr>
      <w:noProof/>
    </w:rPr>
  </w:style>
  <w:style w:type="paragraph" w:customStyle="1" w:styleId="Introtext">
    <w:name w:val="Intro text"/>
    <w:basedOn w:val="Normal"/>
    <w:qFormat/>
    <w:rsid w:val="00EE5BB8"/>
    <w:pPr>
      <w:spacing w:line="280" w:lineRule="exact"/>
    </w:pPr>
  </w:style>
  <w:style w:type="character" w:customStyle="1" w:styleId="Italics">
    <w:name w:val="Italics"/>
    <w:basedOn w:val="DefaultParagraphFont"/>
    <w:uiPriority w:val="1"/>
    <w:qFormat/>
    <w:rsid w:val="00C6052E"/>
    <w:rPr>
      <w:rFonts w:asciiTheme="minorHAnsi" w:hAnsiTheme="minorHAnsi"/>
      <w:i/>
      <w:iCs/>
    </w:rPr>
  </w:style>
  <w:style w:type="paragraph" w:customStyle="1" w:styleId="Normalbeforebullet">
    <w:name w:val="Normal before bullet"/>
    <w:basedOn w:val="Normal"/>
    <w:qFormat/>
    <w:rsid w:val="001713CE"/>
    <w:pPr>
      <w:spacing w:after="120"/>
    </w:pPr>
  </w:style>
  <w:style w:type="paragraph" w:customStyle="1" w:styleId="Tabletext">
    <w:name w:val="Table text"/>
    <w:basedOn w:val="Normal"/>
    <w:link w:val="TabletextChar"/>
    <w:qFormat/>
    <w:rsid w:val="00EE5BB8"/>
    <w:pPr>
      <w:spacing w:after="0" w:line="220" w:lineRule="exact"/>
    </w:pPr>
    <w:rPr>
      <w:sz w:val="16"/>
      <w:szCs w:val="16"/>
    </w:rPr>
  </w:style>
  <w:style w:type="paragraph" w:customStyle="1" w:styleId="Tablebullet0">
    <w:name w:val="Table bullet"/>
    <w:basedOn w:val="Tabletext"/>
    <w:qFormat/>
    <w:rsid w:val="00EE5BB8"/>
    <w:pPr>
      <w:numPr>
        <w:numId w:val="13"/>
      </w:numPr>
      <w:ind w:left="0" w:firstLine="0"/>
    </w:pPr>
  </w:style>
  <w:style w:type="paragraph" w:customStyle="1" w:styleId="Tableheading0">
    <w:name w:val="Table heading"/>
    <w:basedOn w:val="Tabletext"/>
    <w:qFormat/>
    <w:rsid w:val="00EE5BB8"/>
    <w:pPr>
      <w:keepNext/>
    </w:pPr>
    <w:rPr>
      <w:rFonts w:ascii="VIC Medium" w:hAnsi="VIC Medium"/>
      <w:color w:val="196B24" w:themeColor="accent3"/>
    </w:rPr>
  </w:style>
  <w:style w:type="paragraph" w:customStyle="1" w:styleId="Tablenotes">
    <w:name w:val="Table notes"/>
    <w:basedOn w:val="Normal"/>
    <w:qFormat/>
    <w:rsid w:val="00EE5BB8"/>
    <w:pPr>
      <w:tabs>
        <w:tab w:val="left" w:pos="294"/>
      </w:tabs>
      <w:spacing w:before="120" w:after="120" w:line="240" w:lineRule="auto"/>
      <w:ind w:left="295" w:hanging="295"/>
    </w:pPr>
    <w:rPr>
      <w:i/>
      <w:sz w:val="18"/>
      <w:szCs w:val="14"/>
    </w:rPr>
  </w:style>
  <w:style w:type="paragraph" w:customStyle="1" w:styleId="Tablenotes-numbered">
    <w:name w:val="Table notes - numbered"/>
    <w:basedOn w:val="Tablenotes"/>
    <w:qFormat/>
    <w:rsid w:val="001713CE"/>
    <w:pPr>
      <w:numPr>
        <w:numId w:val="14"/>
      </w:numPr>
      <w:spacing w:line="276" w:lineRule="auto"/>
      <w:ind w:left="0" w:firstLine="0"/>
    </w:pPr>
  </w:style>
  <w:style w:type="paragraph" w:customStyle="1" w:styleId="Tabletotal">
    <w:name w:val="Table total"/>
    <w:basedOn w:val="Tabletext"/>
    <w:qFormat/>
    <w:rsid w:val="003957FF"/>
    <w:pPr>
      <w:spacing w:after="120" w:line="264" w:lineRule="auto"/>
    </w:pPr>
    <w:rPr>
      <w:rFonts w:ascii="Arial" w:hAnsi="Arial"/>
      <w:b/>
      <w:sz w:val="20"/>
    </w:rPr>
  </w:style>
  <w:style w:type="character" w:customStyle="1" w:styleId="Wingdings">
    <w:name w:val="Wingdings"/>
    <w:basedOn w:val="DefaultParagraphFont"/>
    <w:uiPriority w:val="1"/>
    <w:qFormat/>
    <w:rsid w:val="00EE5BB8"/>
    <w:rPr>
      <w:rFonts w:ascii="Wingdings" w:hAnsi="Wingdings"/>
    </w:rPr>
  </w:style>
  <w:style w:type="paragraph" w:customStyle="1" w:styleId="Footnote">
    <w:name w:val="Footnote"/>
    <w:basedOn w:val="Normal"/>
    <w:qFormat/>
    <w:rsid w:val="004C0653"/>
    <w:pPr>
      <w:spacing w:after="60"/>
      <w:ind w:left="170" w:hanging="170"/>
    </w:pPr>
    <w:rPr>
      <w:sz w:val="16"/>
      <w:szCs w:val="14"/>
    </w:rPr>
  </w:style>
  <w:style w:type="paragraph" w:customStyle="1" w:styleId="Structurepoints">
    <w:name w:val="Structure points"/>
    <w:basedOn w:val="Normal"/>
    <w:qFormat/>
    <w:rsid w:val="00EE5BB8"/>
    <w:pPr>
      <w:spacing w:after="85"/>
      <w:ind w:left="454" w:hanging="454"/>
    </w:pPr>
    <w:rPr>
      <w:b/>
    </w:rPr>
  </w:style>
  <w:style w:type="character" w:customStyle="1" w:styleId="Medium">
    <w:name w:val="Medium"/>
    <w:basedOn w:val="DefaultParagraphFont"/>
    <w:uiPriority w:val="1"/>
    <w:qFormat/>
    <w:rsid w:val="00C6052E"/>
    <w:rPr>
      <w:rFonts w:ascii="Arial" w:hAnsi="Arial" w:hint="default"/>
      <w:b/>
    </w:rPr>
  </w:style>
  <w:style w:type="table" w:customStyle="1" w:styleId="14514AnnualReport1">
    <w:name w:val="14514_Annual_Report1"/>
    <w:basedOn w:val="TableNormal"/>
    <w:uiPriority w:val="99"/>
    <w:rsid w:val="00EE5BB8"/>
    <w:pPr>
      <w:spacing w:after="0" w:line="240" w:lineRule="auto"/>
    </w:pPr>
    <w:rPr>
      <w:sz w:val="16"/>
    </w:rPr>
    <w:tblPr>
      <w:tblBorders>
        <w:insideH w:val="dashed" w:sz="4" w:space="0" w:color="ADADAD" w:themeColor="background2" w:themeShade="BF"/>
      </w:tblBorders>
      <w:tblCellMar>
        <w:top w:w="57" w:type="dxa"/>
        <w:left w:w="57" w:type="dxa"/>
        <w:bottom w:w="57" w:type="dxa"/>
        <w:right w:w="57" w:type="dxa"/>
      </w:tblCellMar>
    </w:tblPr>
    <w:tblStylePr w:type="firstRow">
      <w:pPr>
        <w:jc w:val="left"/>
      </w:pPr>
      <w:rPr>
        <w:rFonts w:ascii="VIC SemiBold Italic" w:hAnsi="VIC SemiBold Italic"/>
        <w:sz w:val="16"/>
      </w:rPr>
      <w:tblPr/>
      <w:trPr>
        <w:cantSplit/>
      </w:trPr>
      <w:tcPr>
        <w:tcBorders>
          <w:top w:val="single" w:sz="6" w:space="0" w:color="156082" w:themeColor="accent1"/>
          <w:left w:val="nil"/>
          <w:bottom w:val="single" w:sz="6" w:space="0" w:color="156082" w:themeColor="accent1"/>
          <w:right w:val="nil"/>
          <w:insideH w:val="nil"/>
          <w:insideV w:val="nil"/>
          <w:tl2br w:val="nil"/>
          <w:tr2bl w:val="nil"/>
        </w:tcBorders>
        <w:vAlign w:val="bottom"/>
      </w:tcPr>
    </w:tblStylePr>
    <w:tblStylePr w:type="lastRow">
      <w:rPr>
        <w:rFonts w:ascii="VIC SemiBold Italic" w:hAnsi="VIC SemiBold Italic"/>
        <w:sz w:val="16"/>
      </w:rPr>
      <w:tblPr/>
      <w:tcPr>
        <w:tcBorders>
          <w:top w:val="single" w:sz="6" w:space="0" w:color="156082" w:themeColor="accent1"/>
          <w:left w:val="nil"/>
          <w:bottom w:val="single" w:sz="6" w:space="0" w:color="156082" w:themeColor="accent1"/>
          <w:right w:val="nil"/>
          <w:insideH w:val="nil"/>
          <w:insideV w:val="nil"/>
          <w:tl2br w:val="nil"/>
          <w:tr2bl w:val="nil"/>
        </w:tcBorders>
      </w:tcPr>
    </w:tblStylePr>
  </w:style>
  <w:style w:type="table" w:customStyle="1" w:styleId="StriveDocumentControl">
    <w:name w:val="Strive Document Control"/>
    <w:basedOn w:val="TableNormal"/>
    <w:uiPriority w:val="99"/>
    <w:rsid w:val="00EE5BB8"/>
    <w:pPr>
      <w:spacing w:after="0" w:line="240" w:lineRule="auto"/>
    </w:pPr>
    <w:rPr>
      <w:rFonts w:ascii="Arial" w:eastAsia="MS Mincho" w:hAnsi="Arial" w:cs="Times New Roman"/>
      <w:kern w:val="0"/>
      <w:sz w:val="20"/>
      <w:szCs w:val="20"/>
      <w:lang w:eastAsia="en-AU"/>
      <w14:ligatures w14:val="none"/>
    </w:rPr>
    <w:tblPr>
      <w:tblBorders>
        <w:bottom w:val="single" w:sz="6" w:space="0" w:color="196B24" w:themeColor="accent3"/>
        <w:insideH w:val="single" w:sz="4" w:space="0" w:color="196B24" w:themeColor="accent3"/>
        <w:insideV w:val="single" w:sz="4" w:space="0" w:color="196B24" w:themeColor="accent3"/>
      </w:tblBorders>
    </w:tblPr>
    <w:tblStylePr w:type="firstRow">
      <w:tblPr/>
      <w:tcPr>
        <w:tcBorders>
          <w:top w:val="single" w:sz="6" w:space="0" w:color="196B24" w:themeColor="accent3"/>
          <w:left w:val="nil"/>
          <w:bottom w:val="nil"/>
          <w:right w:val="nil"/>
          <w:insideH w:val="nil"/>
          <w:insideV w:val="single" w:sz="4" w:space="0" w:color="196B24" w:themeColor="accent3"/>
          <w:tl2br w:val="nil"/>
          <w:tr2bl w:val="nil"/>
        </w:tcBorders>
        <w:shd w:val="clear" w:color="auto" w:fill="DFF7E2" w:themeFill="accent3" w:themeFillTint="1A"/>
      </w:tcPr>
    </w:tblStylePr>
  </w:style>
  <w:style w:type="paragraph" w:customStyle="1" w:styleId="Bullet2last">
    <w:name w:val="Bullet 2 last"/>
    <w:basedOn w:val="Bullet2"/>
    <w:qFormat/>
    <w:rsid w:val="00EE5BB8"/>
    <w:pPr>
      <w:numPr>
        <w:numId w:val="0"/>
      </w:numPr>
      <w:spacing w:after="170"/>
    </w:pPr>
  </w:style>
  <w:style w:type="character" w:styleId="CommentReference">
    <w:name w:val="annotation reference"/>
    <w:basedOn w:val="DefaultParagraphFont"/>
    <w:uiPriority w:val="99"/>
    <w:semiHidden/>
    <w:unhideWhenUsed/>
    <w:rsid w:val="00EE5BB8"/>
    <w:rPr>
      <w:sz w:val="16"/>
      <w:szCs w:val="16"/>
    </w:rPr>
  </w:style>
  <w:style w:type="paragraph" w:styleId="CommentSubject">
    <w:name w:val="annotation subject"/>
    <w:basedOn w:val="Normal"/>
    <w:next w:val="Normal"/>
    <w:link w:val="CommentSubjectChar"/>
    <w:uiPriority w:val="99"/>
    <w:semiHidden/>
    <w:unhideWhenUsed/>
    <w:rsid w:val="002A4D9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2A4D98"/>
    <w:rPr>
      <w:b/>
      <w:bCs/>
      <w:kern w:val="0"/>
      <w:sz w:val="20"/>
      <w:szCs w:val="20"/>
      <w:lang w:val="en-US"/>
      <w14:ligatures w14:val="none"/>
    </w:rPr>
  </w:style>
  <w:style w:type="table" w:styleId="GridTable1Light-Accent3">
    <w:name w:val="Grid Table 1 Light Accent 3"/>
    <w:basedOn w:val="TableNormal"/>
    <w:uiPriority w:val="46"/>
    <w:rsid w:val="00EE5BB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Heading3numbered0">
    <w:name w:val="Heading 3 numbered"/>
    <w:basedOn w:val="Heading4"/>
    <w:qFormat/>
    <w:rsid w:val="00157285"/>
    <w:pPr>
      <w:numPr>
        <w:ilvl w:val="2"/>
        <w:numId w:val="12"/>
      </w:numPr>
      <w:ind w:left="709" w:hanging="709"/>
    </w:pPr>
    <w:rPr>
      <w:sz w:val="26"/>
      <w:szCs w:val="22"/>
    </w:rPr>
  </w:style>
  <w:style w:type="paragraph" w:styleId="ListBullet">
    <w:name w:val="List Bullet"/>
    <w:basedOn w:val="Normal"/>
    <w:uiPriority w:val="99"/>
    <w:semiHidden/>
    <w:unhideWhenUsed/>
    <w:rsid w:val="00EE5BB8"/>
    <w:pPr>
      <w:contextualSpacing/>
    </w:pPr>
  </w:style>
  <w:style w:type="paragraph" w:styleId="ListBullet2">
    <w:name w:val="List Bullet 2"/>
    <w:basedOn w:val="Normal"/>
    <w:uiPriority w:val="99"/>
    <w:semiHidden/>
    <w:unhideWhenUsed/>
    <w:rsid w:val="00EE5BB8"/>
    <w:pPr>
      <w:contextualSpacing/>
    </w:pPr>
  </w:style>
  <w:style w:type="paragraph" w:styleId="ListBullet3">
    <w:name w:val="List Bullet 3"/>
    <w:basedOn w:val="Normal"/>
    <w:uiPriority w:val="99"/>
    <w:semiHidden/>
    <w:unhideWhenUsed/>
    <w:rsid w:val="00EE5BB8"/>
    <w:pPr>
      <w:contextualSpacing/>
    </w:pPr>
  </w:style>
  <w:style w:type="paragraph" w:styleId="ListContinue">
    <w:name w:val="List Continue"/>
    <w:basedOn w:val="Normal"/>
    <w:uiPriority w:val="99"/>
    <w:semiHidden/>
    <w:unhideWhenUsed/>
    <w:rsid w:val="00EE5BB8"/>
    <w:pPr>
      <w:spacing w:after="120"/>
      <w:ind w:left="283"/>
      <w:contextualSpacing/>
    </w:pPr>
  </w:style>
  <w:style w:type="paragraph" w:styleId="ListContinue2">
    <w:name w:val="List Continue 2"/>
    <w:basedOn w:val="Normal"/>
    <w:uiPriority w:val="99"/>
    <w:semiHidden/>
    <w:unhideWhenUsed/>
    <w:rsid w:val="00EE5BB8"/>
    <w:pPr>
      <w:spacing w:after="120"/>
      <w:ind w:left="566"/>
      <w:contextualSpacing/>
    </w:pPr>
  </w:style>
  <w:style w:type="paragraph" w:styleId="ListContinue3">
    <w:name w:val="List Continue 3"/>
    <w:basedOn w:val="Normal"/>
    <w:uiPriority w:val="99"/>
    <w:semiHidden/>
    <w:unhideWhenUsed/>
    <w:rsid w:val="00EE5BB8"/>
    <w:pPr>
      <w:spacing w:after="120"/>
      <w:ind w:left="849"/>
      <w:contextualSpacing/>
    </w:pPr>
  </w:style>
  <w:style w:type="table" w:styleId="ListTable1Light-Accent3">
    <w:name w:val="List Table 1 Light Accent 3"/>
    <w:basedOn w:val="TableNormal"/>
    <w:uiPriority w:val="46"/>
    <w:rsid w:val="00EE5BB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PlaceholderText">
    <w:name w:val="Placeholder Text"/>
    <w:basedOn w:val="DefaultParagraphFont"/>
    <w:uiPriority w:val="99"/>
    <w:semiHidden/>
    <w:rsid w:val="00EE5BB8"/>
    <w:rPr>
      <w:color w:val="666666"/>
    </w:rPr>
  </w:style>
  <w:style w:type="paragraph" w:customStyle="1" w:styleId="RHFooter">
    <w:name w:val="RH Footer"/>
    <w:basedOn w:val="Footer"/>
    <w:qFormat/>
    <w:rsid w:val="00EE5BB8"/>
    <w:pPr>
      <w:jc w:val="right"/>
    </w:pPr>
  </w:style>
  <w:style w:type="paragraph" w:styleId="TableofFigures">
    <w:name w:val="table of figures"/>
    <w:basedOn w:val="Normal"/>
    <w:next w:val="Normal"/>
    <w:uiPriority w:val="99"/>
    <w:semiHidden/>
    <w:unhideWhenUsed/>
    <w:rsid w:val="00EE5BB8"/>
    <w:pPr>
      <w:spacing w:after="0"/>
    </w:pPr>
  </w:style>
  <w:style w:type="character" w:styleId="UnresolvedMention">
    <w:name w:val="Unresolved Mention"/>
    <w:basedOn w:val="DefaultParagraphFont"/>
    <w:uiPriority w:val="99"/>
    <w:semiHidden/>
    <w:unhideWhenUsed/>
    <w:rsid w:val="00EE5BB8"/>
    <w:rPr>
      <w:color w:val="605E5C"/>
      <w:shd w:val="clear" w:color="auto" w:fill="E1DFDD"/>
    </w:rPr>
  </w:style>
  <w:style w:type="paragraph" w:customStyle="1" w:styleId="NoParagraphStyle">
    <w:name w:val="[No Paragraph Style]"/>
    <w:rsid w:val="00EE5BB8"/>
    <w:pPr>
      <w:autoSpaceDE w:val="0"/>
      <w:autoSpaceDN w:val="0"/>
      <w:adjustRightInd w:val="0"/>
      <w:spacing w:after="0" w:line="288" w:lineRule="auto"/>
      <w:textAlignment w:val="center"/>
    </w:pPr>
    <w:rPr>
      <w:rFonts w:ascii="Arial" w:hAnsi="Arial" w:cs="Arial"/>
      <w:color w:val="000000"/>
      <w:kern w:val="0"/>
      <w:lang w:val="en-US"/>
      <w14:ligatures w14:val="none"/>
    </w:rPr>
  </w:style>
  <w:style w:type="table" w:customStyle="1" w:styleId="DJSIR">
    <w:name w:val="DJSIR"/>
    <w:basedOn w:val="TableNormal"/>
    <w:uiPriority w:val="99"/>
    <w:rsid w:val="00EE5BB8"/>
    <w:pPr>
      <w:spacing w:before="60" w:after="60" w:line="240" w:lineRule="auto"/>
    </w:pPr>
    <w:rPr>
      <w:kern w:val="0"/>
      <w:sz w:val="18"/>
      <w14:ligatures w14:val="none"/>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156082" w:themeFill="accent1"/>
      </w:tcPr>
    </w:tblStylePr>
  </w:style>
  <w:style w:type="paragraph" w:styleId="Revision">
    <w:name w:val="Revision"/>
    <w:hidden/>
    <w:uiPriority w:val="99"/>
    <w:semiHidden/>
    <w:rsid w:val="00EE5BB8"/>
    <w:pPr>
      <w:spacing w:after="0" w:line="240" w:lineRule="auto"/>
    </w:pPr>
    <w:rPr>
      <w:rFonts w:ascii="Arial" w:hAnsi="Arial" w:cs="Arial"/>
      <w:color w:val="000000"/>
      <w:kern w:val="0"/>
      <w:sz w:val="18"/>
      <w:szCs w:val="18"/>
      <w:lang w:val="en-US"/>
      <w14:ligatures w14:val="none"/>
    </w:rPr>
  </w:style>
  <w:style w:type="paragraph" w:customStyle="1" w:styleId="Bulleta">
    <w:name w:val="Bullet a)"/>
    <w:basedOn w:val="Normal"/>
    <w:qFormat/>
    <w:rsid w:val="00EE5BB8"/>
    <w:pPr>
      <w:numPr>
        <w:numId w:val="8"/>
      </w:numPr>
      <w:spacing w:after="57"/>
      <w:ind w:left="0" w:firstLine="0"/>
    </w:pPr>
  </w:style>
  <w:style w:type="paragraph" w:styleId="BlockText">
    <w:name w:val="Block Text"/>
    <w:basedOn w:val="Normal"/>
    <w:uiPriority w:val="99"/>
    <w:semiHidden/>
    <w:unhideWhenUsed/>
    <w:rsid w:val="00EE5BB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EE5BB8"/>
    <w:pPr>
      <w:spacing w:after="120"/>
    </w:pPr>
  </w:style>
  <w:style w:type="character" w:customStyle="1" w:styleId="BodyTextChar">
    <w:name w:val="Body Text Char"/>
    <w:basedOn w:val="DefaultParagraphFont"/>
    <w:link w:val="BodyText"/>
    <w:uiPriority w:val="99"/>
    <w:semiHidden/>
    <w:rsid w:val="00EE5BB8"/>
    <w:rPr>
      <w:kern w:val="0"/>
      <w:lang w:val="en-US"/>
      <w14:ligatures w14:val="none"/>
    </w:rPr>
  </w:style>
  <w:style w:type="paragraph" w:styleId="BodyTextIndent3">
    <w:name w:val="Body Text Indent 3"/>
    <w:basedOn w:val="Normal"/>
    <w:link w:val="BodyTextIndent3Char"/>
    <w:uiPriority w:val="99"/>
    <w:semiHidden/>
    <w:unhideWhenUsed/>
    <w:rsid w:val="00EE5BB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E5BB8"/>
    <w:rPr>
      <w:kern w:val="0"/>
      <w:sz w:val="16"/>
      <w:szCs w:val="16"/>
      <w:lang w:val="en-US"/>
      <w14:ligatures w14:val="none"/>
    </w:rPr>
  </w:style>
  <w:style w:type="paragraph" w:styleId="DocumentMap">
    <w:name w:val="Document Map"/>
    <w:basedOn w:val="Normal"/>
    <w:link w:val="DocumentMapChar"/>
    <w:uiPriority w:val="99"/>
    <w:semiHidden/>
    <w:unhideWhenUsed/>
    <w:rsid w:val="00EE5BB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E5BB8"/>
    <w:rPr>
      <w:rFonts w:ascii="Segoe UI" w:hAnsi="Segoe UI" w:cs="Segoe UI"/>
      <w:kern w:val="0"/>
      <w:sz w:val="16"/>
      <w:szCs w:val="16"/>
      <w:lang w:val="en-US"/>
      <w14:ligatures w14:val="none"/>
    </w:rPr>
  </w:style>
  <w:style w:type="character" w:styleId="EndnoteReference">
    <w:name w:val="endnote reference"/>
    <w:basedOn w:val="DefaultParagraphFont"/>
    <w:uiPriority w:val="99"/>
    <w:semiHidden/>
    <w:unhideWhenUsed/>
    <w:rsid w:val="00EE5BB8"/>
    <w:rPr>
      <w:vertAlign w:val="superscript"/>
    </w:rPr>
  </w:style>
  <w:style w:type="paragraph" w:styleId="EndnoteText">
    <w:name w:val="endnote text"/>
    <w:basedOn w:val="Normal"/>
    <w:link w:val="EndnoteTextChar"/>
    <w:uiPriority w:val="99"/>
    <w:semiHidden/>
    <w:unhideWhenUsed/>
    <w:rsid w:val="00EE5B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5BB8"/>
    <w:rPr>
      <w:kern w:val="0"/>
      <w:sz w:val="20"/>
      <w:szCs w:val="20"/>
      <w:lang w:val="en-US"/>
      <w14:ligatures w14:val="none"/>
    </w:rPr>
  </w:style>
  <w:style w:type="paragraph" w:customStyle="1" w:styleId="FinancialstatementsTOC">
    <w:name w:val="Financial statements TOC"/>
    <w:basedOn w:val="Normal"/>
    <w:qFormat/>
    <w:rsid w:val="00D52474"/>
    <w:pPr>
      <w:tabs>
        <w:tab w:val="left" w:pos="284"/>
        <w:tab w:val="right" w:pos="9498"/>
      </w:tabs>
    </w:pPr>
    <w:rPr>
      <w:rFonts w:ascii="Arial" w:hAnsi="Arial"/>
    </w:rPr>
  </w:style>
  <w:style w:type="paragraph" w:customStyle="1" w:styleId="FinancialstatementsTOCL2">
    <w:name w:val="Financial statements TOC L2"/>
    <w:basedOn w:val="FinancialstatementsTOC"/>
    <w:qFormat/>
    <w:rsid w:val="00EE5BB8"/>
    <w:pPr>
      <w:tabs>
        <w:tab w:val="clear" w:pos="284"/>
        <w:tab w:val="left" w:pos="567"/>
        <w:tab w:val="left" w:pos="851"/>
      </w:tabs>
      <w:ind w:left="567" w:hanging="283"/>
    </w:pPr>
    <w:rPr>
      <w:rFonts w:asciiTheme="minorHAnsi" w:hAnsiTheme="minorHAnsi"/>
      <w:noProof/>
    </w:rPr>
  </w:style>
  <w:style w:type="paragraph" w:customStyle="1" w:styleId="Heading1numbered0">
    <w:name w:val="Heading 1 numbered"/>
    <w:basedOn w:val="Heading2"/>
    <w:qFormat/>
    <w:rsid w:val="00EE5BB8"/>
    <w:pPr>
      <w:numPr>
        <w:numId w:val="12"/>
      </w:numPr>
      <w:ind w:left="567"/>
    </w:pPr>
  </w:style>
  <w:style w:type="paragraph" w:customStyle="1" w:styleId="Heading2numbered0">
    <w:name w:val="Heading 2 numbered"/>
    <w:basedOn w:val="Heading3"/>
    <w:qFormat/>
    <w:rsid w:val="006F1C8C"/>
    <w:pPr>
      <w:numPr>
        <w:ilvl w:val="1"/>
        <w:numId w:val="12"/>
      </w:numPr>
      <w:spacing w:line="320" w:lineRule="exact"/>
      <w:ind w:left="709" w:hanging="709"/>
    </w:pPr>
    <w:rPr>
      <w:szCs w:val="28"/>
    </w:rPr>
  </w:style>
  <w:style w:type="paragraph" w:styleId="MacroText">
    <w:name w:val="macro"/>
    <w:link w:val="MacroTextChar"/>
    <w:uiPriority w:val="99"/>
    <w:semiHidden/>
    <w:unhideWhenUsed/>
    <w:rsid w:val="00EE5BB8"/>
    <w:pPr>
      <w:tabs>
        <w:tab w:val="left" w:pos="480"/>
        <w:tab w:val="left" w:pos="960"/>
        <w:tab w:val="left" w:pos="1440"/>
        <w:tab w:val="left" w:pos="1920"/>
        <w:tab w:val="left" w:pos="2400"/>
        <w:tab w:val="left" w:pos="2880"/>
        <w:tab w:val="left" w:pos="3360"/>
        <w:tab w:val="left" w:pos="3840"/>
        <w:tab w:val="left" w:pos="4320"/>
      </w:tabs>
      <w:spacing w:after="0" w:line="240" w:lineRule="exact"/>
    </w:pPr>
    <w:rPr>
      <w:rFonts w:ascii="Consolas" w:hAnsi="Consolas"/>
      <w:color w:val="262626" w:themeColor="text1" w:themeTint="D9"/>
      <w:sz w:val="20"/>
      <w:szCs w:val="20"/>
      <w:lang w:val="en-GB"/>
    </w:rPr>
  </w:style>
  <w:style w:type="character" w:customStyle="1" w:styleId="MacroTextChar">
    <w:name w:val="Macro Text Char"/>
    <w:basedOn w:val="DefaultParagraphFont"/>
    <w:link w:val="MacroText"/>
    <w:uiPriority w:val="99"/>
    <w:semiHidden/>
    <w:rsid w:val="00EE5BB8"/>
    <w:rPr>
      <w:rFonts w:ascii="Consolas" w:hAnsi="Consolas"/>
      <w:color w:val="262626" w:themeColor="text1" w:themeTint="D9"/>
      <w:sz w:val="20"/>
      <w:szCs w:val="20"/>
      <w:lang w:val="en-GB"/>
    </w:rPr>
  </w:style>
  <w:style w:type="paragraph" w:styleId="PlainText">
    <w:name w:val="Plain Text"/>
    <w:basedOn w:val="Normal"/>
    <w:link w:val="PlainTextChar"/>
    <w:uiPriority w:val="99"/>
    <w:semiHidden/>
    <w:unhideWhenUsed/>
    <w:rsid w:val="00EE5B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E5BB8"/>
    <w:rPr>
      <w:rFonts w:ascii="Consolas" w:hAnsi="Consolas"/>
      <w:kern w:val="0"/>
      <w:sz w:val="21"/>
      <w:szCs w:val="21"/>
      <w:lang w:val="en-US"/>
      <w14:ligatures w14:val="none"/>
    </w:rPr>
  </w:style>
  <w:style w:type="paragraph" w:styleId="Signature">
    <w:name w:val="Signature"/>
    <w:basedOn w:val="Normal"/>
    <w:link w:val="SignatureChar"/>
    <w:uiPriority w:val="99"/>
    <w:semiHidden/>
    <w:unhideWhenUsed/>
    <w:rsid w:val="00EE5BB8"/>
    <w:pPr>
      <w:spacing w:after="0" w:line="240" w:lineRule="auto"/>
      <w:ind w:left="4252"/>
    </w:pPr>
  </w:style>
  <w:style w:type="character" w:customStyle="1" w:styleId="SignatureChar">
    <w:name w:val="Signature Char"/>
    <w:basedOn w:val="DefaultParagraphFont"/>
    <w:link w:val="Signature"/>
    <w:uiPriority w:val="99"/>
    <w:semiHidden/>
    <w:rsid w:val="00EE5BB8"/>
    <w:rPr>
      <w:kern w:val="0"/>
      <w:lang w:val="en-US"/>
      <w14:ligatures w14:val="none"/>
    </w:rPr>
  </w:style>
  <w:style w:type="paragraph" w:styleId="z-BottomofForm">
    <w:name w:val="HTML Bottom of Form"/>
    <w:basedOn w:val="Normal"/>
    <w:next w:val="Normal"/>
    <w:link w:val="z-BottomofFormChar"/>
    <w:hidden/>
    <w:rsid w:val="00EE5BB8"/>
    <w:pPr>
      <w:pBdr>
        <w:top w:val="single" w:sz="6" w:space="1" w:color="auto"/>
      </w:pBdr>
      <w:spacing w:after="0" w:line="240" w:lineRule="auto"/>
      <w:jc w:val="center"/>
    </w:pPr>
    <w:rPr>
      <w:rFonts w:ascii="Century Gothic" w:eastAsia="Times New Roman" w:hAnsi="Century Gothic"/>
      <w:vanish/>
      <w:sz w:val="16"/>
      <w:szCs w:val="16"/>
    </w:rPr>
  </w:style>
  <w:style w:type="character" w:customStyle="1" w:styleId="z-BottomofFormChar">
    <w:name w:val="z-Bottom of Form Char"/>
    <w:basedOn w:val="DefaultParagraphFont"/>
    <w:link w:val="z-BottomofForm"/>
    <w:rsid w:val="00EE5BB8"/>
    <w:rPr>
      <w:rFonts w:ascii="Century Gothic" w:eastAsia="Times New Roman" w:hAnsi="Century Gothic"/>
      <w:vanish/>
      <w:kern w:val="0"/>
      <w:sz w:val="16"/>
      <w:szCs w:val="16"/>
      <w:lang w:val="en-US"/>
      <w14:ligatures w14:val="none"/>
    </w:rPr>
  </w:style>
  <w:style w:type="paragraph" w:styleId="z-TopofForm">
    <w:name w:val="HTML Top of Form"/>
    <w:basedOn w:val="Normal"/>
    <w:next w:val="Normal"/>
    <w:link w:val="z-TopofFormChar"/>
    <w:hidden/>
    <w:rsid w:val="00EE5BB8"/>
    <w:pPr>
      <w:pBdr>
        <w:bottom w:val="single" w:sz="6" w:space="1" w:color="auto"/>
      </w:pBdr>
      <w:spacing w:after="0" w:line="240" w:lineRule="auto"/>
      <w:jc w:val="center"/>
    </w:pPr>
    <w:rPr>
      <w:rFonts w:ascii="Century Gothic" w:eastAsia="Times New Roman" w:hAnsi="Century Gothic"/>
      <w:vanish/>
      <w:sz w:val="16"/>
      <w:szCs w:val="16"/>
    </w:rPr>
  </w:style>
  <w:style w:type="character" w:customStyle="1" w:styleId="z-TopofFormChar">
    <w:name w:val="z-Top of Form Char"/>
    <w:basedOn w:val="DefaultParagraphFont"/>
    <w:link w:val="z-TopofForm"/>
    <w:rsid w:val="00EE5BB8"/>
    <w:rPr>
      <w:rFonts w:ascii="Century Gothic" w:eastAsia="Times New Roman" w:hAnsi="Century Gothic"/>
      <w:vanish/>
      <w:kern w:val="0"/>
      <w:sz w:val="16"/>
      <w:szCs w:val="16"/>
      <w:lang w:val="en-US"/>
      <w14:ligatures w14:val="none"/>
    </w:rPr>
  </w:style>
  <w:style w:type="paragraph" w:customStyle="1" w:styleId="Heading1Numbered">
    <w:name w:val="Heading 1 Numbered"/>
    <w:basedOn w:val="Heading1"/>
    <w:uiPriority w:val="99"/>
    <w:semiHidden/>
    <w:qFormat/>
    <w:rsid w:val="00EE5BB8"/>
    <w:pPr>
      <w:numPr>
        <w:numId w:val="45"/>
      </w:numPr>
      <w:ind w:left="0" w:firstLine="0"/>
    </w:pPr>
    <w:rPr>
      <w:b w:val="0"/>
      <w:bCs w:val="0"/>
    </w:rPr>
  </w:style>
  <w:style w:type="paragraph" w:customStyle="1" w:styleId="Heading2Numbered">
    <w:name w:val="Heading 2 Numbered"/>
    <w:basedOn w:val="Heading2"/>
    <w:uiPriority w:val="99"/>
    <w:semiHidden/>
    <w:qFormat/>
    <w:rsid w:val="00EE5BB8"/>
    <w:pPr>
      <w:numPr>
        <w:ilvl w:val="1"/>
        <w:numId w:val="45"/>
      </w:numPr>
      <w:ind w:left="0" w:firstLine="0"/>
    </w:pPr>
    <w:rPr>
      <w:b w:val="0"/>
      <w:bCs w:val="0"/>
    </w:rPr>
  </w:style>
  <w:style w:type="paragraph" w:customStyle="1" w:styleId="Heading3Numbered">
    <w:name w:val="Heading 3 Numbered"/>
    <w:basedOn w:val="Heading3"/>
    <w:uiPriority w:val="99"/>
    <w:semiHidden/>
    <w:qFormat/>
    <w:rsid w:val="00EE5BB8"/>
    <w:pPr>
      <w:numPr>
        <w:ilvl w:val="2"/>
        <w:numId w:val="45"/>
      </w:numPr>
      <w:ind w:left="0" w:firstLine="0"/>
    </w:pPr>
    <w:rPr>
      <w:b w:val="0"/>
      <w:bCs w:val="0"/>
    </w:rPr>
  </w:style>
  <w:style w:type="character" w:customStyle="1" w:styleId="TabletextChar">
    <w:name w:val="Table text Char"/>
    <w:link w:val="Tabletext"/>
    <w:rsid w:val="00EE5BB8"/>
    <w:rPr>
      <w:kern w:val="0"/>
      <w:sz w:val="16"/>
      <w:szCs w:val="16"/>
      <w:lang w:val="en-US"/>
      <w14:ligatures w14:val="none"/>
    </w:rPr>
  </w:style>
  <w:style w:type="table" w:customStyle="1" w:styleId="DTFFinancialTable">
    <w:name w:val="DTF Financial Table"/>
    <w:basedOn w:val="TableNormal"/>
    <w:uiPriority w:val="99"/>
    <w:rsid w:val="00EE5BB8"/>
    <w:pPr>
      <w:spacing w:before="20" w:after="20" w:line="240" w:lineRule="auto"/>
    </w:pPr>
    <w:rPr>
      <w:rFonts w:ascii="Arial" w:hAnsi="Arial"/>
      <w:spacing w:val="2"/>
      <w:kern w:val="0"/>
      <w:sz w:val="16"/>
      <w:szCs w:val="20"/>
      <w14:ligatures w14:val="none"/>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60" w:beforeAutospacing="0" w:afterLines="0" w:after="60" w:afterAutospacing="0" w:line="240" w:lineRule="auto"/>
      </w:pPr>
      <w:rPr>
        <w:b w:val="0"/>
        <w:i w:val="0"/>
        <w:color w:val="FFFFFF" w:themeColor="background1"/>
        <w:sz w:val="16"/>
      </w:rPr>
      <w:tblPr/>
      <w:trPr>
        <w:cantSplit w:val="0"/>
      </w:trPr>
      <w:tcPr>
        <w:shd w:val="clear" w:color="auto" w:fill="000000"/>
        <w:vAlign w:val="bottom"/>
      </w:tcPr>
    </w:tblStylePr>
    <w:tblStylePr w:type="lastRow">
      <w:rPr>
        <w:b w:val="0"/>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
    <w:name w:val="DTF Table"/>
    <w:basedOn w:val="TableNormal"/>
    <w:uiPriority w:val="99"/>
    <w:rsid w:val="00EE5BB8"/>
    <w:pPr>
      <w:spacing w:before="20" w:after="20" w:line="240" w:lineRule="auto"/>
      <w:jc w:val="right"/>
    </w:pPr>
    <w:rPr>
      <w:rFonts w:asciiTheme="majorHAnsi" w:hAnsiTheme="majorHAnsi"/>
      <w:kern w:val="0"/>
      <w:sz w:val="17"/>
      <w:szCs w:val="22"/>
      <w14:ligatures w14:val="none"/>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8E8E8" w:themeFill="background2"/>
      </w:tcPr>
    </w:tblStylePr>
    <w:tblStylePr w:type="band1Horz">
      <w:tblPr/>
      <w:tcPr>
        <w:shd w:val="clear" w:color="auto" w:fill="E8E8E8" w:themeFill="background2"/>
      </w:tcPr>
    </w:tblStylePr>
    <w:tblStylePr w:type="band2Horz">
      <w:tblPr/>
      <w:tcPr>
        <w:shd w:val="clear" w:color="auto" w:fill="FFFFFF" w:themeFill="background1"/>
      </w:tcPr>
    </w:tblStylePr>
  </w:style>
  <w:style w:type="numbering" w:customStyle="1" w:styleId="ListBulletStyle">
    <w:name w:val="List Bullet Style"/>
    <w:uiPriority w:val="99"/>
    <w:rsid w:val="00EE5BB8"/>
    <w:pPr>
      <w:numPr>
        <w:numId w:val="46"/>
      </w:numPr>
    </w:pPr>
  </w:style>
  <w:style w:type="paragraph" w:customStyle="1" w:styleId="msonormal0">
    <w:name w:val="msonormal"/>
    <w:basedOn w:val="Normal"/>
    <w:uiPriority w:val="99"/>
    <w:semiHidden/>
    <w:rsid w:val="00EE5BB8"/>
    <w:pPr>
      <w:spacing w:before="100" w:beforeAutospacing="1" w:after="100" w:afterAutospacing="1"/>
    </w:pPr>
    <w:rPr>
      <w:rFonts w:ascii="Times New Roman" w:eastAsia="Times New Roman" w:hAnsi="Times New Roman" w:cs="Times New Roman"/>
      <w:lang w:eastAsia="en-GB"/>
    </w:rPr>
  </w:style>
  <w:style w:type="paragraph" w:customStyle="1" w:styleId="HHeader2-Appendix02Headers">
    <w:name w:val="H: Header 2 - Appendix (02. Headers)"/>
    <w:basedOn w:val="Normal"/>
    <w:uiPriority w:val="99"/>
    <w:semiHidden/>
    <w:rsid w:val="00EE5BB8"/>
    <w:pPr>
      <w:pageBreakBefore/>
      <w:adjustRightInd w:val="0"/>
      <w:spacing w:before="170" w:line="400" w:lineRule="atLeast"/>
    </w:pPr>
    <w:rPr>
      <w:rFonts w:ascii="VIC-Light" w:eastAsiaTheme="minorEastAsia" w:hAnsi="VIC-Light" w:cs="VIC-Light"/>
      <w:color w:val="000002"/>
      <w:sz w:val="36"/>
      <w:szCs w:val="36"/>
    </w:rPr>
  </w:style>
  <w:style w:type="paragraph" w:customStyle="1" w:styleId="BBody-912ptVICLight03Body">
    <w:name w:val="B: Body - 9/12pt VIC Light (03. Body)"/>
    <w:basedOn w:val="Normal"/>
    <w:uiPriority w:val="99"/>
    <w:semiHidden/>
    <w:rsid w:val="00EE5BB8"/>
    <w:pPr>
      <w:keepLines/>
      <w:adjustRightInd w:val="0"/>
      <w:spacing w:line="240" w:lineRule="atLeast"/>
    </w:pPr>
    <w:rPr>
      <w:rFonts w:ascii="VIC-Light" w:eastAsiaTheme="minorEastAsia" w:hAnsi="VIC-Light" w:cs="VIC-Light"/>
      <w:color w:val="000000"/>
    </w:rPr>
  </w:style>
  <w:style w:type="paragraph" w:customStyle="1" w:styleId="BBodyColonbeforeBullets03Body">
    <w:name w:val="B: Body (Colon before Bullets) (03. Body)"/>
    <w:basedOn w:val="Normal"/>
    <w:uiPriority w:val="99"/>
    <w:semiHidden/>
    <w:rsid w:val="00EE5BB8"/>
    <w:pPr>
      <w:adjustRightInd w:val="0"/>
      <w:spacing w:after="57" w:line="240" w:lineRule="atLeast"/>
    </w:pPr>
    <w:rPr>
      <w:rFonts w:ascii="VIC-Light" w:eastAsiaTheme="minorEastAsia" w:hAnsi="VIC-Light" w:cs="VIC-Light"/>
      <w:color w:val="000000"/>
    </w:rPr>
  </w:style>
  <w:style w:type="paragraph" w:customStyle="1" w:styleId="BL1Bullets-912VICLight03Body">
    <w:name w:val="B: L1 Bullets - 9/12 VIC Light (03. Body)"/>
    <w:basedOn w:val="Normal"/>
    <w:uiPriority w:val="99"/>
    <w:semiHidden/>
    <w:rsid w:val="00EE5BB8"/>
    <w:pPr>
      <w:adjustRightInd w:val="0"/>
      <w:spacing w:after="57" w:line="240" w:lineRule="atLeast"/>
      <w:ind w:left="227" w:hanging="227"/>
    </w:pPr>
    <w:rPr>
      <w:rFonts w:ascii="VIC-Light" w:eastAsiaTheme="minorEastAsia" w:hAnsi="VIC-Light" w:cs="VIC-Light"/>
      <w:color w:val="000000"/>
    </w:rPr>
  </w:style>
  <w:style w:type="paragraph" w:customStyle="1" w:styleId="BL1BulletsLast-912VICLight03Body">
    <w:name w:val="B: L1 Bullets Last - 9/12 VIC Light (03. Body)"/>
    <w:basedOn w:val="BL1Bullets-912VICLight03Body"/>
    <w:uiPriority w:val="99"/>
    <w:semiHidden/>
    <w:rsid w:val="00EE5BB8"/>
  </w:style>
  <w:style w:type="paragraph" w:customStyle="1" w:styleId="HHeader5-1012VICReg02Headers">
    <w:name w:val="H: Header 5 - 10/12 VIC Reg (02. Headers)"/>
    <w:basedOn w:val="Normal"/>
    <w:next w:val="Normal"/>
    <w:uiPriority w:val="99"/>
    <w:semiHidden/>
    <w:rsid w:val="00EE5BB8"/>
    <w:pPr>
      <w:keepLines/>
      <w:adjustRightInd w:val="0"/>
      <w:spacing w:before="170" w:after="57" w:line="240" w:lineRule="atLeast"/>
    </w:pPr>
    <w:rPr>
      <w:rFonts w:ascii="VIC-Regular" w:eastAsiaTheme="minorEastAsia" w:hAnsi="VIC-Regular" w:cs="VIC-Regular"/>
      <w:caps/>
      <w:color w:val="0C143F"/>
      <w:sz w:val="20"/>
      <w:szCs w:val="20"/>
    </w:rPr>
  </w:style>
  <w:style w:type="paragraph" w:customStyle="1" w:styleId="TNotesNormalSpaceAfter204Table">
    <w:name w:val="T: Notes – Normal Space After 2 (04. Table)"/>
    <w:basedOn w:val="Normal"/>
    <w:uiPriority w:val="99"/>
    <w:semiHidden/>
    <w:rsid w:val="00EE5BB8"/>
    <w:pPr>
      <w:tabs>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113" w:line="160" w:lineRule="atLeast"/>
    </w:pPr>
    <w:rPr>
      <w:rFonts w:ascii="VIC-LightItalic" w:eastAsiaTheme="minorEastAsia" w:hAnsi="VIC-LightItalic" w:cs="VIC-LightItalic"/>
      <w:i/>
      <w:iCs/>
      <w:color w:val="000000"/>
      <w:sz w:val="14"/>
      <w:szCs w:val="14"/>
    </w:rPr>
  </w:style>
  <w:style w:type="paragraph" w:customStyle="1" w:styleId="TNotesAlphaa">
    <w:name w:val="T: Notes – Alpha (a"/>
    <w:aliases w:val="b,c) (04. Table)"/>
    <w:basedOn w:val="Normal"/>
    <w:uiPriority w:val="99"/>
    <w:semiHidden/>
    <w:rsid w:val="00EE5BB8"/>
    <w:pPr>
      <w:tabs>
        <w:tab w:val="left" w:pos="227"/>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113" w:line="160" w:lineRule="atLeast"/>
      <w:ind w:left="227" w:hanging="227"/>
    </w:pPr>
    <w:rPr>
      <w:rFonts w:ascii="VIC-LightItalic" w:eastAsiaTheme="minorEastAsia" w:hAnsi="VIC-LightItalic" w:cs="VIC-LightItalic"/>
      <w:i/>
      <w:iCs/>
      <w:color w:val="000000"/>
      <w:sz w:val="14"/>
      <w:szCs w:val="14"/>
    </w:rPr>
  </w:style>
  <w:style w:type="paragraph" w:customStyle="1" w:styleId="TBodycopy04Table">
    <w:name w:val="T: Body copy (04. Table)"/>
    <w:basedOn w:val="Normal"/>
    <w:uiPriority w:val="99"/>
    <w:semiHidden/>
    <w:rsid w:val="00EE5BB8"/>
    <w:pPr>
      <w:adjustRightInd w:val="0"/>
      <w:spacing w:after="113" w:line="220" w:lineRule="atLeast"/>
    </w:pPr>
    <w:rPr>
      <w:rFonts w:ascii="VIC-Light" w:eastAsiaTheme="minorEastAsia" w:hAnsi="VIC-Light" w:cs="VIC-Light"/>
      <w:color w:val="000000"/>
      <w:sz w:val="16"/>
      <w:szCs w:val="16"/>
    </w:rPr>
  </w:style>
  <w:style w:type="paragraph" w:customStyle="1" w:styleId="TNotesRomanNumerials04Table">
    <w:name w:val="T: Notes – Roman Numerials (04. Table)"/>
    <w:basedOn w:val="Normal"/>
    <w:uiPriority w:val="99"/>
    <w:semiHidden/>
    <w:rsid w:val="00EE5BB8"/>
    <w:pPr>
      <w:tabs>
        <w:tab w:val="left" w:pos="227"/>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113" w:line="160" w:lineRule="atLeast"/>
      <w:ind w:left="227" w:hanging="227"/>
    </w:pPr>
    <w:rPr>
      <w:rFonts w:ascii="VIC-LightItalic" w:eastAsiaTheme="minorEastAsia" w:hAnsi="VIC-LightItalic" w:cs="VIC-LightItalic"/>
      <w:i/>
      <w:iCs/>
      <w:color w:val="000000"/>
      <w:sz w:val="14"/>
      <w:szCs w:val="14"/>
    </w:rPr>
  </w:style>
  <w:style w:type="paragraph" w:customStyle="1" w:styleId="TNotesIndent04Table">
    <w:name w:val="T: Notes – Indent  (04. Table)"/>
    <w:basedOn w:val="Normal"/>
    <w:uiPriority w:val="99"/>
    <w:semiHidden/>
    <w:rsid w:val="00EE5BB8"/>
    <w:pPr>
      <w:tabs>
        <w:tab w:val="left" w:pos="227"/>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0" w:line="160" w:lineRule="atLeast"/>
      <w:ind w:left="227" w:hanging="227"/>
    </w:pPr>
    <w:rPr>
      <w:rFonts w:ascii="VIC-LightItalic" w:eastAsiaTheme="minorEastAsia" w:hAnsi="VIC-LightItalic" w:cs="VIC-LightItalic"/>
      <w:i/>
      <w:iCs/>
      <w:color w:val="000000"/>
      <w:sz w:val="14"/>
      <w:szCs w:val="14"/>
    </w:rPr>
  </w:style>
  <w:style w:type="paragraph" w:customStyle="1" w:styleId="HHeader3-1416ptVICReg02Headers">
    <w:name w:val="H: Header 3 - 14/16pt VIC Reg (02. Headers)"/>
    <w:basedOn w:val="Normal"/>
    <w:uiPriority w:val="99"/>
    <w:semiHidden/>
    <w:rsid w:val="00EE5BB8"/>
    <w:pPr>
      <w:adjustRightInd w:val="0"/>
      <w:spacing w:before="170" w:after="57" w:line="320" w:lineRule="atLeast"/>
    </w:pPr>
    <w:rPr>
      <w:rFonts w:ascii="VIC-Regular" w:eastAsiaTheme="minorEastAsia" w:hAnsi="VIC-Regular" w:cs="VIC-Regular"/>
      <w:color w:val="000002"/>
      <w:sz w:val="28"/>
      <w:szCs w:val="28"/>
    </w:rPr>
  </w:style>
  <w:style w:type="paragraph" w:customStyle="1" w:styleId="HHeader4-1113VICSemiBold02Headers">
    <w:name w:val="H: Header 4 - 11/13 VIC SemiBold (02. Headers)"/>
    <w:basedOn w:val="Normal"/>
    <w:next w:val="BBody-912ptVICLight03Body"/>
    <w:uiPriority w:val="99"/>
    <w:semiHidden/>
    <w:rsid w:val="00EE5BB8"/>
    <w:pPr>
      <w:adjustRightInd w:val="0"/>
      <w:spacing w:before="170" w:after="57" w:line="260" w:lineRule="atLeast"/>
    </w:pPr>
    <w:rPr>
      <w:rFonts w:ascii="VIC-SemiBold" w:eastAsiaTheme="minorEastAsia" w:hAnsi="VIC-SemiBold" w:cs="VIC-SemiBold"/>
      <w:b/>
      <w:bCs/>
      <w:color w:val="000002"/>
      <w:sz w:val="22"/>
      <w:szCs w:val="22"/>
    </w:rPr>
  </w:style>
  <w:style w:type="paragraph" w:customStyle="1" w:styleId="BL1NoList-912VICLight03Body">
    <w:name w:val="B: L1 No. List - 9/12 VIC Light (03. Body)"/>
    <w:basedOn w:val="Normal"/>
    <w:uiPriority w:val="99"/>
    <w:semiHidden/>
    <w:rsid w:val="00EE5BB8"/>
    <w:pPr>
      <w:adjustRightInd w:val="0"/>
      <w:spacing w:after="57" w:line="240" w:lineRule="atLeast"/>
      <w:ind w:left="227" w:hanging="227"/>
    </w:pPr>
    <w:rPr>
      <w:rFonts w:ascii="VIC-Light" w:eastAsiaTheme="minorEastAsia" w:hAnsi="VIC-Light" w:cs="VIC-Light"/>
      <w:color w:val="000000"/>
    </w:rPr>
  </w:style>
  <w:style w:type="paragraph" w:customStyle="1" w:styleId="BL1NoListLast-912VICLight03Body">
    <w:name w:val="B: L1 No. List Last - 9/12 VIC Light (03. Body)"/>
    <w:basedOn w:val="BL1Bullets-912VICLight03Body"/>
    <w:uiPriority w:val="99"/>
    <w:semiHidden/>
    <w:rsid w:val="00EE5BB8"/>
  </w:style>
  <w:style w:type="paragraph" w:customStyle="1" w:styleId="BL2Bullets-912VICLight03Body">
    <w:name w:val="B: L2 Bullets - 9/12 VIC Light (03. Body)"/>
    <w:basedOn w:val="BL1Bullets-912VICLight03Body"/>
    <w:uiPriority w:val="99"/>
    <w:semiHidden/>
    <w:rsid w:val="00EE5BB8"/>
  </w:style>
  <w:style w:type="paragraph" w:customStyle="1" w:styleId="BL2BulletsLast-912VICLight03Body">
    <w:name w:val="B: L2 Bullets Last - 9/12 VIC Light (03. Body)"/>
    <w:basedOn w:val="BL2Bullets-912VICLight03Body"/>
    <w:uiPriority w:val="99"/>
    <w:semiHidden/>
    <w:rsid w:val="00EE5BB8"/>
    <w:pPr>
      <w:spacing w:after="170"/>
      <w:ind w:left="454"/>
    </w:pPr>
  </w:style>
  <w:style w:type="paragraph" w:customStyle="1" w:styleId="TNotesNos1">
    <w:name w:val="T: Notes – No.s (1"/>
    <w:aliases w:val="2,3) (04. Table)"/>
    <w:basedOn w:val="Normal"/>
    <w:uiPriority w:val="99"/>
    <w:semiHidden/>
    <w:rsid w:val="00EE5BB8"/>
    <w:pPr>
      <w:tabs>
        <w:tab w:val="left" w:pos="227"/>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113" w:line="160" w:lineRule="atLeast"/>
      <w:ind w:left="227" w:hanging="227"/>
    </w:pPr>
    <w:rPr>
      <w:rFonts w:ascii="VIC-LightItalic" w:eastAsiaTheme="minorEastAsia" w:hAnsi="VIC-LightItalic" w:cs="VIC-LightItalic"/>
      <w:i/>
      <w:iCs/>
      <w:color w:val="000000"/>
      <w:sz w:val="14"/>
      <w:szCs w:val="14"/>
    </w:rPr>
  </w:style>
  <w:style w:type="paragraph" w:customStyle="1" w:styleId="HHeader1-2224VicMedium02Headers">
    <w:name w:val="H: Header 1 - 22/24 Vic Medium (02. Headers)"/>
    <w:basedOn w:val="Normal"/>
    <w:uiPriority w:val="99"/>
    <w:semiHidden/>
    <w:rsid w:val="00EE5BB8"/>
    <w:pPr>
      <w:tabs>
        <w:tab w:val="left" w:pos="1240"/>
        <w:tab w:val="left" w:pos="2100"/>
        <w:tab w:val="right" w:pos="7580"/>
      </w:tabs>
      <w:adjustRightInd w:val="0"/>
      <w:spacing w:after="510" w:line="480" w:lineRule="atLeast"/>
    </w:pPr>
    <w:rPr>
      <w:rFonts w:ascii="VIC-Medium" w:eastAsiaTheme="minorEastAsia" w:hAnsi="VIC-Medium" w:cs="VIC-Medium"/>
      <w:color w:val="000002"/>
      <w:sz w:val="44"/>
      <w:szCs w:val="44"/>
    </w:rPr>
  </w:style>
  <w:style w:type="paragraph" w:customStyle="1" w:styleId="TNotesIndentSpaceAfter204Table">
    <w:name w:val="T: Notes – Indent – Space After 2  (04. Table)"/>
    <w:basedOn w:val="TNotesIndent04Table"/>
    <w:uiPriority w:val="99"/>
    <w:semiHidden/>
    <w:rsid w:val="00EE5BB8"/>
  </w:style>
  <w:style w:type="paragraph" w:customStyle="1" w:styleId="BFootnote03Body">
    <w:name w:val="B: Footnote (03. Body)"/>
    <w:basedOn w:val="Normal"/>
    <w:next w:val="Normal"/>
    <w:uiPriority w:val="99"/>
    <w:semiHidden/>
    <w:rsid w:val="00EE5BB8"/>
    <w:pPr>
      <w:tabs>
        <w:tab w:val="left" w:pos="200"/>
        <w:tab w:val="left" w:pos="567"/>
        <w:tab w:val="left" w:pos="850"/>
        <w:tab w:val="left" w:pos="1134"/>
        <w:tab w:val="left" w:pos="1417"/>
        <w:tab w:val="left" w:pos="1701"/>
        <w:tab w:val="left" w:pos="1984"/>
        <w:tab w:val="left" w:pos="2268"/>
        <w:tab w:val="left" w:pos="2551"/>
        <w:tab w:val="left" w:pos="2835"/>
        <w:tab w:val="left" w:pos="3118"/>
      </w:tabs>
      <w:adjustRightInd w:val="0"/>
      <w:spacing w:after="0" w:line="150" w:lineRule="atLeast"/>
      <w:ind w:left="198" w:hanging="198"/>
    </w:pPr>
    <w:rPr>
      <w:rFonts w:ascii="VIC-Light" w:eastAsiaTheme="minorEastAsia" w:hAnsi="VIC-Light" w:cs="VIC-Light"/>
      <w:color w:val="000000"/>
      <w:sz w:val="14"/>
      <w:szCs w:val="14"/>
    </w:rPr>
  </w:style>
  <w:style w:type="paragraph" w:customStyle="1" w:styleId="TNotesNormal04Table">
    <w:name w:val="T: Notes – Normal (04. Table)"/>
    <w:basedOn w:val="Normal"/>
    <w:uiPriority w:val="99"/>
    <w:semiHidden/>
    <w:rsid w:val="00EE5BB8"/>
    <w:pPr>
      <w:tabs>
        <w:tab w:val="left" w:pos="283"/>
        <w:tab w:val="left" w:pos="567"/>
        <w:tab w:val="left" w:pos="850"/>
        <w:tab w:val="left" w:pos="1134"/>
        <w:tab w:val="left" w:pos="1417"/>
        <w:tab w:val="left" w:pos="1701"/>
        <w:tab w:val="left" w:pos="1984"/>
        <w:tab w:val="left" w:pos="2268"/>
        <w:tab w:val="left" w:pos="2551"/>
        <w:tab w:val="left" w:pos="2835"/>
        <w:tab w:val="left" w:pos="3118"/>
      </w:tabs>
      <w:adjustRightInd w:val="0"/>
      <w:spacing w:after="0" w:line="160" w:lineRule="atLeast"/>
    </w:pPr>
    <w:rPr>
      <w:rFonts w:ascii="VIC-LightItalic" w:eastAsiaTheme="minorEastAsia" w:hAnsi="VIC-LightItalic" w:cs="VIC-LightItalic"/>
      <w:i/>
      <w:iCs/>
      <w:color w:val="000000"/>
      <w:sz w:val="14"/>
      <w:szCs w:val="14"/>
    </w:rPr>
  </w:style>
  <w:style w:type="paragraph" w:customStyle="1" w:styleId="HHeader6912ptVICMed02Headers">
    <w:name w:val="H: Header 6 – 9/12pt VIC Med (02. Headers)"/>
    <w:basedOn w:val="BBody-912ptVICLight03Body"/>
    <w:uiPriority w:val="99"/>
    <w:semiHidden/>
    <w:rsid w:val="00EE5BB8"/>
    <w:pPr>
      <w:keepNext/>
      <w:spacing w:after="57"/>
    </w:pPr>
    <w:rPr>
      <w:rFonts w:ascii="VIC-Medium" w:hAnsi="VIC-Medium" w:cs="VIC-Medium"/>
    </w:rPr>
  </w:style>
  <w:style w:type="paragraph" w:customStyle="1" w:styleId="Tspace23Light91204Table">
    <w:name w:val="T: space 2/3 (Light 9/12) (04. Table)"/>
    <w:basedOn w:val="Normal"/>
    <w:uiPriority w:val="99"/>
    <w:semiHidden/>
    <w:rsid w:val="00EE5BB8"/>
    <w:pPr>
      <w:adjustRightInd w:val="0"/>
      <w:spacing w:before="113" w:line="240" w:lineRule="atLeast"/>
    </w:pPr>
    <w:rPr>
      <w:rFonts w:ascii="VIC-Light" w:eastAsiaTheme="minorEastAsia" w:hAnsi="VIC-Light" w:cs="VIC-Light"/>
      <w:color w:val="000000"/>
    </w:rPr>
  </w:style>
  <w:style w:type="paragraph" w:customStyle="1" w:styleId="TColumnHeaderMedium04Table">
    <w:name w:val="T: Column Header Medium (04. Table)"/>
    <w:basedOn w:val="TBodycopy04Table"/>
    <w:uiPriority w:val="99"/>
    <w:semiHidden/>
    <w:rsid w:val="00EE5BB8"/>
  </w:style>
  <w:style w:type="paragraph" w:customStyle="1" w:styleId="TbodyboldtotalGrey04Table">
    <w:name w:val="T: body bold (total) Grey (04. Table)"/>
    <w:basedOn w:val="TBodycopy04Table"/>
    <w:uiPriority w:val="99"/>
    <w:semiHidden/>
    <w:rsid w:val="00EE5BB8"/>
  </w:style>
  <w:style w:type="paragraph" w:customStyle="1" w:styleId="Tbodybullets04Table">
    <w:name w:val="T: body bullets (04. Table)"/>
    <w:basedOn w:val="Normal"/>
    <w:uiPriority w:val="99"/>
    <w:semiHidden/>
    <w:rsid w:val="00EE5BB8"/>
    <w:pPr>
      <w:adjustRightInd w:val="0"/>
      <w:spacing w:after="57" w:line="220" w:lineRule="atLeast"/>
      <w:ind w:left="283" w:hanging="170"/>
    </w:pPr>
    <w:rPr>
      <w:rFonts w:ascii="VIC-Light" w:eastAsiaTheme="minorEastAsia" w:hAnsi="VIC-Light" w:cs="VIC-Light"/>
      <w:color w:val="000000"/>
      <w:sz w:val="16"/>
      <w:szCs w:val="16"/>
    </w:rPr>
  </w:style>
  <w:style w:type="paragraph" w:customStyle="1" w:styleId="TcrossheadBlue04Table">
    <w:name w:val="T: crosshead (Blue) (04. Table)"/>
    <w:basedOn w:val="Normal"/>
    <w:uiPriority w:val="99"/>
    <w:semiHidden/>
    <w:rsid w:val="00EE5BB8"/>
    <w:pPr>
      <w:adjustRightInd w:val="0"/>
      <w:spacing w:after="0" w:line="220" w:lineRule="atLeast"/>
    </w:pPr>
    <w:rPr>
      <w:rFonts w:ascii="VIC-Medium" w:eastAsiaTheme="minorEastAsia" w:hAnsi="VIC-Medium" w:cs="VIC-Medium"/>
      <w:color w:val="0059D8"/>
      <w:sz w:val="16"/>
      <w:szCs w:val="16"/>
    </w:rPr>
  </w:style>
  <w:style w:type="paragraph" w:customStyle="1" w:styleId="BIntroPara-1214VICLight03Body">
    <w:name w:val="B: Intro Para - 12/14 VIC Light (03. Body)"/>
    <w:basedOn w:val="Normal"/>
    <w:uiPriority w:val="99"/>
    <w:semiHidden/>
    <w:rsid w:val="00EE5BB8"/>
    <w:pPr>
      <w:adjustRightInd w:val="0"/>
      <w:spacing w:line="280" w:lineRule="atLeast"/>
    </w:pPr>
    <w:rPr>
      <w:rFonts w:ascii="VIC-Light" w:eastAsiaTheme="minorEastAsia" w:hAnsi="VIC-Light" w:cs="VIC-Light"/>
      <w:color w:val="000000"/>
      <w:spacing w:val="-2"/>
    </w:rPr>
  </w:style>
  <w:style w:type="paragraph" w:customStyle="1" w:styleId="BL1Alphabullets03Body">
    <w:name w:val="B: L1 Alpha bullets  (03. Body)"/>
    <w:basedOn w:val="Normal"/>
    <w:uiPriority w:val="99"/>
    <w:semiHidden/>
    <w:rsid w:val="00EE5BB8"/>
    <w:pPr>
      <w:adjustRightInd w:val="0"/>
      <w:spacing w:after="57" w:line="240" w:lineRule="atLeast"/>
      <w:ind w:left="227" w:hanging="227"/>
    </w:pPr>
    <w:rPr>
      <w:rFonts w:ascii="VIC-Light" w:eastAsiaTheme="minorEastAsia" w:hAnsi="VIC-Light" w:cs="VIC-Light"/>
      <w:color w:val="000000"/>
    </w:rPr>
  </w:style>
  <w:style w:type="paragraph" w:customStyle="1" w:styleId="BL1Alphabulletslast03Body">
    <w:name w:val="B: L1 Alpha bullets last (03. Body)"/>
    <w:basedOn w:val="Normal"/>
    <w:uiPriority w:val="99"/>
    <w:semiHidden/>
    <w:rsid w:val="00EE5BB8"/>
    <w:pPr>
      <w:adjustRightInd w:val="0"/>
      <w:spacing w:after="113" w:line="240" w:lineRule="atLeast"/>
      <w:ind w:left="227" w:hanging="227"/>
    </w:pPr>
    <w:rPr>
      <w:rFonts w:ascii="VIC-Light" w:eastAsiaTheme="minorEastAsia" w:hAnsi="VIC-Light" w:cs="VIC-Light"/>
      <w:color w:val="000000"/>
    </w:rPr>
  </w:style>
  <w:style w:type="paragraph" w:customStyle="1" w:styleId="BL2BulletsAlpha-912VICLight03Body">
    <w:name w:val="B: L2 Bullets Alpha - 9/12 VIC Light (03. Body)"/>
    <w:basedOn w:val="BL1Bullets-912VICLight03Body"/>
    <w:uiPriority w:val="99"/>
    <w:semiHidden/>
    <w:rsid w:val="00EE5BB8"/>
  </w:style>
  <w:style w:type="paragraph" w:customStyle="1" w:styleId="BL2BulletsAlpha-912VICLightlast03Body">
    <w:name w:val="B: L2 Bullets Alpha - 9/12 VIC Light last (03. Body)"/>
    <w:basedOn w:val="BL1Bullets-912VICLight03Body"/>
    <w:uiPriority w:val="99"/>
    <w:semiHidden/>
    <w:rsid w:val="00EE5BB8"/>
  </w:style>
  <w:style w:type="paragraph" w:customStyle="1" w:styleId="HHeader2-1820ptVicLight02Headers">
    <w:name w:val="H: Header 2 - 18/20pt Vic Light (02. Headers)"/>
    <w:basedOn w:val="Normal"/>
    <w:uiPriority w:val="99"/>
    <w:semiHidden/>
    <w:rsid w:val="00EE5BB8"/>
    <w:pPr>
      <w:adjustRightInd w:val="0"/>
      <w:spacing w:before="170" w:line="400" w:lineRule="atLeast"/>
    </w:pPr>
    <w:rPr>
      <w:rFonts w:ascii="VIC-Light" w:eastAsiaTheme="minorEastAsia" w:hAnsi="VIC-Light" w:cs="VIC-Light"/>
      <w:color w:val="000002"/>
      <w:sz w:val="36"/>
      <w:szCs w:val="36"/>
    </w:rPr>
  </w:style>
  <w:style w:type="paragraph" w:customStyle="1" w:styleId="HHeader3-numberedforTOC02Headers">
    <w:name w:val="H: Header 3 - numbered for TOC (02. Headers)"/>
    <w:basedOn w:val="Normal"/>
    <w:uiPriority w:val="99"/>
    <w:semiHidden/>
    <w:rsid w:val="00EE5BB8"/>
    <w:pPr>
      <w:adjustRightInd w:val="0"/>
      <w:spacing w:before="170" w:after="57" w:line="320" w:lineRule="atLeast"/>
    </w:pPr>
    <w:rPr>
      <w:rFonts w:ascii="VIC-Regular" w:eastAsiaTheme="minorEastAsia" w:hAnsi="VIC-Regular" w:cs="VIC-Regular"/>
      <w:color w:val="000002"/>
      <w:sz w:val="28"/>
      <w:szCs w:val="28"/>
    </w:rPr>
  </w:style>
  <w:style w:type="paragraph" w:customStyle="1" w:styleId="ListParagrapha">
    <w:name w:val="List Paragraph a)"/>
    <w:basedOn w:val="Normal"/>
    <w:uiPriority w:val="99"/>
    <w:semiHidden/>
    <w:qFormat/>
    <w:rsid w:val="00EE5BB8"/>
    <w:pPr>
      <w:numPr>
        <w:numId w:val="47"/>
      </w:numPr>
      <w:tabs>
        <w:tab w:val="left" w:pos="2181"/>
      </w:tabs>
      <w:spacing w:after="140"/>
      <w:ind w:left="0" w:firstLine="0"/>
    </w:pPr>
    <w:rPr>
      <w:rFonts w:eastAsia="Times New Roman"/>
      <w:lang w:eastAsia="en-GB"/>
    </w:rPr>
  </w:style>
  <w:style w:type="paragraph" w:customStyle="1" w:styleId="Sec2NotesBoldSectionSpecificSec2">
    <w:name w:val="Sec 2: Notes Bold (Section Specific:Sec 2)"/>
    <w:basedOn w:val="Normal"/>
    <w:uiPriority w:val="99"/>
    <w:semiHidden/>
    <w:rsid w:val="00EE5BB8"/>
    <w:pPr>
      <w:tabs>
        <w:tab w:val="right" w:pos="4620"/>
      </w:tabs>
      <w:adjustRightInd w:val="0"/>
      <w:spacing w:after="85" w:line="240" w:lineRule="atLeast"/>
      <w:ind w:left="380" w:hanging="380"/>
    </w:pPr>
    <w:rPr>
      <w:rFonts w:ascii="VIC-Medium" w:eastAsiaTheme="minorEastAsia" w:hAnsi="VIC-Medium" w:cs="VIC-Medium"/>
      <w:color w:val="000000"/>
    </w:rPr>
  </w:style>
  <w:style w:type="paragraph" w:customStyle="1" w:styleId="Sec2NotesdescriptorSectionSpecificSec2">
    <w:name w:val="Sec 2: Notes descriptor (Section Specific:Sec 2)"/>
    <w:basedOn w:val="BBody-912ptVICLight03Body"/>
    <w:uiPriority w:val="99"/>
    <w:semiHidden/>
    <w:rsid w:val="00EE5BB8"/>
    <w:pPr>
      <w:ind w:left="380"/>
    </w:pPr>
  </w:style>
  <w:style w:type="paragraph" w:customStyle="1" w:styleId="Sec2NoteslightSectionSpecificSec2">
    <w:name w:val="Sec 2: Notes light (Section Specific:Sec 2)"/>
    <w:basedOn w:val="BBody-912ptVICLight03Body"/>
    <w:uiPriority w:val="99"/>
    <w:semiHidden/>
    <w:rsid w:val="00EE5BB8"/>
    <w:pPr>
      <w:tabs>
        <w:tab w:val="right" w:pos="860"/>
        <w:tab w:val="right" w:pos="4620"/>
      </w:tabs>
      <w:ind w:left="780" w:hanging="380"/>
    </w:pPr>
  </w:style>
  <w:style w:type="paragraph" w:customStyle="1" w:styleId="Tablefootnotes">
    <w:name w:val="Table footnotes"/>
    <w:basedOn w:val="Normal"/>
    <w:uiPriority w:val="99"/>
    <w:semiHidden/>
    <w:qFormat/>
    <w:rsid w:val="00EE5BB8"/>
    <w:pPr>
      <w:spacing w:before="60"/>
      <w:contextualSpacing/>
    </w:pPr>
    <w:rPr>
      <w:szCs w:val="22"/>
    </w:rPr>
  </w:style>
  <w:style w:type="table" w:styleId="PlainTable1">
    <w:name w:val="Plain Table 1"/>
    <w:basedOn w:val="TableNormal"/>
    <w:uiPriority w:val="41"/>
    <w:rsid w:val="00EE5BB8"/>
    <w:pPr>
      <w:spacing w:after="0" w:line="240" w:lineRule="auto"/>
    </w:pPr>
    <w:rPr>
      <w:rFonts w:eastAsiaTheme="minorEastAsia"/>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ppendixHeading2numbered">
    <w:name w:val="Appendix Heading 2 numbered"/>
    <w:basedOn w:val="Heading2numbered0"/>
    <w:qFormat/>
    <w:rsid w:val="00EE5BB8"/>
    <w:pPr>
      <w:numPr>
        <w:ilvl w:val="0"/>
        <w:numId w:val="67"/>
      </w:numPr>
      <w:tabs>
        <w:tab w:val="clear" w:pos="284"/>
        <w:tab w:val="left" w:pos="454"/>
      </w:tabs>
      <w:suppressAutoHyphens w:val="0"/>
      <w:autoSpaceDE w:val="0"/>
      <w:autoSpaceDN w:val="0"/>
      <w:spacing w:before="360" w:after="240"/>
      <w:ind w:left="0" w:firstLine="0"/>
      <w:outlineLvl w:val="1"/>
    </w:pPr>
    <w:rPr>
      <w:rFonts w:asciiTheme="minorHAnsi" w:hAnsiTheme="minorHAnsi" w:cs="Times New Roman"/>
    </w:rPr>
  </w:style>
  <w:style w:type="paragraph" w:styleId="TOC3">
    <w:name w:val="toc 3"/>
    <w:basedOn w:val="Normal"/>
    <w:next w:val="Normal"/>
    <w:autoRedefine/>
    <w:uiPriority w:val="39"/>
    <w:unhideWhenUsed/>
    <w:rsid w:val="00EE5BB8"/>
    <w:pPr>
      <w:spacing w:after="100"/>
      <w:ind w:left="480"/>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header" Target="header1.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endnotes" Target="endnotes.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s>
</file>

<file path=word/charts/_rels/chart1.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chartUserShapes" Target="../drawings/drawing3.xml"/></Relationships>
</file>

<file path=word/charts/_rels/chart19.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chartUserShapes" Target="../drawings/drawing4.xml"/></Relationships>
</file>

<file path=word/charts/_rels/chart25.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chartUserShapes" Target="../drawings/drawing5.xml"/></Relationships>
</file>

<file path=word/charts/_rels/chart26.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Mac\Home\Library\CloudStorage\OneDrive-VicGov\1_JOBS%20ACTIVE\14500%20jobs\14514%20DJSIR%20Annual%20Report%202024_2025\Supplied\Text\Tranche%202\non%20financials_sept%208\AR%20Section%202%20-%20Objective%20Indicator%20Tab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20168220487639"/>
          <c:y val="5.0233664334654003E-2"/>
          <c:w val="0.74316574188882656"/>
          <c:h val="0.81695886285209407"/>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Data'!$C$2:$F$2</c:f>
              <c:numCache>
                <c:formatCode>#,##0</c:formatCode>
                <c:ptCount val="4"/>
                <c:pt idx="0">
                  <c:v>3407200</c:v>
                </c:pt>
                <c:pt idx="1">
                  <c:v>3458200</c:v>
                </c:pt>
                <c:pt idx="2">
                  <c:v>3665900</c:v>
                </c:pt>
                <c:pt idx="3">
                  <c:v>3760600</c:v>
                </c:pt>
              </c:numCache>
            </c:numRef>
          </c:val>
          <c:smooth val="0"/>
          <c:extLst>
            <c:ext xmlns:c16="http://schemas.microsoft.com/office/drawing/2014/chart" uri="{C3380CC4-5D6E-409C-BE32-E72D297353CC}">
              <c16:uniqueId val="{00000000-1170-497C-AA93-F562FC29951F}"/>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in val="250000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p>
            </c:rich>
          </c:tx>
          <c:layout>
            <c:manualLayout>
              <c:xMode val="edge"/>
              <c:yMode val="edge"/>
              <c:x val="1.3093131735563777E-2"/>
              <c:y val="0.3703173351823181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73796085588095"/>
          <c:y val="4.5626503814757809E-2"/>
          <c:w val="0.79579245788568409"/>
          <c:h val="0.816120338521552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Data'!$C$11:$F$11</c:f>
              <c:numCache>
                <c:formatCode>#,##0</c:formatCode>
                <c:ptCount val="4"/>
                <c:pt idx="0">
                  <c:v>1410</c:v>
                </c:pt>
                <c:pt idx="1">
                  <c:v>682</c:v>
                </c:pt>
                <c:pt idx="2" formatCode="#,##0.0">
                  <c:v>598.4</c:v>
                </c:pt>
                <c:pt idx="3" formatCode="General">
                  <c:v>403</c:v>
                </c:pt>
              </c:numCache>
            </c:numRef>
          </c:val>
          <c:smooth val="0"/>
          <c:extLst>
            <c:ext xmlns:c16="http://schemas.microsoft.com/office/drawing/2014/chart" uri="{C3380CC4-5D6E-409C-BE32-E72D297353CC}">
              <c16:uniqueId val="{00000000-2996-4AE1-B534-85A1C54B8CF2}"/>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2000"/>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million</a:t>
                </a:r>
              </a:p>
            </c:rich>
          </c:tx>
          <c:layout>
            <c:manualLayout>
              <c:xMode val="edge"/>
              <c:yMode val="edge"/>
              <c:x val="1.1552836905266095E-2"/>
              <c:y val="0.3533104762751516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3804889372363"/>
          <c:y val="5.6457304163726185E-2"/>
          <c:w val="0.82514943590338807"/>
          <c:h val="0.80498780277729931"/>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Data'!$C$12:$F$12</c:f>
              <c:numCache>
                <c:formatCode>General</c:formatCode>
                <c:ptCount val="4"/>
                <c:pt idx="0">
                  <c:v>297</c:v>
                </c:pt>
                <c:pt idx="1">
                  <c:v>225</c:v>
                </c:pt>
                <c:pt idx="2">
                  <c:v>205</c:v>
                </c:pt>
                <c:pt idx="3">
                  <c:v>262</c:v>
                </c:pt>
              </c:numCache>
            </c:numRef>
          </c:val>
          <c:smooth val="0"/>
          <c:extLst>
            <c:ext xmlns:c16="http://schemas.microsoft.com/office/drawing/2014/chart" uri="{C3380CC4-5D6E-409C-BE32-E72D297353CC}">
              <c16:uniqueId val="{00000000-F175-4019-A320-E4F9B9FE2B54}"/>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400"/>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p>
            </c:rich>
          </c:tx>
          <c:layout>
            <c:manualLayout>
              <c:xMode val="edge"/>
              <c:yMode val="edge"/>
              <c:x val="8.351864908214688E-3"/>
              <c:y val="0.365090937380181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79496937196787"/>
          <c:y val="3.8108680310515175E-2"/>
          <c:w val="0.83389172950527168"/>
          <c:h val="0.83745075267144187"/>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Data'!$C$13:$F$13</c:f>
              <c:numCache>
                <c:formatCode>General</c:formatCode>
                <c:ptCount val="4"/>
                <c:pt idx="0">
                  <c:v>100</c:v>
                </c:pt>
                <c:pt idx="1">
                  <c:v>100</c:v>
                </c:pt>
                <c:pt idx="2">
                  <c:v>100</c:v>
                </c:pt>
                <c:pt idx="3">
                  <c:v>100</c:v>
                </c:pt>
              </c:numCache>
            </c:numRef>
          </c:val>
          <c:smooth val="0"/>
          <c:extLst>
            <c:ext xmlns:c16="http://schemas.microsoft.com/office/drawing/2014/chart" uri="{C3380CC4-5D6E-409C-BE32-E72D297353CC}">
              <c16:uniqueId val="{00000000-1C1B-467F-B2D3-4596248D231E}"/>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105"/>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cent</a:t>
                </a:r>
              </a:p>
            </c:rich>
          </c:tx>
          <c:layout>
            <c:manualLayout>
              <c:xMode val="edge"/>
              <c:yMode val="edge"/>
              <c:x val="1.0902616316758429E-2"/>
              <c:y val="0.35772777873478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a:solidFill>
              <a:schemeClr val="bg1">
                <a:lumMod val="25000"/>
                <a:lumOff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65904289406195"/>
          <c:y val="5.6457304163726185E-2"/>
          <c:w val="0.82987112889703274"/>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Data'!$C$15:$F$15</c:f>
              <c:numCache>
                <c:formatCode>General</c:formatCode>
                <c:ptCount val="4"/>
                <c:pt idx="0">
                  <c:v>100</c:v>
                </c:pt>
                <c:pt idx="1">
                  <c:v>100</c:v>
                </c:pt>
                <c:pt idx="2">
                  <c:v>100</c:v>
                </c:pt>
                <c:pt idx="3">
                  <c:v>100</c:v>
                </c:pt>
              </c:numCache>
            </c:numRef>
          </c:val>
          <c:smooth val="0"/>
          <c:extLst>
            <c:ext xmlns:c16="http://schemas.microsoft.com/office/drawing/2014/chart" uri="{C3380CC4-5D6E-409C-BE32-E72D297353CC}">
              <c16:uniqueId val="{00000000-C313-4B2D-9232-A737ADF16F45}"/>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100"/>
          <c:min val="80"/>
        </c:scaling>
        <c:delete val="0"/>
        <c:axPos val="l"/>
        <c:majorGridlines>
          <c:spPr>
            <a:ln w="9525"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cent</a:t>
                </a:r>
              </a:p>
            </c:rich>
          </c:tx>
          <c:layout>
            <c:manualLayout>
              <c:xMode val="edge"/>
              <c:yMode val="edge"/>
              <c:x val="9.9029608126646081E-3"/>
              <c:y val="0.36690209066139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87751133193969"/>
          <c:y val="4.2342978122794639E-2"/>
          <c:w val="0.86073080052699236"/>
          <c:h val="0.82615929183869674"/>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Data'!$C$16:$F$16</c:f>
              <c:numCache>
                <c:formatCode>General</c:formatCode>
                <c:ptCount val="4"/>
                <c:pt idx="0">
                  <c:v>2</c:v>
                </c:pt>
                <c:pt idx="1">
                  <c:v>3</c:v>
                </c:pt>
                <c:pt idx="2">
                  <c:v>3</c:v>
                </c:pt>
                <c:pt idx="3">
                  <c:v>3</c:v>
                </c:pt>
              </c:numCache>
            </c:numRef>
          </c:val>
          <c:smooth val="0"/>
          <c:extLst>
            <c:ext xmlns:c16="http://schemas.microsoft.com/office/drawing/2014/chart" uri="{C3380CC4-5D6E-409C-BE32-E72D297353CC}">
              <c16:uniqueId val="{00000000-8472-4EB9-903F-676BA3FF7511}"/>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6"/>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p>
            </c:rich>
          </c:tx>
          <c:layout>
            <c:manualLayout>
              <c:xMode val="edge"/>
              <c:yMode val="edge"/>
              <c:x val="1.1724220531709056E-2"/>
              <c:y val="0.361562355869948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43357464510129"/>
          <c:y val="5.6457304163726185E-2"/>
          <c:w val="0.7880184570781561"/>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Data'!$C$17:$F$17</c:f>
              <c:numCache>
                <c:formatCode>#,##0</c:formatCode>
                <c:ptCount val="4"/>
                <c:pt idx="0">
                  <c:v>4934</c:v>
                </c:pt>
                <c:pt idx="1">
                  <c:v>10841</c:v>
                </c:pt>
                <c:pt idx="2">
                  <c:v>11201</c:v>
                </c:pt>
                <c:pt idx="3">
                  <c:v>11650</c:v>
                </c:pt>
              </c:numCache>
            </c:numRef>
          </c:val>
          <c:smooth val="0"/>
          <c:extLst>
            <c:ext xmlns:c16="http://schemas.microsoft.com/office/drawing/2014/chart" uri="{C3380CC4-5D6E-409C-BE32-E72D297353CC}">
              <c16:uniqueId val="{00000000-5AC4-4F75-BF4A-187EC152CAD9}"/>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2392246249131"/>
          <c:y val="5.6457304163726185E-2"/>
          <c:w val="0.78821280709834429"/>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Data'!$C$18:$F$18</c:f>
              <c:numCache>
                <c:formatCode>#,##0</c:formatCode>
                <c:ptCount val="4"/>
                <c:pt idx="0">
                  <c:v>279</c:v>
                </c:pt>
                <c:pt idx="1">
                  <c:v>977</c:v>
                </c:pt>
                <c:pt idx="2">
                  <c:v>1019</c:v>
                </c:pt>
                <c:pt idx="3">
                  <c:v>987</c:v>
                </c:pt>
              </c:numCache>
            </c:numRef>
          </c:val>
          <c:smooth val="0"/>
          <c:extLst>
            <c:ext xmlns:c16="http://schemas.microsoft.com/office/drawing/2014/chart" uri="{C3380CC4-5D6E-409C-BE32-E72D297353CC}">
              <c16:uniqueId val="{00000000-5A21-4459-AA61-17F5A7C152DC}"/>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('000)</a:t>
                </a:r>
              </a:p>
            </c:rich>
          </c:tx>
          <c:layout>
            <c:manualLayout>
              <c:xMode val="edge"/>
              <c:yMode val="edge"/>
              <c:x val="8.7815587266739867E-3"/>
              <c:y val="0.307386682522130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02348498973301"/>
          <c:y val="4.9400141143260412E-2"/>
          <c:w val="0.76554300086803095"/>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Data'!$C$19:$F$19</c:f>
              <c:numCache>
                <c:formatCode>#,##0</c:formatCode>
                <c:ptCount val="4"/>
                <c:pt idx="0">
                  <c:v>303000</c:v>
                </c:pt>
                <c:pt idx="1">
                  <c:v>311000</c:v>
                </c:pt>
                <c:pt idx="2">
                  <c:v>318000</c:v>
                </c:pt>
                <c:pt idx="3">
                  <c:v>331212</c:v>
                </c:pt>
              </c:numCache>
            </c:numRef>
          </c:val>
          <c:smooth val="0"/>
          <c:extLst>
            <c:ext xmlns:c16="http://schemas.microsoft.com/office/drawing/2014/chart" uri="{C3380CC4-5D6E-409C-BE32-E72D297353CC}">
              <c16:uniqueId val="{00000000-46A6-431F-B67D-8D32941372E4}"/>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in val="25000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p>
            </c:rich>
          </c:tx>
          <c:layout>
            <c:manualLayout>
              <c:xMode val="edge"/>
              <c:yMode val="edge"/>
              <c:x val="1.0690485862702952E-2"/>
              <c:y val="0.369795712727158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39223390160756"/>
          <c:y val="4.9400141143260412E-2"/>
          <c:w val="0.75313793788948724"/>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Data'!$C$20:$F$20</c:f>
              <c:numCache>
                <c:formatCode>#,##0</c:formatCode>
                <c:ptCount val="4"/>
                <c:pt idx="0">
                  <c:v>156800</c:v>
                </c:pt>
                <c:pt idx="1">
                  <c:v>266500</c:v>
                </c:pt>
                <c:pt idx="2">
                  <c:v>288800</c:v>
                </c:pt>
              </c:numCache>
            </c:numRef>
          </c:val>
          <c:smooth val="0"/>
          <c:extLst>
            <c:ext xmlns:c16="http://schemas.microsoft.com/office/drawing/2014/chart" uri="{C3380CC4-5D6E-409C-BE32-E72D297353CC}">
              <c16:uniqueId val="{00000000-EBD8-4B68-BCA1-38C6A311FADA}"/>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p>
            </c:rich>
          </c:tx>
          <c:layout>
            <c:manualLayout>
              <c:xMode val="edge"/>
              <c:yMode val="edge"/>
              <c:x val="1.6195505748389571E-2"/>
              <c:y val="0.365090937380181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20583762597778"/>
          <c:y val="5.6457304163726185E-2"/>
          <c:w val="0.82632451465796841"/>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Data'!$C$21:$F$21</c:f>
              <c:numCache>
                <c:formatCode>General</c:formatCode>
                <c:ptCount val="4"/>
                <c:pt idx="0">
                  <c:v>18.2</c:v>
                </c:pt>
                <c:pt idx="1">
                  <c:v>27.5</c:v>
                </c:pt>
                <c:pt idx="2">
                  <c:v>28.6</c:v>
                </c:pt>
                <c:pt idx="3">
                  <c:v>31.1</c:v>
                </c:pt>
              </c:numCache>
            </c:numRef>
          </c:val>
          <c:smooth val="0"/>
          <c:extLst>
            <c:ext xmlns:c16="http://schemas.microsoft.com/office/drawing/2014/chart" uri="{C3380CC4-5D6E-409C-BE32-E72D297353CC}">
              <c16:uniqueId val="{00000000-F206-4212-B8C5-242C9BEA7FFE}"/>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(million)</a:t>
                </a:r>
              </a:p>
            </c:rich>
          </c:tx>
          <c:layout>
            <c:manualLayout>
              <c:xMode val="edge"/>
              <c:yMode val="edge"/>
              <c:x val="1.2069704239769153E-2"/>
              <c:y val="0.279769651235374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a:solidFill>
              <a:schemeClr val="bg1">
                <a:lumMod val="25000"/>
                <a:lumOff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03355515992237"/>
          <c:y val="7.9051383399209488E-2"/>
          <c:w val="0.85162915894555824"/>
          <c:h val="0.75829516100282646"/>
        </c:manualLayout>
      </c:layout>
      <c:lineChart>
        <c:grouping val="standard"/>
        <c:varyColors val="0"/>
        <c:ser>
          <c:idx val="0"/>
          <c:order val="0"/>
          <c:spPr>
            <a:ln w="19050" cap="rnd">
              <a:solidFill>
                <a:srgbClr val="196B24"/>
              </a:solidFill>
              <a:round/>
            </a:ln>
            <a:effectLst/>
          </c:spPr>
          <c:marker>
            <c:symbol val="circle"/>
            <c:size val="4"/>
            <c:spPr>
              <a:solidFill>
                <a:srgbClr val="62BB46"/>
              </a:solidFill>
              <a:ln w="9525">
                <a:solidFill>
                  <a:srgbClr val="196B24"/>
                </a:solidFill>
              </a:ln>
              <a:effectLst/>
            </c:spPr>
          </c:marker>
          <c:cat>
            <c:strRef>
              <c:f>'Chart Data'!$C$1:$F$1</c:f>
              <c:strCache>
                <c:ptCount val="4"/>
                <c:pt idx="0">
                  <c:v>2021-22 </c:v>
                </c:pt>
                <c:pt idx="1">
                  <c:v>2022-23</c:v>
                </c:pt>
                <c:pt idx="2">
                  <c:v>2023-24</c:v>
                </c:pt>
                <c:pt idx="3">
                  <c:v>2024-25</c:v>
                </c:pt>
              </c:strCache>
            </c:strRef>
          </c:cat>
          <c:val>
            <c:numRef>
              <c:f>'Chart Data'!$C$3:$F$3</c:f>
              <c:numCache>
                <c:formatCode>General</c:formatCode>
                <c:ptCount val="4"/>
                <c:pt idx="0">
                  <c:v>6.3</c:v>
                </c:pt>
                <c:pt idx="1">
                  <c:v>3.4</c:v>
                </c:pt>
                <c:pt idx="2">
                  <c:v>1.5</c:v>
                </c:pt>
              </c:numCache>
            </c:numRef>
          </c:val>
          <c:smooth val="0"/>
          <c:extLst>
            <c:ext xmlns:c16="http://schemas.microsoft.com/office/drawing/2014/chart" uri="{C3380CC4-5D6E-409C-BE32-E72D297353CC}">
              <c16:uniqueId val="{00000000-685B-4F56-B920-FF72C1F0A39E}"/>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low"/>
        <c:spPr>
          <a:noFill/>
          <a:ln w="6350" cap="flat" cmpd="sng" algn="ctr">
            <a:solidFill>
              <a:srgbClr val="FFFFFF">
                <a:lumMod val="75000"/>
              </a:srgb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in val="-4"/>
        </c:scaling>
        <c:delete val="0"/>
        <c:axPos val="l"/>
        <c:majorGridlines>
          <c:spPr>
            <a:ln w="6350" cap="flat" cmpd="sng" algn="ctr">
              <a:solidFill>
                <a:srgbClr val="FFFFFF">
                  <a:lumMod val="75000"/>
                </a:srgb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cent</a:t>
                </a:r>
              </a:p>
            </c:rich>
          </c:tx>
          <c:layout>
            <c:manualLayout>
              <c:xMode val="edge"/>
              <c:yMode val="edge"/>
              <c:x val="1.4686851229943803E-2"/>
              <c:y val="0.344978578453981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a:solidFill>
              <a:srgbClr val="FFFFFF">
                <a:lumMod val="75000"/>
              </a:srgb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6350"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2316654710148"/>
          <c:y val="4.9400141143260412E-2"/>
          <c:w val="0.82540700524399324"/>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Data'!$C$22:$F$22</c:f>
              <c:numCache>
                <c:formatCode>General</c:formatCode>
                <c:ptCount val="4"/>
                <c:pt idx="0">
                  <c:v>0.16</c:v>
                </c:pt>
                <c:pt idx="1">
                  <c:v>1.4</c:v>
                </c:pt>
                <c:pt idx="2">
                  <c:v>2.4</c:v>
                </c:pt>
                <c:pt idx="3">
                  <c:v>2.7</c:v>
                </c:pt>
              </c:numCache>
            </c:numRef>
          </c:val>
          <c:smooth val="0"/>
          <c:extLst>
            <c:ext xmlns:c16="http://schemas.microsoft.com/office/drawing/2014/chart" uri="{C3380CC4-5D6E-409C-BE32-E72D297353CC}">
              <c16:uniqueId val="{00000000-E6DD-438A-A396-7F07C8479186}"/>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(million)</a:t>
                </a:r>
              </a:p>
            </c:rich>
          </c:tx>
          <c:layout>
            <c:manualLayout>
              <c:xMode val="edge"/>
              <c:yMode val="edge"/>
              <c:x val="1.3677104851465463E-2"/>
              <c:y val="0.2762410697251411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50183298986638"/>
          <c:y val="4.9400141143260412E-2"/>
          <c:w val="0.83918486588737318"/>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Data'!$C$23:$F$23</c:f>
              <c:numCache>
                <c:formatCode>General</c:formatCode>
                <c:ptCount val="4"/>
                <c:pt idx="0">
                  <c:v>15.4</c:v>
                </c:pt>
                <c:pt idx="1">
                  <c:v>30.8</c:v>
                </c:pt>
                <c:pt idx="2">
                  <c:v>31.5</c:v>
                </c:pt>
                <c:pt idx="3">
                  <c:v>30.9</c:v>
                </c:pt>
              </c:numCache>
            </c:numRef>
          </c:val>
          <c:smooth val="0"/>
          <c:extLst>
            <c:ext xmlns:c16="http://schemas.microsoft.com/office/drawing/2014/chart" uri="{C3380CC4-5D6E-409C-BE32-E72D297353CC}">
              <c16:uniqueId val="{00000000-93B3-4BD4-8C24-67E4C202974B}"/>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billion</a:t>
                </a:r>
              </a:p>
            </c:rich>
          </c:tx>
          <c:layout>
            <c:manualLayout>
              <c:xMode val="edge"/>
              <c:yMode val="edge"/>
              <c:x val="1.3638333627615976E-2"/>
              <c:y val="0.365090937380181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41483604340892"/>
          <c:y val="4.9400141143260412E-2"/>
          <c:w val="0.85219347581552307"/>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Data'!$C$24:$F$24</c:f>
              <c:numCache>
                <c:formatCode>General</c:formatCode>
                <c:ptCount val="4"/>
                <c:pt idx="0">
                  <c:v>1</c:v>
                </c:pt>
                <c:pt idx="1">
                  <c:v>4.2</c:v>
                </c:pt>
                <c:pt idx="2">
                  <c:v>7.8</c:v>
                </c:pt>
                <c:pt idx="3">
                  <c:v>9.3000000000000007</c:v>
                </c:pt>
              </c:numCache>
            </c:numRef>
          </c:val>
          <c:smooth val="0"/>
          <c:extLst>
            <c:ext xmlns:c16="http://schemas.microsoft.com/office/drawing/2014/chart" uri="{C3380CC4-5D6E-409C-BE32-E72D297353CC}">
              <c16:uniqueId val="{00000000-F45A-4425-88A6-625F7EAD17A4}"/>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89731376"/>
        <c:crosses val="autoZero"/>
        <c:auto val="1"/>
        <c:lblAlgn val="ctr"/>
        <c:lblOffset val="100"/>
        <c:noMultiLvlLbl val="0"/>
      </c:catAx>
      <c:valAx>
        <c:axId val="889731376"/>
        <c:scaling>
          <c:orientation val="minMax"/>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73413682784713"/>
          <c:y val="4.9400141143260412E-2"/>
          <c:w val="0.85279603496324763"/>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Data'!$C$25:$F$25</c:f>
              <c:numCache>
                <c:formatCode>General</c:formatCode>
                <c:ptCount val="4"/>
                <c:pt idx="0">
                  <c:v>9.9</c:v>
                </c:pt>
                <c:pt idx="1">
                  <c:v>16.399999999999999</c:v>
                </c:pt>
                <c:pt idx="2">
                  <c:v>16.3</c:v>
                </c:pt>
                <c:pt idx="3">
                  <c:v>15.4</c:v>
                </c:pt>
              </c:numCache>
            </c:numRef>
          </c:val>
          <c:smooth val="0"/>
          <c:extLst>
            <c:ext xmlns:c16="http://schemas.microsoft.com/office/drawing/2014/chart" uri="{C3380CC4-5D6E-409C-BE32-E72D297353CC}">
              <c16:uniqueId val="{00000000-E7C2-4745-B02D-0E624EE078D2}"/>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89731376"/>
        <c:crosses val="autoZero"/>
        <c:auto val="1"/>
        <c:lblAlgn val="ctr"/>
        <c:lblOffset val="100"/>
        <c:noMultiLvlLbl val="0"/>
      </c:catAx>
      <c:valAx>
        <c:axId val="889731376"/>
        <c:scaling>
          <c:orientation val="minMax"/>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71091484036503"/>
          <c:y val="4.9400141143260412E-2"/>
          <c:w val="0.82389739701856701"/>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Data'!$C$26:$F$26</c:f>
              <c:numCache>
                <c:formatCode>General</c:formatCode>
                <c:ptCount val="4"/>
                <c:pt idx="2">
                  <c:v>537</c:v>
                </c:pt>
                <c:pt idx="3">
                  <c:v>795</c:v>
                </c:pt>
              </c:numCache>
            </c:numRef>
          </c:val>
          <c:smooth val="0"/>
          <c:extLst>
            <c:ext xmlns:c16="http://schemas.microsoft.com/office/drawing/2014/chart" uri="{C3380CC4-5D6E-409C-BE32-E72D297353CC}">
              <c16:uniqueId val="{00000000-2967-4492-9447-69A39EA3C59E}"/>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89731376"/>
        <c:crosses val="autoZero"/>
        <c:auto val="1"/>
        <c:lblAlgn val="ctr"/>
        <c:lblOffset val="100"/>
        <c:noMultiLvlLbl val="0"/>
      </c:catAx>
      <c:valAx>
        <c:axId val="889731376"/>
        <c:scaling>
          <c:orientation val="minMax"/>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million</a:t>
                </a:r>
              </a:p>
            </c:rich>
          </c:tx>
          <c:layout>
            <c:manualLayout>
              <c:xMode val="edge"/>
              <c:yMode val="edge"/>
              <c:x val="7.4097488637191481E-3"/>
              <c:y val="0.358574638297241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pPr>
      <a:endParaRPr lang="en-US"/>
    </a:p>
  </c:txPr>
  <c:externalData r:id="rId3">
    <c:autoUpdate val="0"/>
  </c:externalData>
  <c:userShapes r:id="rId4"/>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87370088618177"/>
          <c:y val="4.9400141143260412E-2"/>
          <c:w val="0.82673485792322066"/>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Data'!$C$27:$F$27</c:f>
              <c:numCache>
                <c:formatCode>General</c:formatCode>
                <c:ptCount val="4"/>
                <c:pt idx="0">
                  <c:v>90.9</c:v>
                </c:pt>
                <c:pt idx="1">
                  <c:v>89.1</c:v>
                </c:pt>
                <c:pt idx="2">
                  <c:v>85.4</c:v>
                </c:pt>
              </c:numCache>
            </c:numRef>
          </c:val>
          <c:smooth val="0"/>
          <c:extLst>
            <c:ext xmlns:c16="http://schemas.microsoft.com/office/drawing/2014/chart" uri="{C3380CC4-5D6E-409C-BE32-E72D297353CC}">
              <c16:uniqueId val="{00000000-DC89-4BDC-8B1D-CA5ED79B4A56}"/>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100"/>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cent</a:t>
                </a:r>
              </a:p>
            </c:rich>
          </c:tx>
          <c:layout>
            <c:manualLayout>
              <c:xMode val="edge"/>
              <c:yMode val="edge"/>
              <c:x val="1.3981347830972279E-2"/>
              <c:y val="0.356316346130692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91290180384974"/>
          <c:y val="4.9400141143260412E-2"/>
          <c:w val="0.83461726998724517"/>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Data'!$C$28:$F$28</c:f>
              <c:numCache>
                <c:formatCode>General</c:formatCode>
                <c:ptCount val="4"/>
                <c:pt idx="0">
                  <c:v>86.5</c:v>
                </c:pt>
                <c:pt idx="1">
                  <c:v>86.4</c:v>
                </c:pt>
                <c:pt idx="2" formatCode="0.0">
                  <c:v>86</c:v>
                </c:pt>
                <c:pt idx="3">
                  <c:v>87.2</c:v>
                </c:pt>
              </c:numCache>
            </c:numRef>
          </c:val>
          <c:smooth val="0"/>
          <c:extLst>
            <c:ext xmlns:c16="http://schemas.microsoft.com/office/drawing/2014/chart" uri="{C3380CC4-5D6E-409C-BE32-E72D297353CC}">
              <c16:uniqueId val="{00000000-9220-4361-9D73-4AEB126D45DF}"/>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89731376"/>
        <c:crosses val="autoZero"/>
        <c:auto val="1"/>
        <c:lblAlgn val="ctr"/>
        <c:lblOffset val="100"/>
        <c:noMultiLvlLbl val="0"/>
      </c:catAx>
      <c:valAx>
        <c:axId val="889731376"/>
        <c:scaling>
          <c:orientation val="minMax"/>
          <c:max val="90"/>
          <c:min val="8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 cent</a:t>
                </a:r>
              </a:p>
            </c:rich>
          </c:tx>
          <c:layout>
            <c:manualLayout>
              <c:xMode val="edge"/>
              <c:yMode val="edge"/>
              <c:x val="1.6321944389223575E-2"/>
              <c:y val="0.359844927640925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64164646817611"/>
          <c:y val="4.9400141143260412E-2"/>
          <c:w val="0.84296691234122612"/>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Data'!$C$29:$F$29</c:f>
              <c:numCache>
                <c:formatCode>General</c:formatCode>
                <c:ptCount val="4"/>
                <c:pt idx="0">
                  <c:v>55.7</c:v>
                </c:pt>
                <c:pt idx="1">
                  <c:v>64.8</c:v>
                </c:pt>
                <c:pt idx="2">
                  <c:v>65.5</c:v>
                </c:pt>
                <c:pt idx="3">
                  <c:v>64.5</c:v>
                </c:pt>
              </c:numCache>
            </c:numRef>
          </c:val>
          <c:smooth val="0"/>
          <c:extLst>
            <c:ext xmlns:c16="http://schemas.microsoft.com/office/drawing/2014/chart" uri="{C3380CC4-5D6E-409C-BE32-E72D297353CC}">
              <c16:uniqueId val="{00000000-09DA-4879-9690-91EF92D48BF4}"/>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89731376"/>
        <c:crosses val="autoZero"/>
        <c:auto val="1"/>
        <c:lblAlgn val="ctr"/>
        <c:lblOffset val="100"/>
        <c:noMultiLvlLbl val="0"/>
      </c:catAx>
      <c:valAx>
        <c:axId val="889731376"/>
        <c:scaling>
          <c:orientation val="minMax"/>
          <c:max val="80"/>
          <c:min val="4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 cent</a:t>
                </a:r>
              </a:p>
            </c:rich>
          </c:tx>
          <c:layout>
            <c:manualLayout>
              <c:xMode val="edge"/>
              <c:yMode val="edge"/>
              <c:x val="6.9037947532493522E-3"/>
              <c:y val="0.323347540273062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11469985022456"/>
          <c:y val="5.6457304163726185E-2"/>
          <c:w val="0.84241571889134059"/>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Data'!$C$30:$F$30</c:f>
              <c:numCache>
                <c:formatCode>General</c:formatCode>
                <c:ptCount val="4"/>
                <c:pt idx="0">
                  <c:v>85.3</c:v>
                </c:pt>
                <c:pt idx="1">
                  <c:v>89.2</c:v>
                </c:pt>
                <c:pt idx="2">
                  <c:v>89.7</c:v>
                </c:pt>
                <c:pt idx="3">
                  <c:v>89.1</c:v>
                </c:pt>
              </c:numCache>
            </c:numRef>
          </c:val>
          <c:smooth val="0"/>
          <c:extLst>
            <c:ext xmlns:c16="http://schemas.microsoft.com/office/drawing/2014/chart" uri="{C3380CC4-5D6E-409C-BE32-E72D297353CC}">
              <c16:uniqueId val="{00000000-89E7-4CD9-966D-91A19BEF3DC0}"/>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89731376"/>
        <c:crosses val="autoZero"/>
        <c:auto val="1"/>
        <c:lblAlgn val="ctr"/>
        <c:lblOffset val="100"/>
        <c:noMultiLvlLbl val="0"/>
      </c:catAx>
      <c:valAx>
        <c:axId val="889731376"/>
        <c:scaling>
          <c:orientation val="minMax"/>
          <c:max val="100"/>
          <c:min val="8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 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70395024769495"/>
          <c:y val="4.9400141143260412E-2"/>
          <c:w val="0.76182640878437602"/>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Data'!$C$4:$F$4</c:f>
              <c:numCache>
                <c:formatCode>#,##0</c:formatCode>
                <c:ptCount val="4"/>
                <c:pt idx="0">
                  <c:v>265428</c:v>
                </c:pt>
                <c:pt idx="1">
                  <c:v>257911</c:v>
                </c:pt>
                <c:pt idx="2">
                  <c:v>254401</c:v>
                </c:pt>
              </c:numCache>
            </c:numRef>
          </c:val>
          <c:smooth val="0"/>
          <c:extLst>
            <c:ext xmlns:c16="http://schemas.microsoft.com/office/drawing/2014/chart" uri="{C3380CC4-5D6E-409C-BE32-E72D297353CC}">
              <c16:uniqueId val="{00000000-7026-47A6-ACE1-F589EBBB47EC}"/>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280000"/>
          <c:min val="24000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p>
            </c:rich>
          </c:tx>
          <c:layout>
            <c:manualLayout>
              <c:xMode val="edge"/>
              <c:yMode val="edge"/>
              <c:x val="1.3497899834298853E-2"/>
              <c:y val="0.330224106602059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majorUnit val="20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41361734283765"/>
          <c:y val="4.9400141143260412E-2"/>
          <c:w val="0.79824887421454316"/>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Data'!$C$5:$F$5</c:f>
              <c:numCache>
                <c:formatCode>General</c:formatCode>
                <c:ptCount val="4"/>
                <c:pt idx="0">
                  <c:v>627</c:v>
                </c:pt>
                <c:pt idx="1">
                  <c:v>704</c:v>
                </c:pt>
                <c:pt idx="2">
                  <c:v>1019</c:v>
                </c:pt>
                <c:pt idx="3" formatCode="#,##0">
                  <c:v>834</c:v>
                </c:pt>
              </c:numCache>
            </c:numRef>
          </c:val>
          <c:smooth val="0"/>
          <c:extLst>
            <c:ext xmlns:c16="http://schemas.microsoft.com/office/drawing/2014/chart" uri="{C3380CC4-5D6E-409C-BE32-E72D297353CC}">
              <c16:uniqueId val="{00000000-F25D-4832-85E8-916232A1E2AF}"/>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million</a:t>
                </a:r>
              </a:p>
            </c:rich>
          </c:tx>
          <c:layout>
            <c:manualLayout>
              <c:xMode val="edge"/>
              <c:yMode val="edge"/>
              <c:x val="1.5364764366034928E-2"/>
              <c:y val="0.359750832133986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14121862648618"/>
          <c:y val="4.9400141143260412E-2"/>
          <c:w val="0.80852127293089471"/>
          <c:h val="0.81204496579776508"/>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Data'!$C$6:$F$6</c:f>
              <c:numCache>
                <c:formatCode>General</c:formatCode>
                <c:ptCount val="4"/>
                <c:pt idx="0">
                  <c:v>31.7</c:v>
                </c:pt>
                <c:pt idx="1">
                  <c:v>29.9</c:v>
                </c:pt>
                <c:pt idx="2">
                  <c:v>29.4</c:v>
                </c:pt>
                <c:pt idx="3">
                  <c:v>30.1</c:v>
                </c:pt>
              </c:numCache>
            </c:numRef>
          </c:val>
          <c:smooth val="0"/>
          <c:extLst>
            <c:ext xmlns:c16="http://schemas.microsoft.com/office/drawing/2014/chart" uri="{C3380CC4-5D6E-409C-BE32-E72D297353CC}">
              <c16:uniqueId val="{00000000-E1D2-4F7D-9028-9C338674E551}"/>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in val="28"/>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cent</a:t>
                </a:r>
              </a:p>
            </c:rich>
          </c:tx>
          <c:layout>
            <c:manualLayout>
              <c:xMode val="edge"/>
              <c:yMode val="edge"/>
              <c:x val="1.0982131115050281E-2"/>
              <c:y val="0.330404703293528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85788123904925"/>
          <c:y val="4.4642946448913354E-2"/>
          <c:w val="0.79875092452082341"/>
          <c:h val="0.82658994548758324"/>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Data'!$C$7:$F$7</c:f>
              <c:numCache>
                <c:formatCode>#,##0</c:formatCode>
                <c:ptCount val="4"/>
                <c:pt idx="0">
                  <c:v>3721</c:v>
                </c:pt>
                <c:pt idx="1">
                  <c:v>2549</c:v>
                </c:pt>
                <c:pt idx="2">
                  <c:v>4550</c:v>
                </c:pt>
                <c:pt idx="3">
                  <c:v>1847</c:v>
                </c:pt>
              </c:numCache>
            </c:numRef>
          </c:val>
          <c:smooth val="0"/>
          <c:extLst>
            <c:ext xmlns:c16="http://schemas.microsoft.com/office/drawing/2014/chart" uri="{C3380CC4-5D6E-409C-BE32-E72D297353CC}">
              <c16:uniqueId val="{00000000-06BC-4581-8F77-97A67F99AF39}"/>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5000"/>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p>
            </c:rich>
          </c:tx>
          <c:layout>
            <c:manualLayout>
              <c:xMode val="edge"/>
              <c:yMode val="edge"/>
              <c:x val="1.5809028262246585E-2"/>
              <c:y val="0.36407737317944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57074451862562"/>
          <c:y val="4.9400141143260412E-2"/>
          <c:w val="0.82911595435861418"/>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Data'!$C$8:$F$8</c:f>
              <c:numCache>
                <c:formatCode>General</c:formatCode>
                <c:ptCount val="4"/>
                <c:pt idx="0">
                  <c:v>431</c:v>
                </c:pt>
                <c:pt idx="1">
                  <c:v>332</c:v>
                </c:pt>
                <c:pt idx="2">
                  <c:v>474</c:v>
                </c:pt>
                <c:pt idx="3">
                  <c:v>230</c:v>
                </c:pt>
              </c:numCache>
            </c:numRef>
          </c:val>
          <c:smooth val="0"/>
          <c:extLst>
            <c:ext xmlns:c16="http://schemas.microsoft.com/office/drawing/2014/chart" uri="{C3380CC4-5D6E-409C-BE32-E72D297353CC}">
              <c16:uniqueId val="{00000000-DDF6-4F2E-B181-81ADA785F2D5}"/>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500"/>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million</a:t>
                </a:r>
              </a:p>
            </c:rich>
          </c:tx>
          <c:layout>
            <c:manualLayout>
              <c:xMode val="edge"/>
              <c:yMode val="edge"/>
              <c:x val="1.5678391463416142E-2"/>
              <c:y val="0.363279413644219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AU"/>
            </a:p>
          </c:txPr>
        </c:title>
        <c:numFmt formatCode="General" sourceLinked="1"/>
        <c:majorTickMark val="none"/>
        <c:minorTickMark val="none"/>
        <c:tickLblPos val="nextTo"/>
        <c:spPr>
          <a:noFill/>
          <a:ln w="6350">
            <a:solidFill>
              <a:schemeClr val="bg1">
                <a:lumMod val="25000"/>
                <a:lumOff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551345324425"/>
          <c:y val="4.9400141143260412E-2"/>
          <c:w val="0.81605696653450699"/>
          <c:h val="0.81910212881823086"/>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Data'!$C$9:$F$9</c:f>
              <c:numCache>
                <c:formatCode>General</c:formatCode>
                <c:ptCount val="4"/>
                <c:pt idx="0">
                  <c:v>596</c:v>
                </c:pt>
                <c:pt idx="1">
                  <c:v>625</c:v>
                </c:pt>
                <c:pt idx="2">
                  <c:v>427</c:v>
                </c:pt>
                <c:pt idx="3">
                  <c:v>205</c:v>
                </c:pt>
              </c:numCache>
            </c:numRef>
          </c:val>
          <c:smooth val="0"/>
          <c:extLst>
            <c:ext xmlns:c16="http://schemas.microsoft.com/office/drawing/2014/chart" uri="{C3380CC4-5D6E-409C-BE32-E72D297353CC}">
              <c16:uniqueId val="{00000000-2163-419A-AF36-F051A11CBD5A}"/>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700"/>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t>
                </a:r>
                <a:r>
                  <a:rPr lang="en-AU"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 </a:t>
                </a:r>
                <a:r>
                  <a:rPr lang="en-AU"/>
                  <a:t>million</a:t>
                </a:r>
              </a:p>
            </c:rich>
          </c:tx>
          <c:layout>
            <c:manualLayout>
              <c:xMode val="edge"/>
              <c:yMode val="edge"/>
              <c:x val="1.5250179347779112E-2"/>
              <c:y val="0.358574638297241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AU"/>
            </a:p>
          </c:txPr>
        </c:title>
        <c:numFmt formatCode="General"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26534334141275"/>
          <c:y val="4.9946774655285978E-2"/>
          <c:w val="0.80334346241845989"/>
          <c:h val="0.8113310227326419"/>
        </c:manualLayout>
      </c:layout>
      <c:lineChart>
        <c:grouping val="standard"/>
        <c:varyColors val="0"/>
        <c:ser>
          <c:idx val="0"/>
          <c:order val="0"/>
          <c:spPr>
            <a:ln w="19050" cap="rnd">
              <a:solidFill>
                <a:schemeClr val="accent3"/>
              </a:solidFill>
              <a:round/>
            </a:ln>
            <a:effectLst/>
          </c:spPr>
          <c:marker>
            <c:symbol val="circle"/>
            <c:size val="4"/>
            <c:spPr>
              <a:solidFill>
                <a:schemeClr val="accent3"/>
              </a:solidFill>
              <a:ln w="9525">
                <a:noFill/>
              </a:ln>
              <a:effectLst/>
            </c:spPr>
          </c:marker>
          <c:cat>
            <c:strRef>
              <c:f>'Chart Data'!$C$1:$F$1</c:f>
              <c:strCache>
                <c:ptCount val="4"/>
                <c:pt idx="0">
                  <c:v>2021-22 </c:v>
                </c:pt>
                <c:pt idx="1">
                  <c:v>2022-23</c:v>
                </c:pt>
                <c:pt idx="2">
                  <c:v>2023-24</c:v>
                </c:pt>
                <c:pt idx="3">
                  <c:v>2024-25</c:v>
                </c:pt>
              </c:strCache>
            </c:strRef>
          </c:cat>
          <c:val>
            <c:numRef>
              <c:f>'Chart Data'!$C$10:$F$10</c:f>
              <c:numCache>
                <c:formatCode>#,##0</c:formatCode>
                <c:ptCount val="4"/>
                <c:pt idx="0">
                  <c:v>2427</c:v>
                </c:pt>
                <c:pt idx="1">
                  <c:v>1017</c:v>
                </c:pt>
                <c:pt idx="2">
                  <c:v>1554</c:v>
                </c:pt>
                <c:pt idx="3">
                  <c:v>428</c:v>
                </c:pt>
              </c:numCache>
            </c:numRef>
          </c:val>
          <c:smooth val="0"/>
          <c:extLst>
            <c:ext xmlns:c16="http://schemas.microsoft.com/office/drawing/2014/chart" uri="{C3380CC4-5D6E-409C-BE32-E72D297353CC}">
              <c16:uniqueId val="{00000000-0704-4CD3-AED0-9D5891E5DBF4}"/>
            </c:ext>
          </c:extLst>
        </c:ser>
        <c:dLbls>
          <c:showLegendKey val="0"/>
          <c:showVal val="0"/>
          <c:showCatName val="0"/>
          <c:showSerName val="0"/>
          <c:showPercent val="0"/>
          <c:showBubbleSize val="0"/>
        </c:dLbls>
        <c:marker val="1"/>
        <c:smooth val="0"/>
        <c:axId val="876890920"/>
        <c:axId val="889731376"/>
      </c:lineChart>
      <c:catAx>
        <c:axId val="876890920"/>
        <c:scaling>
          <c:orientation val="minMax"/>
        </c:scaling>
        <c:delete val="0"/>
        <c:axPos val="b"/>
        <c:numFmt formatCode="General" sourceLinked="1"/>
        <c:majorTickMark val="none"/>
        <c:minorTickMark val="none"/>
        <c:tickLblPos val="nextTo"/>
        <c:spPr>
          <a:noFill/>
          <a:ln w="6350"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89731376"/>
        <c:crosses val="autoZero"/>
        <c:auto val="1"/>
        <c:lblAlgn val="ctr"/>
        <c:lblOffset val="100"/>
        <c:noMultiLvlLbl val="0"/>
      </c:catAx>
      <c:valAx>
        <c:axId val="889731376"/>
        <c:scaling>
          <c:orientation val="minMax"/>
          <c:max val="3000"/>
          <c:min val="0"/>
        </c:scaling>
        <c:delete val="0"/>
        <c:axPos val="l"/>
        <c:majorGridlines>
          <c:spPr>
            <a:ln w="6350"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number</a:t>
                </a:r>
              </a:p>
            </c:rich>
          </c:tx>
          <c:layout>
            <c:manualLayout>
              <c:xMode val="edge"/>
              <c:yMode val="edge"/>
              <c:x val="1.121649036461002E-2"/>
              <c:y val="0.3617520287028341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6890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0.57726</cdr:x>
      <cdr:y>0.59156</cdr:y>
    </cdr:from>
    <cdr:to>
      <cdr:x>0.91151</cdr:x>
      <cdr:y>0.80161</cdr:y>
    </cdr:to>
    <cdr:sp macro="" textlink="">
      <cdr:nvSpPr>
        <cdr:cNvPr id="2" name="TextBox 1">
          <a:extLst xmlns:a="http://schemas.openxmlformats.org/drawingml/2006/main">
            <a:ext uri="{FF2B5EF4-FFF2-40B4-BE49-F238E27FC236}">
              <a16:creationId xmlns:a16="http://schemas.microsoft.com/office/drawing/2014/main" id="{EB01DB56-B3FB-479C-B363-AE17359F2965}"/>
            </a:ext>
          </a:extLst>
        </cdr:cNvPr>
        <cdr:cNvSpPr txBox="1"/>
      </cdr:nvSpPr>
      <cdr:spPr>
        <a:xfrm xmlns:a="http://schemas.openxmlformats.org/drawingml/2006/main">
          <a:off x="1999445" y="1263579"/>
          <a:ext cx="1157744" cy="4486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AU" sz="800"/>
            <a:t>N/A</a:t>
          </a:r>
        </a:p>
      </cdr:txBody>
    </cdr:sp>
  </cdr:relSizeAnchor>
</c:userShapes>
</file>

<file path=word/drawings/drawing2.xml><?xml version="1.0" encoding="utf-8"?>
<c:userShapes xmlns:c="http://schemas.openxmlformats.org/drawingml/2006/chart">
  <cdr:relSizeAnchor xmlns:cdr="http://schemas.openxmlformats.org/drawingml/2006/chartDrawing">
    <cdr:from>
      <cdr:x>0.5966</cdr:x>
      <cdr:y>0.51159</cdr:y>
    </cdr:from>
    <cdr:to>
      <cdr:x>0.93026</cdr:x>
      <cdr:y>0.70429</cdr:y>
    </cdr:to>
    <cdr:sp macro="" textlink="">
      <cdr:nvSpPr>
        <cdr:cNvPr id="2" name="TextBox 1">
          <a:extLst xmlns:a="http://schemas.openxmlformats.org/drawingml/2006/main">
            <a:ext uri="{FF2B5EF4-FFF2-40B4-BE49-F238E27FC236}">
              <a16:creationId xmlns:a16="http://schemas.microsoft.com/office/drawing/2014/main" id="{F771C55C-334B-6FDA-802C-91C91C007D59}"/>
            </a:ext>
          </a:extLst>
        </cdr:cNvPr>
        <cdr:cNvSpPr txBox="1"/>
      </cdr:nvSpPr>
      <cdr:spPr>
        <a:xfrm xmlns:a="http://schemas.openxmlformats.org/drawingml/2006/main">
          <a:off x="1610452" y="920647"/>
          <a:ext cx="900677" cy="3467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n-AU" sz="800"/>
            <a:t>N/A</a:t>
          </a:r>
        </a:p>
      </cdr:txBody>
    </cdr:sp>
  </cdr:relSizeAnchor>
</c:userShapes>
</file>

<file path=word/drawings/drawing3.xml><?xml version="1.0" encoding="utf-8"?>
<c:userShapes xmlns:c="http://schemas.openxmlformats.org/drawingml/2006/chart">
  <cdr:relSizeAnchor xmlns:cdr="http://schemas.openxmlformats.org/drawingml/2006/chartDrawing">
    <cdr:from>
      <cdr:x>0.6988</cdr:x>
      <cdr:y>0.15347</cdr:y>
    </cdr:from>
    <cdr:to>
      <cdr:x>0.93168</cdr:x>
      <cdr:y>0.41375</cdr:y>
    </cdr:to>
    <cdr:sp macro="" textlink="">
      <cdr:nvSpPr>
        <cdr:cNvPr id="2" name="TextBox 1">
          <a:extLst xmlns:a="http://schemas.openxmlformats.org/drawingml/2006/main">
            <a:ext uri="{FF2B5EF4-FFF2-40B4-BE49-F238E27FC236}">
              <a16:creationId xmlns:a16="http://schemas.microsoft.com/office/drawing/2014/main" id="{94D59F4D-C7CB-40F1-88D2-3AE65DB6E1B2}"/>
            </a:ext>
          </a:extLst>
        </cdr:cNvPr>
        <cdr:cNvSpPr txBox="1"/>
      </cdr:nvSpPr>
      <cdr:spPr>
        <a:xfrm xmlns:a="http://schemas.openxmlformats.org/drawingml/2006/main">
          <a:off x="2444642" y="331993"/>
          <a:ext cx="814695" cy="5630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AU" sz="800"/>
            <a:t>N/A</a:t>
          </a:r>
        </a:p>
      </cdr:txBody>
    </cdr:sp>
  </cdr:relSizeAnchor>
</c:userShapes>
</file>

<file path=word/drawings/drawing4.xml><?xml version="1.0" encoding="utf-8"?>
<c:userShapes xmlns:c="http://schemas.openxmlformats.org/drawingml/2006/chart">
  <cdr:relSizeAnchor xmlns:cdr="http://schemas.openxmlformats.org/drawingml/2006/chartDrawing">
    <cdr:from>
      <cdr:x>0.267</cdr:x>
      <cdr:y>0.64459</cdr:y>
    </cdr:from>
    <cdr:to>
      <cdr:x>0.49236</cdr:x>
      <cdr:y>0.89108</cdr:y>
    </cdr:to>
    <cdr:sp macro="" textlink="">
      <cdr:nvSpPr>
        <cdr:cNvPr id="3" name="TextBox 1">
          <a:extLst xmlns:a="http://schemas.openxmlformats.org/drawingml/2006/main">
            <a:ext uri="{FF2B5EF4-FFF2-40B4-BE49-F238E27FC236}">
              <a16:creationId xmlns:a16="http://schemas.microsoft.com/office/drawing/2014/main" id="{14A88670-A05F-4D61-8EC4-3698078C7837}"/>
            </a:ext>
          </a:extLst>
        </cdr:cNvPr>
        <cdr:cNvSpPr txBox="1"/>
      </cdr:nvSpPr>
      <cdr:spPr>
        <a:xfrm xmlns:a="http://schemas.openxmlformats.org/drawingml/2006/main">
          <a:off x="923305" y="1387779"/>
          <a:ext cx="779319" cy="530681"/>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800"/>
            <a:t>N/A</a:t>
          </a:r>
        </a:p>
      </cdr:txBody>
    </cdr:sp>
  </cdr:relSizeAnchor>
</c:userShapes>
</file>

<file path=word/drawings/drawing5.xml><?xml version="1.0" encoding="utf-8"?>
<c:userShapes xmlns:c="http://schemas.openxmlformats.org/drawingml/2006/chart">
  <cdr:relSizeAnchor xmlns:cdr="http://schemas.openxmlformats.org/drawingml/2006/chartDrawing">
    <cdr:from>
      <cdr:x>0.57825</cdr:x>
      <cdr:y>0.22687</cdr:y>
    </cdr:from>
    <cdr:to>
      <cdr:x>0.89498</cdr:x>
      <cdr:y>0.3625</cdr:y>
    </cdr:to>
    <cdr:sp macro="" textlink="">
      <cdr:nvSpPr>
        <cdr:cNvPr id="2" name="TextBox 1">
          <a:extLst xmlns:a="http://schemas.openxmlformats.org/drawingml/2006/main">
            <a:ext uri="{FF2B5EF4-FFF2-40B4-BE49-F238E27FC236}">
              <a16:creationId xmlns:a16="http://schemas.microsoft.com/office/drawing/2014/main" id="{D4955F02-B7B6-4379-B709-654EACD9BB52}"/>
            </a:ext>
          </a:extLst>
        </cdr:cNvPr>
        <cdr:cNvSpPr txBox="1"/>
      </cdr:nvSpPr>
      <cdr:spPr>
        <a:xfrm xmlns:a="http://schemas.openxmlformats.org/drawingml/2006/main">
          <a:off x="2015569" y="531601"/>
          <a:ext cx="1104010" cy="3178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n-AU" sz="800"/>
            <a:t>N/A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Custom 5">
    <a:dk1>
      <a:sysClr val="windowText" lastClr="000000"/>
    </a:dk1>
    <a:lt1>
      <a:sysClr val="window" lastClr="FFFFFF"/>
    </a:lt1>
    <a:dk2>
      <a:srgbClr val="44546A"/>
    </a:dk2>
    <a:lt2>
      <a:srgbClr val="E7E6E6"/>
    </a:lt2>
    <a:accent1>
      <a:srgbClr val="0063A5"/>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14514_Annual_Report">
    <a:majorFont>
      <a:latin typeface="VIC"/>
      <a:ea typeface=""/>
      <a:cs typeface=""/>
    </a:majorFont>
    <a:minorFont>
      <a:latin typeface="VIC Light"/>
      <a:ea typeface=""/>
      <a:cs typeface=""/>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98caef77-545b-4d4b-96ac-f88472b9d9b5">true</Reviewed>
    <_Flow_SignoffStatus xmlns="98caef77-545b-4d4b-96ac-f88472b9d9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89A2E9D89755488B54E51C8AC2DA7E" ma:contentTypeVersion="18" ma:contentTypeDescription="Create a new document." ma:contentTypeScope="" ma:versionID="e861b19e9769b4e45c71cda0196d5776">
  <xsd:schema xmlns:xsd="http://www.w3.org/2001/XMLSchema" xmlns:xs="http://www.w3.org/2001/XMLSchema" xmlns:p="http://schemas.microsoft.com/office/2006/metadata/properties" xmlns:ns2="98caef77-545b-4d4b-96ac-f88472b9d9b5" xmlns:ns3="62f59a1f-816a-4bca-bfc0-c901c4a1cb3d" targetNamespace="http://schemas.microsoft.com/office/2006/metadata/properties" ma:root="true" ma:fieldsID="56f458fb6da20a6ad1a288d1405e10ec" ns2:_="" ns3:_="">
    <xsd:import namespace="98caef77-545b-4d4b-96ac-f88472b9d9b5"/>
    <xsd:import namespace="62f59a1f-816a-4bca-bfc0-c901c4a1c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Reviewed"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ef77-545b-4d4b-96ac-f88472b9d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Reviewed" ma:index="14" nillable="true" ma:displayName="Reviewed" ma:default="1" ma:internalName="Reviewed">
      <xsd:simpleType>
        <xsd:restriction base="dms:Boolean"/>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59a1f-816a-4bca-bfc0-c901c4a1c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ADF40-F9EF-4048-8D24-9207C7CAC751}">
  <ds:schemaRefs>
    <ds:schemaRef ds:uri="http://purl.org/dc/elements/1.1/"/>
    <ds:schemaRef ds:uri="http://schemas.microsoft.com/office/2006/metadata/properties"/>
    <ds:schemaRef ds:uri="3b4993c4-1e12-480f-8829-7529dfd7c42d"/>
    <ds:schemaRef ds:uri="http://purl.org/dc/dcmitype/"/>
    <ds:schemaRef ds:uri="http://schemas.openxmlformats.org/package/2006/metadata/core-properties"/>
    <ds:schemaRef ds:uri="http://schemas.microsoft.com/office/2006/documentManagement/types"/>
    <ds:schemaRef ds:uri="1970f3ff-c7c3-4b73-8f0c-0bc260d159f3"/>
    <ds:schemaRef ds:uri="http://purl.org/dc/terms/"/>
    <ds:schemaRef ds:uri="http://schemas.microsoft.com/office/infopath/2007/PartnerControls"/>
    <ds:schemaRef ds:uri="4ae6eb50-8777-409e-ac69-0f23188bec30"/>
    <ds:schemaRef ds:uri="http://www.w3.org/XML/1998/namespace"/>
  </ds:schemaRefs>
</ds:datastoreItem>
</file>

<file path=customXml/itemProps2.xml><?xml version="1.0" encoding="utf-8"?>
<ds:datastoreItem xmlns:ds="http://schemas.openxmlformats.org/officeDocument/2006/customXml" ds:itemID="{3690F1D9-10C2-4684-858A-285B6D95B028}"/>
</file>

<file path=customXml/itemProps3.xml><?xml version="1.0" encoding="utf-8"?>
<ds:datastoreItem xmlns:ds="http://schemas.openxmlformats.org/officeDocument/2006/customXml" ds:itemID="{86CBB39B-F2E4-463E-9D6D-326AC7D1110D}">
  <ds:schemaRefs>
    <ds:schemaRef ds:uri="http://schemas.openxmlformats.org/officeDocument/2006/bibliography"/>
  </ds:schemaRefs>
</ds:datastoreItem>
</file>

<file path=customXml/itemProps4.xml><?xml version="1.0" encoding="utf-8"?>
<ds:datastoreItem xmlns:ds="http://schemas.openxmlformats.org/officeDocument/2006/customXml" ds:itemID="{9F1D7BB9-3BF5-4CE9-8F7E-A557B1AFF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14677</Words>
  <Characters>83663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DJSIR Annual Report 2024-25</vt:lpstr>
    </vt:vector>
  </TitlesOfParts>
  <Company/>
  <LinksUpToDate>false</LinksUpToDate>
  <CharactersWithSpaces>98144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DJSIR Annual Report 2024-25</dc:title>
  <dc:subject/>
  <dc:creator>Samaa Kirby</dc:creator>
  <cp:keywords/>
  <dc:description/>
  <cp:lastModifiedBy>Samaa Kirby</cp:lastModifiedBy>
  <cp:revision>3</cp:revision>
  <dcterms:created xsi:type="dcterms:W3CDTF">2025-11-18T05:13:00Z</dcterms:created>
  <dcterms:modified xsi:type="dcterms:W3CDTF">2025-11-18T05:27:00Z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62f13787,47c05161,3e085ea9,4ed87d0,27e79231,69ca529b,4f087126,76ab39ce,6611ede9,47f394a,55266e20,6b7128e8,4515363d,db5b93f,29b72c68,6fa8f8cc,4143d8c1,6a6b43f5,3f8a6553,2325c60a,3c2f33c3,44963f78,32135276</vt:lpwstr>
  </property>
  <property fmtid="{D5CDD505-2E9C-101B-9397-08002B2CF9AE}" pid="3" name="ClassificationContentMarkingHeaderShapeIds-1">
    <vt:lpwstr>396fa51b,55e6e75,7e23160c,be4f721,34c8b859,72abf282,399a8346,1cb85674,1772becd,636ea566,5df7ef7d,68a39c7,39d55ebe,5daa66ac,2b4a8eae,6060c80d,386fbaa,38c3b6e,19ebd3e9,beefb00,2af6415f,3d8cb520,c5dc048,56e8e47</vt:lpwstr>
  </property>
  <property fmtid="{D5CDD505-2E9C-101B-9397-08002B2CF9AE}" pid="4" name="ClassificationContentMarkingHeaderShapeIds-2">
    <vt:lpwstr>2c066eb4,2456516d,6eb8a74e,5ae0ecd5,2904f3b2,50826f52,586521d4,11bc9564,355a73c6,d145261,52b584e2,2f415cc5,429e1a6f,3da421e8,345b18a4,4cb99985,69230f7</vt:lpwstr>
  </property>
  <property fmtid="{D5CDD505-2E9C-101B-9397-08002B2CF9AE}" pid="5" name="ClassificationContentMarkingHeaderFontProps">
    <vt:lpwstr>#000000,12,Arial</vt:lpwstr>
  </property>
  <property fmtid="{D5CDD505-2E9C-101B-9397-08002B2CF9AE}" pid="6" name="ClassificationContentMarkingHeaderText">
    <vt:lpwstr>UNOFFICIAL</vt:lpwstr>
  </property>
  <property fmtid="{D5CDD505-2E9C-101B-9397-08002B2CF9AE}" pid="7" name="ClassificationContentMarkingFooterShapeIds">
    <vt:lpwstr>271f2252,172f3a55,569fc37c,53bb76f9,38496114,11675c26,2e90eda8,2cc09be9,161adbd8,59bb17b5,46e8736f,7398ff35,2c28ca13,7ac56a46,7b89d853,368a71a7,16b7f8f8,437cc82d,4d2e66a,255e80d7,33b96e4b,c764e98,6044acf4</vt:lpwstr>
  </property>
  <property fmtid="{D5CDD505-2E9C-101B-9397-08002B2CF9AE}" pid="8" name="ClassificationContentMarkingFooterShapeIds-1">
    <vt:lpwstr>70ca500f,64492885,7aa4e647,4b7bd1c3,39ef710a,4edafcf9,693bd29b,363e6320,4471d216,37578aff,401ae6ee,673f54bc,126ca364,5ebbbf07,49735cb</vt:lpwstr>
  </property>
  <property fmtid="{D5CDD505-2E9C-101B-9397-08002B2CF9AE}" pid="9" name="ClassificationContentMarkingFooterFontProps">
    <vt:lpwstr>#000000,12,Arial</vt:lpwstr>
  </property>
  <property fmtid="{D5CDD505-2E9C-101B-9397-08002B2CF9AE}" pid="10" name="ClassificationContentMarkingFooterText">
    <vt:lpwstr>UNOFFICIAL</vt:lpwstr>
  </property>
  <property fmtid="{D5CDD505-2E9C-101B-9397-08002B2CF9AE}" pid="11" name="MSIP_Label_aada7abd-22af-4be4-9080-cf0e1de95e2f_Enabled">
    <vt:lpwstr>true</vt:lpwstr>
  </property>
  <property fmtid="{D5CDD505-2E9C-101B-9397-08002B2CF9AE}" pid="12" name="MSIP_Label_aada7abd-22af-4be4-9080-cf0e1de95e2f_SetDate">
    <vt:lpwstr>2025-11-09T03:31:36Z</vt:lpwstr>
  </property>
  <property fmtid="{D5CDD505-2E9C-101B-9397-08002B2CF9AE}" pid="13" name="MSIP_Label_aada7abd-22af-4be4-9080-cf0e1de95e2f_Method">
    <vt:lpwstr>Privileged</vt:lpwstr>
  </property>
  <property fmtid="{D5CDD505-2E9C-101B-9397-08002B2CF9AE}" pid="14" name="MSIP_Label_aada7abd-22af-4be4-9080-cf0e1de95e2f_Name">
    <vt:lpwstr>Unofficial (DJPR)</vt:lpwstr>
  </property>
  <property fmtid="{D5CDD505-2E9C-101B-9397-08002B2CF9AE}" pid="15" name="MSIP_Label_aada7abd-22af-4be4-9080-cf0e1de95e2f_SiteId">
    <vt:lpwstr>722ea0be-3e1c-4b11-ad6f-9401d6856e24</vt:lpwstr>
  </property>
  <property fmtid="{D5CDD505-2E9C-101B-9397-08002B2CF9AE}" pid="16" name="MSIP_Label_aada7abd-22af-4be4-9080-cf0e1de95e2f_ActionId">
    <vt:lpwstr>b83cf70f-e4ce-47ef-8357-c52d7c11ce77</vt:lpwstr>
  </property>
  <property fmtid="{D5CDD505-2E9C-101B-9397-08002B2CF9AE}" pid="17" name="MSIP_Label_aada7abd-22af-4be4-9080-cf0e1de95e2f_ContentBits">
    <vt:lpwstr>3</vt:lpwstr>
  </property>
  <property fmtid="{D5CDD505-2E9C-101B-9397-08002B2CF9AE}" pid="18" name="MSIP_Label_aada7abd-22af-4be4-9080-cf0e1de95e2f_Tag">
    <vt:lpwstr>10, 0, 1, 1</vt:lpwstr>
  </property>
  <property fmtid="{D5CDD505-2E9C-101B-9397-08002B2CF9AE}" pid="19" name="ContentTypeId">
    <vt:lpwstr>0x010100EE89A2E9D89755488B54E51C8AC2DA7E</vt:lpwstr>
  </property>
  <property fmtid="{D5CDD505-2E9C-101B-9397-08002B2CF9AE}" pid="20" name="MediaServiceImageTags">
    <vt:lpwstr/>
  </property>
  <property fmtid="{D5CDD505-2E9C-101B-9397-08002B2CF9AE}" pid="21" name="DEDJTRSection">
    <vt:lpwstr/>
  </property>
  <property fmtid="{D5CDD505-2E9C-101B-9397-08002B2CF9AE}" pid="22" name="DEDJTRGroup">
    <vt:lpwstr/>
  </property>
  <property fmtid="{D5CDD505-2E9C-101B-9397-08002B2CF9AE}" pid="23" name="DEDJTRSecurityClassification">
    <vt:lpwstr/>
  </property>
  <property fmtid="{D5CDD505-2E9C-101B-9397-08002B2CF9AE}" pid="24" name="DEDJTRDivision">
    <vt:lpwstr/>
  </property>
  <property fmtid="{D5CDD505-2E9C-101B-9397-08002B2CF9AE}" pid="25" name="DEDJTRBranch">
    <vt:lpwstr/>
  </property>
</Properties>
</file>