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86F" w:rsidRPr="0028586F" w:rsidRDefault="0028586F" w:rsidP="00173517">
      <w:pPr>
        <w:pStyle w:val="Title"/>
        <w:rPr>
          <w:rFonts w:ascii="Chronicle Display Semibold" w:hAnsi="Chronicle Display Semibold"/>
          <w:spacing w:val="0"/>
        </w:rPr>
      </w:pPr>
      <w:r>
        <w:rPr>
          <w:rStyle w:val="s1"/>
        </w:rPr>
        <w:t>State of the Sector</w:t>
      </w:r>
      <w:r w:rsidR="00173517">
        <w:rPr>
          <w:rStyle w:val="s1"/>
        </w:rPr>
        <w:t xml:space="preserve"> </w:t>
      </w:r>
      <w:r w:rsidRPr="0028586F">
        <w:t>Medical Technologies and Pharmaceuticals</w:t>
      </w:r>
      <w:r w:rsidR="00173517">
        <w:t xml:space="preserve"> </w:t>
      </w:r>
      <w:r w:rsidRPr="0028586F">
        <w:t>2017</w:t>
      </w:r>
    </w:p>
    <w:p w:rsidR="0028586F" w:rsidRDefault="0028586F" w:rsidP="00173517">
      <w:pPr>
        <w:pStyle w:val="Heading1"/>
      </w:pPr>
      <w:bookmarkStart w:id="0" w:name="_Toc487638927"/>
      <w:r>
        <w:t>Victoria’s Future Industries</w:t>
      </w:r>
      <w:bookmarkEnd w:id="0"/>
    </w:p>
    <w:p w:rsidR="00467287" w:rsidRDefault="00AB26B5" w:rsidP="00467287">
      <w:pPr>
        <w:tabs>
          <w:tab w:val="left" w:pos="8660"/>
        </w:tabs>
        <w:rPr>
          <w:lang w:val="en-GB" w:eastAsia="en-GB"/>
        </w:rPr>
      </w:pPr>
      <w:r w:rsidRPr="00AB26B5">
        <w:rPr>
          <w:spacing w:val="-2"/>
          <w:lang w:val="en-GB" w:eastAsia="en-GB"/>
        </w:rPr>
        <w:t xml:space="preserve">Published by the Department of Economic Development, </w:t>
      </w:r>
      <w:r w:rsidRPr="00AB26B5">
        <w:rPr>
          <w:lang w:val="en-GB" w:eastAsia="en-GB"/>
        </w:rPr>
        <w:t>Jobs, Transport and Resources</w:t>
      </w:r>
      <w:r>
        <w:rPr>
          <w:lang w:val="en-GB" w:eastAsia="en-GB"/>
        </w:rPr>
        <w:t xml:space="preserve"> </w:t>
      </w:r>
    </w:p>
    <w:p w:rsidR="00467287" w:rsidRDefault="00AB26B5" w:rsidP="00467287">
      <w:pPr>
        <w:tabs>
          <w:tab w:val="left" w:pos="8660"/>
        </w:tabs>
        <w:rPr>
          <w:lang w:val="en-GB" w:eastAsia="en-GB"/>
        </w:rPr>
      </w:pPr>
      <w:r w:rsidRPr="00AB26B5">
        <w:rPr>
          <w:lang w:val="en-GB" w:eastAsia="en-GB"/>
        </w:rPr>
        <w:t>1 Spring Street Melbourne, Victoria 3000</w:t>
      </w:r>
    </w:p>
    <w:p w:rsidR="00AB26B5" w:rsidRPr="00AB26B5" w:rsidRDefault="00AB26B5" w:rsidP="00467287">
      <w:pPr>
        <w:tabs>
          <w:tab w:val="left" w:pos="8660"/>
        </w:tabs>
        <w:rPr>
          <w:lang w:val="en-GB" w:eastAsia="en-GB"/>
        </w:rPr>
      </w:pPr>
      <w:r w:rsidRPr="00AB26B5">
        <w:rPr>
          <w:lang w:val="en-GB" w:eastAsia="en-GB"/>
        </w:rPr>
        <w:t>Telephone (03) 9208 3799</w:t>
      </w:r>
    </w:p>
    <w:p w:rsidR="00AB26B5" w:rsidRPr="00AB26B5" w:rsidRDefault="00AB26B5" w:rsidP="00AB26B5">
      <w:pPr>
        <w:rPr>
          <w:lang w:val="en-GB" w:eastAsia="en-GB"/>
        </w:rPr>
      </w:pPr>
      <w:r w:rsidRPr="00AB26B5">
        <w:rPr>
          <w:lang w:val="en-GB" w:eastAsia="en-GB"/>
        </w:rPr>
        <w:t>July 2017</w:t>
      </w:r>
    </w:p>
    <w:p w:rsidR="00AB26B5" w:rsidRPr="00AB26B5" w:rsidRDefault="00AB26B5" w:rsidP="00AB26B5">
      <w:pPr>
        <w:rPr>
          <w:lang w:val="en-GB" w:eastAsia="en-GB"/>
        </w:rPr>
      </w:pPr>
      <w:r w:rsidRPr="00AB26B5">
        <w:rPr>
          <w:lang w:val="en-GB" w:eastAsia="en-GB"/>
        </w:rPr>
        <w:t>© Copyright State Government of Victoria 2017</w:t>
      </w:r>
      <w:r>
        <w:rPr>
          <w:lang w:val="en-GB" w:eastAsia="en-GB"/>
        </w:rPr>
        <w:t xml:space="preserve">. </w:t>
      </w:r>
      <w:r w:rsidRPr="00AB26B5">
        <w:rPr>
          <w:lang w:val="en-GB" w:eastAsia="en-GB"/>
        </w:rPr>
        <w:t xml:space="preserve">This publication is copyright. No part may be reproduced by any process except in accordance with provisions of the </w:t>
      </w:r>
      <w:r w:rsidRPr="00AB26B5">
        <w:rPr>
          <w:i/>
        </w:rPr>
        <w:t>Copyright Act 1968</w:t>
      </w:r>
      <w:r w:rsidRPr="00AB26B5">
        <w:rPr>
          <w:lang w:val="en-GB" w:eastAsia="en-GB"/>
        </w:rPr>
        <w:t>.</w:t>
      </w:r>
    </w:p>
    <w:p w:rsidR="00AB26B5" w:rsidRPr="00AB26B5" w:rsidRDefault="00AB26B5" w:rsidP="00AB26B5">
      <w:pPr>
        <w:rPr>
          <w:lang w:val="en-GB" w:eastAsia="en-GB"/>
        </w:rPr>
      </w:pPr>
      <w:r w:rsidRPr="00AB26B5">
        <w:rPr>
          <w:lang w:val="en-GB" w:eastAsia="en-GB"/>
        </w:rPr>
        <w:t>Authorised by the Victorian Government, Melbourne.</w:t>
      </w:r>
    </w:p>
    <w:p w:rsidR="00AB26B5" w:rsidRPr="00AB26B5" w:rsidRDefault="00AB26B5" w:rsidP="00AB26B5">
      <w:pPr>
        <w:rPr>
          <w:lang w:val="en-GB" w:eastAsia="en-GB"/>
        </w:rPr>
      </w:pPr>
      <w:r w:rsidRPr="00AB26B5">
        <w:rPr>
          <w:lang w:val="en-GB" w:eastAsia="en-GB"/>
        </w:rPr>
        <w:t>Designed by DEDJTR Design Studio</w:t>
      </w:r>
    </w:p>
    <w:p w:rsidR="00AB26B5" w:rsidRDefault="00AB26B5" w:rsidP="00AB26B5">
      <w:pPr>
        <w:rPr>
          <w:lang w:val="en-GB" w:eastAsia="en-GB"/>
        </w:rPr>
      </w:pPr>
      <w:r w:rsidRPr="00AB26B5">
        <w:rPr>
          <w:lang w:val="en-GB" w:eastAsia="en-GB"/>
        </w:rPr>
        <w:t>ISBN 978-1-925629-62-0 (pdf/online)</w:t>
      </w:r>
    </w:p>
    <w:p w:rsidR="0028586F" w:rsidRPr="0028586F" w:rsidRDefault="004E6C55" w:rsidP="00173517">
      <w:pPr>
        <w:pStyle w:val="Heading1"/>
        <w:rPr>
          <w:lang w:val="en-GB" w:eastAsia="en-GB"/>
        </w:rPr>
      </w:pPr>
      <w:bookmarkStart w:id="1" w:name="_Toc487638928"/>
      <w:r>
        <w:rPr>
          <w:lang w:val="en-GB" w:eastAsia="en-GB"/>
        </w:rPr>
        <w:br w:type="page"/>
      </w:r>
      <w:r w:rsidR="0028586F" w:rsidRPr="0028586F">
        <w:rPr>
          <w:lang w:val="en-GB" w:eastAsia="en-GB"/>
        </w:rPr>
        <w:lastRenderedPageBreak/>
        <w:t>Ministers’ Foreword</w:t>
      </w:r>
      <w:bookmarkEnd w:id="1"/>
    </w:p>
    <w:p w:rsidR="0028586F" w:rsidRPr="0028586F" w:rsidRDefault="0028586F" w:rsidP="00173517">
      <w:pPr>
        <w:rPr>
          <w:lang w:val="en-GB" w:eastAsia="en-GB"/>
        </w:rPr>
      </w:pPr>
      <w:r w:rsidRPr="0028586F">
        <w:rPr>
          <w:lang w:val="en-GB" w:eastAsia="en-GB"/>
        </w:rPr>
        <w:t>We are pleased to present the Victorian Government’s first State of the Sector overview for medical technologies and pharmaceuticals. Medical technologies and pharmaceuticals is a growth sector vital to the future economic prosperity of Victoria and a source of employment for Victorians.</w:t>
      </w:r>
    </w:p>
    <w:p w:rsidR="0028586F" w:rsidRPr="0028586F" w:rsidRDefault="0028586F" w:rsidP="00173517">
      <w:pPr>
        <w:rPr>
          <w:lang w:val="en-GB" w:eastAsia="en-GB"/>
        </w:rPr>
      </w:pPr>
      <w:r w:rsidRPr="0028586F">
        <w:rPr>
          <w:lang w:val="en-GB" w:eastAsia="en-GB"/>
        </w:rPr>
        <w:t>Innovation is critical to developing new sources of growth through creation of new businesses, new jobs and increased productivity. The medical technologies</w:t>
      </w:r>
      <w:r w:rsidR="00173517">
        <w:rPr>
          <w:lang w:val="en-GB" w:eastAsia="en-GB"/>
        </w:rPr>
        <w:t xml:space="preserve"> </w:t>
      </w:r>
      <w:r w:rsidRPr="0028586F">
        <w:rPr>
          <w:lang w:val="en-GB" w:eastAsia="en-GB"/>
        </w:rPr>
        <w:t>and pharmaceuticals sector provides Victoria with a springboard for innovation-based opportunities.</w:t>
      </w:r>
    </w:p>
    <w:p w:rsidR="0028586F" w:rsidRPr="0028586F" w:rsidRDefault="0028586F" w:rsidP="00173517">
      <w:pPr>
        <w:rPr>
          <w:lang w:val="en-GB" w:eastAsia="en-GB"/>
        </w:rPr>
      </w:pPr>
      <w:r w:rsidRPr="0028586F">
        <w:rPr>
          <w:lang w:val="en-GB" w:eastAsia="en-GB"/>
        </w:rPr>
        <w:t xml:space="preserve">Since the release of the Victorian Government’s </w:t>
      </w:r>
      <w:r w:rsidRPr="00173517">
        <w:rPr>
          <w:i/>
        </w:rPr>
        <w:t>Medical Technologies and Pharmaceuticals Sector Strategy</w:t>
      </w:r>
      <w:r w:rsidRPr="0028586F">
        <w:rPr>
          <w:lang w:val="en-GB" w:eastAsia="en-GB"/>
        </w:rPr>
        <w:t>, we have provided key support to industry and manufacturing through the Future Industries Fund. This has included funding for BioCurate and the Medicines Manufacturing Innovation Centre to accelerate the development and commercialisation of new medicines, and further boost Victoria's pharmaceutical manufacturing capability. It has also included provision of grants to a range of Victorian medtech and pharmaceutical manufacturers such as Medical Developments International, Komipharm and DorsaVi. We have also commissioned the first comprehensive analysis of this important sector, culminating in this report.</w:t>
      </w:r>
    </w:p>
    <w:p w:rsidR="0028586F" w:rsidRPr="0028586F" w:rsidRDefault="0028586F" w:rsidP="00173517">
      <w:pPr>
        <w:rPr>
          <w:lang w:val="en-GB" w:eastAsia="en-GB"/>
        </w:rPr>
      </w:pPr>
      <w:r w:rsidRPr="0028586F">
        <w:rPr>
          <w:lang w:val="en-GB" w:eastAsia="en-GB"/>
        </w:rPr>
        <w:t>Australia is one of the world’s leading locations for the development and manufacture of medical technologies, biotechnologies and pharmaceuticals.</w:t>
      </w:r>
    </w:p>
    <w:p w:rsidR="0028586F" w:rsidRPr="0028586F" w:rsidRDefault="0028586F" w:rsidP="00173517">
      <w:pPr>
        <w:rPr>
          <w:lang w:val="en-GB" w:eastAsia="en-GB"/>
        </w:rPr>
      </w:pPr>
      <w:r w:rsidRPr="0028586F">
        <w:rPr>
          <w:lang w:val="en-GB" w:eastAsia="en-GB"/>
        </w:rPr>
        <w:t>Victoria is at the epicentre of this dynamic sector, employing more than 23,000 people, and generating over $12.7 billion in revenue. The sector contributes over $1.35 billion in exports to the Victorian economy, a figure which has doubled since 2011.</w:t>
      </w:r>
    </w:p>
    <w:p w:rsidR="0028586F" w:rsidRPr="0028586F" w:rsidRDefault="0028586F" w:rsidP="00173517">
      <w:pPr>
        <w:rPr>
          <w:lang w:val="en-GB" w:eastAsia="en-GB"/>
        </w:rPr>
      </w:pPr>
      <w:r w:rsidRPr="0028586F">
        <w:rPr>
          <w:lang w:val="en-GB" w:eastAsia="en-GB"/>
        </w:rPr>
        <w:t>Melbourne has a reputation as the leading hub for Australia’s medical technologies industry. The biomedical engineering expertise in the State builds on a long tradition in automotive, aerospace and general manufacturing expertise and is enhanced by significant capabilities in advanced, additive and bio-manufacturing.</w:t>
      </w:r>
    </w:p>
    <w:p w:rsidR="0028586F" w:rsidRPr="0028586F" w:rsidRDefault="0028586F" w:rsidP="00173517">
      <w:pPr>
        <w:rPr>
          <w:lang w:val="en-GB" w:eastAsia="en-GB"/>
        </w:rPr>
      </w:pPr>
      <w:r w:rsidRPr="0028586F">
        <w:rPr>
          <w:lang w:val="en-GB" w:eastAsia="en-GB"/>
        </w:rPr>
        <w:t>With global health care spending projected to grow by over four per cent per year, there is an urgent need for new technologies, goods and services that will improve patient care. This is an enormous and continued economic opportunity for Victoria.</w:t>
      </w:r>
    </w:p>
    <w:p w:rsidR="0028586F" w:rsidRPr="0028586F" w:rsidRDefault="0028586F" w:rsidP="00173517">
      <w:pPr>
        <w:rPr>
          <w:lang w:val="en-GB" w:eastAsia="en-GB"/>
        </w:rPr>
      </w:pPr>
      <w:r w:rsidRPr="0028586F">
        <w:rPr>
          <w:lang w:val="en-GB" w:eastAsia="en-GB"/>
        </w:rPr>
        <w:t>This State of the Sector report demonstrates that the sector’s economic impact is significant and positive. This publication provides us with a better understanding of how the sector is growing and will enable the Victorian Government and the sector to measure our efforts and better understand where we need to direct our energy. Continuing to grow the medical technologies and pharmaceuticals sector will create rewarding, high value, secure jobs for Victorians and help us play a key role in improving health and wellbeing worldwide.</w:t>
      </w:r>
    </w:p>
    <w:p w:rsidR="0028586F" w:rsidRPr="00173517" w:rsidRDefault="0028586F" w:rsidP="00173517">
      <w:r w:rsidRPr="00173517">
        <w:rPr>
          <w:b/>
        </w:rPr>
        <w:t>Wade Noonan</w:t>
      </w:r>
      <w:r w:rsidRPr="00173517">
        <w:rPr>
          <w:b/>
        </w:rPr>
        <w:br/>
      </w:r>
      <w:r w:rsidRPr="00173517">
        <w:t>Minister for Industry</w:t>
      </w:r>
      <w:r w:rsidR="00173517">
        <w:t xml:space="preserve"> </w:t>
      </w:r>
      <w:r w:rsidRPr="00173517">
        <w:t>and Employment</w:t>
      </w:r>
    </w:p>
    <w:p w:rsidR="0028586F" w:rsidRPr="00173517" w:rsidRDefault="0028586F" w:rsidP="00173517">
      <w:r w:rsidRPr="00173517">
        <w:rPr>
          <w:b/>
        </w:rPr>
        <w:t>Jill Hennessy</w:t>
      </w:r>
      <w:r w:rsidRPr="00173517">
        <w:br/>
        <w:t>Minister for Health</w:t>
      </w:r>
    </w:p>
    <w:p w:rsidR="004E6C55" w:rsidRDefault="0028586F" w:rsidP="004E6C55">
      <w:pPr>
        <w:spacing w:after="0"/>
        <w:rPr>
          <w:b/>
        </w:rPr>
      </w:pPr>
      <w:r w:rsidRPr="00173517">
        <w:rPr>
          <w:b/>
        </w:rPr>
        <w:t>Philip Dalidakis</w:t>
      </w:r>
      <w:r w:rsidR="004E6C55">
        <w:rPr>
          <w:b/>
        </w:rPr>
        <w:t xml:space="preserve"> </w:t>
      </w:r>
    </w:p>
    <w:p w:rsidR="0028586F" w:rsidRPr="00173517" w:rsidRDefault="0028586F" w:rsidP="00173517">
      <w:r w:rsidRPr="00173517">
        <w:t>Minister for Small Business, Innovation and Trade</w:t>
      </w:r>
    </w:p>
    <w:p w:rsidR="0028586F" w:rsidRPr="0028586F" w:rsidRDefault="004E6C55" w:rsidP="00173517">
      <w:pPr>
        <w:pStyle w:val="Heading1"/>
        <w:rPr>
          <w:lang w:val="en-GB" w:eastAsia="en-GB"/>
        </w:rPr>
      </w:pPr>
      <w:bookmarkStart w:id="2" w:name="_Toc487638929"/>
      <w:r>
        <w:rPr>
          <w:lang w:val="en-GB" w:eastAsia="en-GB"/>
        </w:rPr>
        <w:br w:type="page"/>
      </w:r>
      <w:r w:rsidR="0028586F" w:rsidRPr="0028586F">
        <w:rPr>
          <w:lang w:val="en-GB" w:eastAsia="en-GB"/>
        </w:rPr>
        <w:lastRenderedPageBreak/>
        <w:t>Introduction</w:t>
      </w:r>
      <w:bookmarkEnd w:id="2"/>
    </w:p>
    <w:p w:rsidR="0028586F" w:rsidRPr="0028586F" w:rsidRDefault="0028586F" w:rsidP="00173517">
      <w:pPr>
        <w:rPr>
          <w:lang w:val="en-GB" w:eastAsia="en-GB"/>
        </w:rPr>
      </w:pPr>
      <w:r w:rsidRPr="0028586F">
        <w:rPr>
          <w:lang w:val="en-GB" w:eastAsia="en-GB"/>
        </w:rPr>
        <w:t>This report brings together four sources of data:</w:t>
      </w:r>
    </w:p>
    <w:p w:rsidR="0028586F" w:rsidRPr="0028586F" w:rsidRDefault="0028586F" w:rsidP="00173517">
      <w:pPr>
        <w:pStyle w:val="TableBullet"/>
        <w:rPr>
          <w:lang w:val="en-GB" w:eastAsia="en-GB"/>
        </w:rPr>
      </w:pPr>
      <w:r w:rsidRPr="0028586F">
        <w:rPr>
          <w:lang w:val="en-GB" w:eastAsia="en-GB"/>
        </w:rPr>
        <w:t>an analysis of the economic impact of the medtech and pharmaceuticals sector on the Victoria economy, conducted by the Centre for Transformative Innovation (CTI) at Swinburne University, utilising BLADE data;</w:t>
      </w:r>
      <w:r w:rsidR="00451C74">
        <w:rPr>
          <w:rStyle w:val="FootnoteReference"/>
          <w:lang w:val="en-GB" w:eastAsia="en-GB"/>
        </w:rPr>
        <w:footnoteReference w:id="1"/>
      </w:r>
    </w:p>
    <w:p w:rsidR="0028586F" w:rsidRPr="0028586F" w:rsidRDefault="0028586F" w:rsidP="00173517">
      <w:pPr>
        <w:pStyle w:val="TableBullet"/>
        <w:rPr>
          <w:lang w:val="en-GB" w:eastAsia="en-GB"/>
        </w:rPr>
      </w:pPr>
      <w:r w:rsidRPr="0028586F">
        <w:rPr>
          <w:lang w:val="en-GB" w:eastAsia="en-GB"/>
        </w:rPr>
        <w:t>annual survey data, compiled by Blake Industry and Market Analysis Pty. Ltd.;</w:t>
      </w:r>
    </w:p>
    <w:p w:rsidR="0028586F" w:rsidRPr="0028586F" w:rsidRDefault="0028586F" w:rsidP="00173517">
      <w:pPr>
        <w:pStyle w:val="TableBullet"/>
        <w:rPr>
          <w:lang w:val="en-GB" w:eastAsia="en-GB"/>
        </w:rPr>
      </w:pPr>
      <w:r w:rsidRPr="0028586F">
        <w:rPr>
          <w:lang w:val="en-GB" w:eastAsia="en-GB"/>
        </w:rPr>
        <w:t>market capitalisation information, sourced from the ASX; and</w:t>
      </w:r>
    </w:p>
    <w:p w:rsidR="0028586F" w:rsidRPr="0028586F" w:rsidRDefault="0028586F" w:rsidP="00173517">
      <w:pPr>
        <w:pStyle w:val="TableBullet"/>
        <w:rPr>
          <w:lang w:val="en-GB" w:eastAsia="en-GB"/>
        </w:rPr>
      </w:pPr>
      <w:r w:rsidRPr="0028586F">
        <w:rPr>
          <w:lang w:val="en-GB" w:eastAsia="en-GB"/>
        </w:rPr>
        <w:t>export commodity trade data, sourced from the IHS Global Trade Atlas.</w:t>
      </w:r>
    </w:p>
    <w:p w:rsidR="0028586F" w:rsidRPr="00173517" w:rsidRDefault="0028586F" w:rsidP="00173517">
      <w:pPr>
        <w:rPr>
          <w:lang w:val="en-GB" w:eastAsia="en-GB"/>
        </w:rPr>
      </w:pPr>
      <w:r w:rsidRPr="0028586F">
        <w:rPr>
          <w:lang w:val="en-GB" w:eastAsia="en-GB"/>
        </w:rPr>
        <w:t xml:space="preserve">This publication provides a summary of the results of these reports, together with proprietary government department data as appropriate. </w:t>
      </w:r>
      <w:r w:rsidRPr="00173517">
        <w:rPr>
          <w:lang w:val="en-GB" w:eastAsia="en-GB"/>
        </w:rPr>
        <w:t xml:space="preserve">Notes on the </w:t>
      </w:r>
      <w:r w:rsidR="00173517" w:rsidRPr="00173517">
        <w:t xml:space="preserve">methodology can be found at the </w:t>
      </w:r>
      <w:r w:rsidRPr="00173517">
        <w:rPr>
          <w:lang w:val="en-GB" w:eastAsia="en-GB"/>
        </w:rPr>
        <w:t>end of this report.</w:t>
      </w:r>
    </w:p>
    <w:p w:rsidR="0028586F" w:rsidRPr="0028586F" w:rsidRDefault="0028586F" w:rsidP="00173517">
      <w:pPr>
        <w:pStyle w:val="Heading1"/>
        <w:rPr>
          <w:lang w:val="en-GB" w:eastAsia="en-GB"/>
        </w:rPr>
      </w:pPr>
      <w:bookmarkStart w:id="3" w:name="_Toc487638930"/>
      <w:r w:rsidRPr="0028586F">
        <w:rPr>
          <w:lang w:val="en-GB" w:eastAsia="en-GB"/>
        </w:rPr>
        <w:t>Key findings</w:t>
      </w:r>
      <w:bookmarkEnd w:id="3"/>
    </w:p>
    <w:p w:rsidR="0028586F" w:rsidRPr="0028586F" w:rsidRDefault="0028586F" w:rsidP="004E6032">
      <w:pPr>
        <w:pStyle w:val="Heading2"/>
        <w:rPr>
          <w:lang w:val="en-GB" w:eastAsia="en-GB"/>
        </w:rPr>
      </w:pPr>
      <w:bookmarkStart w:id="4" w:name="_Toc487638931"/>
      <w:r w:rsidRPr="0028586F">
        <w:rPr>
          <w:lang w:val="en-GB" w:eastAsia="en-GB"/>
        </w:rPr>
        <w:t>In 2013-14, the Sector generated $12.7 billion in revenue and employed 23,000 people.</w:t>
      </w:r>
      <w:bookmarkEnd w:id="4"/>
    </w:p>
    <w:p w:rsidR="0028586F" w:rsidRPr="0028586F" w:rsidRDefault="0028586F" w:rsidP="00CB68C2">
      <w:pPr>
        <w:rPr>
          <w:lang w:val="en-GB" w:eastAsia="en-GB"/>
        </w:rPr>
      </w:pPr>
      <w:r w:rsidRPr="0028586F">
        <w:rPr>
          <w:lang w:val="en-GB" w:eastAsia="en-GB"/>
        </w:rPr>
        <w:t>The following table provides a summary of the sector metrics:</w:t>
      </w:r>
    </w:p>
    <w:p w:rsidR="0028586F" w:rsidRPr="00CB68C2" w:rsidRDefault="0028586F" w:rsidP="00CB68C2">
      <w:pPr>
        <w:rPr>
          <w:b/>
          <w:lang w:val="en-GB" w:eastAsia="en-GB"/>
        </w:rPr>
      </w:pPr>
      <w:r w:rsidRPr="00CB68C2">
        <w:rPr>
          <w:b/>
          <w:lang w:val="en-GB" w:eastAsia="en-GB"/>
        </w:rPr>
        <w:t>Table 1. Summary of sector metrics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1"/>
        <w:gridCol w:w="1850"/>
      </w:tblGrid>
      <w:tr w:rsidR="0028586F" w:rsidRPr="0028586F" w:rsidTr="00FD1D96">
        <w:tc>
          <w:tcPr>
            <w:tcW w:w="0" w:type="auto"/>
            <w:shd w:val="clear" w:color="auto" w:fill="auto"/>
            <w:hideMark/>
          </w:tcPr>
          <w:p w:rsidR="0028586F" w:rsidRPr="00FD1D96" w:rsidRDefault="0028586F" w:rsidP="00FD1D96">
            <w:pPr>
              <w:rPr>
                <w:lang w:val="en-GB" w:eastAsia="en-GB"/>
              </w:rPr>
            </w:pPr>
            <w:r w:rsidRPr="00FD1D96">
              <w:rPr>
                <w:lang w:val="en-GB" w:eastAsia="en-GB"/>
              </w:rPr>
              <w:t>Sector revenue</w:t>
            </w:r>
          </w:p>
        </w:tc>
        <w:tc>
          <w:tcPr>
            <w:tcW w:w="0" w:type="auto"/>
            <w:shd w:val="clear" w:color="auto" w:fill="auto"/>
            <w:hideMark/>
          </w:tcPr>
          <w:p w:rsidR="0028586F" w:rsidRPr="00FD1D96" w:rsidRDefault="0028586F" w:rsidP="00FD1D96">
            <w:pPr>
              <w:rPr>
                <w:lang w:val="en-GB" w:eastAsia="en-GB"/>
              </w:rPr>
            </w:pPr>
            <w:r w:rsidRPr="00FD1D96">
              <w:rPr>
                <w:lang w:val="en-GB" w:eastAsia="en-GB"/>
              </w:rPr>
              <w:t>$12.7 billion</w:t>
            </w:r>
          </w:p>
        </w:tc>
      </w:tr>
      <w:tr w:rsidR="0028586F" w:rsidRPr="0028586F" w:rsidTr="00FD1D96">
        <w:tc>
          <w:tcPr>
            <w:tcW w:w="0" w:type="auto"/>
            <w:shd w:val="clear" w:color="auto" w:fill="auto"/>
            <w:hideMark/>
          </w:tcPr>
          <w:p w:rsidR="0028586F" w:rsidRPr="00FD1D96" w:rsidRDefault="0028586F" w:rsidP="00CB68C2">
            <w:pPr>
              <w:rPr>
                <w:lang w:val="en-GB" w:eastAsia="en-GB"/>
              </w:rPr>
            </w:pPr>
            <w:r w:rsidRPr="00FD1D96">
              <w:rPr>
                <w:lang w:val="en-GB" w:eastAsia="en-GB"/>
              </w:rPr>
              <w:t>Sector-value added</w:t>
            </w:r>
          </w:p>
        </w:tc>
        <w:tc>
          <w:tcPr>
            <w:tcW w:w="0" w:type="auto"/>
            <w:shd w:val="clear" w:color="auto" w:fill="auto"/>
            <w:hideMark/>
          </w:tcPr>
          <w:p w:rsidR="0028586F" w:rsidRPr="00FD1D96" w:rsidRDefault="0028586F" w:rsidP="00FD1D96">
            <w:pPr>
              <w:rPr>
                <w:lang w:val="en-GB" w:eastAsia="en-GB"/>
              </w:rPr>
            </w:pPr>
            <w:r w:rsidRPr="00FD1D96">
              <w:rPr>
                <w:lang w:val="en-GB" w:eastAsia="en-GB"/>
              </w:rPr>
              <w:t>$2.2 billion</w:t>
            </w:r>
          </w:p>
        </w:tc>
      </w:tr>
      <w:tr w:rsidR="0028586F" w:rsidRPr="0028586F" w:rsidTr="00FD1D96">
        <w:tc>
          <w:tcPr>
            <w:tcW w:w="0" w:type="auto"/>
            <w:shd w:val="clear" w:color="auto" w:fill="auto"/>
            <w:hideMark/>
          </w:tcPr>
          <w:p w:rsidR="0028586F" w:rsidRPr="00FD1D96" w:rsidRDefault="0028586F" w:rsidP="00CB68C2">
            <w:pPr>
              <w:rPr>
                <w:lang w:val="en-GB" w:eastAsia="en-GB"/>
              </w:rPr>
            </w:pPr>
            <w:r w:rsidRPr="00FD1D96">
              <w:rPr>
                <w:lang w:val="en-GB" w:eastAsia="en-GB"/>
              </w:rPr>
              <w:t>Exports</w:t>
            </w:r>
          </w:p>
        </w:tc>
        <w:tc>
          <w:tcPr>
            <w:tcW w:w="0" w:type="auto"/>
            <w:shd w:val="clear" w:color="auto" w:fill="auto"/>
            <w:hideMark/>
          </w:tcPr>
          <w:p w:rsidR="0028586F" w:rsidRPr="00FD1D96" w:rsidRDefault="0028586F" w:rsidP="00FD1D96">
            <w:pPr>
              <w:rPr>
                <w:lang w:val="en-GB" w:eastAsia="en-GB"/>
              </w:rPr>
            </w:pPr>
            <w:r w:rsidRPr="00FD1D96">
              <w:rPr>
                <w:lang w:val="en-GB" w:eastAsia="en-GB"/>
              </w:rPr>
              <w:t>$1.35 billion</w:t>
            </w:r>
            <w:r w:rsidR="00451C74" w:rsidRPr="00FD1D96">
              <w:rPr>
                <w:rStyle w:val="FootnoteReference"/>
                <w:lang w:val="en-GB" w:eastAsia="en-GB"/>
              </w:rPr>
              <w:footnoteReference w:id="2"/>
            </w:r>
          </w:p>
        </w:tc>
      </w:tr>
      <w:tr w:rsidR="0028586F" w:rsidRPr="0028586F" w:rsidTr="00FD1D96">
        <w:tc>
          <w:tcPr>
            <w:tcW w:w="0" w:type="auto"/>
            <w:shd w:val="clear" w:color="auto" w:fill="auto"/>
            <w:hideMark/>
          </w:tcPr>
          <w:p w:rsidR="0028586F" w:rsidRPr="00FD1D96" w:rsidRDefault="0028586F" w:rsidP="00CB68C2">
            <w:pPr>
              <w:rPr>
                <w:lang w:val="en-GB" w:eastAsia="en-GB"/>
              </w:rPr>
            </w:pPr>
            <w:r w:rsidRPr="00FD1D96">
              <w:rPr>
                <w:lang w:val="en-GB" w:eastAsia="en-GB"/>
              </w:rPr>
              <w:t>Percentage of Victoria's total state exports</w:t>
            </w:r>
          </w:p>
        </w:tc>
        <w:tc>
          <w:tcPr>
            <w:tcW w:w="0" w:type="auto"/>
            <w:shd w:val="clear" w:color="auto" w:fill="auto"/>
            <w:hideMark/>
          </w:tcPr>
          <w:p w:rsidR="0028586F" w:rsidRPr="00FD1D96" w:rsidRDefault="0028586F" w:rsidP="00FD1D96">
            <w:pPr>
              <w:rPr>
                <w:lang w:val="en-GB" w:eastAsia="en-GB"/>
              </w:rPr>
            </w:pPr>
            <w:r w:rsidRPr="00FD1D96">
              <w:rPr>
                <w:lang w:val="en-GB" w:eastAsia="en-GB"/>
              </w:rPr>
              <w:t>3.5 per cent</w:t>
            </w:r>
          </w:p>
        </w:tc>
      </w:tr>
      <w:tr w:rsidR="0028586F" w:rsidRPr="0028586F" w:rsidTr="00FD1D96">
        <w:tc>
          <w:tcPr>
            <w:tcW w:w="0" w:type="auto"/>
            <w:shd w:val="clear" w:color="auto" w:fill="auto"/>
            <w:hideMark/>
          </w:tcPr>
          <w:p w:rsidR="0028586F" w:rsidRPr="00FD1D96" w:rsidRDefault="0028586F" w:rsidP="00CB68C2">
            <w:pPr>
              <w:rPr>
                <w:lang w:val="en-GB" w:eastAsia="en-GB"/>
              </w:rPr>
            </w:pPr>
            <w:r w:rsidRPr="00FD1D96">
              <w:rPr>
                <w:lang w:val="en-GB" w:eastAsia="en-GB"/>
              </w:rPr>
              <w:t>Total capital investment</w:t>
            </w:r>
          </w:p>
        </w:tc>
        <w:tc>
          <w:tcPr>
            <w:tcW w:w="0" w:type="auto"/>
            <w:shd w:val="clear" w:color="auto" w:fill="auto"/>
            <w:hideMark/>
          </w:tcPr>
          <w:p w:rsidR="0028586F" w:rsidRPr="00FD1D96" w:rsidRDefault="0028586F" w:rsidP="00FD1D96">
            <w:pPr>
              <w:rPr>
                <w:lang w:val="en-GB" w:eastAsia="en-GB"/>
              </w:rPr>
            </w:pPr>
            <w:r w:rsidRPr="00FD1D96">
              <w:rPr>
                <w:lang w:val="en-GB" w:eastAsia="en-GB"/>
              </w:rPr>
              <w:t>$276 million</w:t>
            </w:r>
          </w:p>
        </w:tc>
      </w:tr>
      <w:tr w:rsidR="0028586F" w:rsidRPr="0028586F" w:rsidTr="00FD1D96">
        <w:tc>
          <w:tcPr>
            <w:tcW w:w="0" w:type="auto"/>
            <w:shd w:val="clear" w:color="auto" w:fill="auto"/>
            <w:hideMark/>
          </w:tcPr>
          <w:p w:rsidR="0028586F" w:rsidRPr="00FD1D96" w:rsidRDefault="0028586F" w:rsidP="00CB68C2">
            <w:pPr>
              <w:rPr>
                <w:lang w:val="en-GB" w:eastAsia="en-GB"/>
              </w:rPr>
            </w:pPr>
            <w:r w:rsidRPr="00FD1D96">
              <w:rPr>
                <w:lang w:val="en-GB" w:eastAsia="en-GB"/>
              </w:rPr>
              <w:t>Number of employees</w:t>
            </w:r>
          </w:p>
        </w:tc>
        <w:tc>
          <w:tcPr>
            <w:tcW w:w="0" w:type="auto"/>
            <w:shd w:val="clear" w:color="auto" w:fill="auto"/>
            <w:hideMark/>
          </w:tcPr>
          <w:p w:rsidR="0028586F" w:rsidRPr="00FD1D96" w:rsidRDefault="0028586F" w:rsidP="00FD1D96">
            <w:pPr>
              <w:rPr>
                <w:lang w:val="en-GB" w:eastAsia="en-GB"/>
              </w:rPr>
            </w:pPr>
            <w:r w:rsidRPr="00FD1D96">
              <w:rPr>
                <w:lang w:val="en-GB" w:eastAsia="en-GB"/>
              </w:rPr>
              <w:t xml:space="preserve">23,000 employees </w:t>
            </w:r>
            <w:r w:rsidRPr="00FD1D96">
              <w:rPr>
                <w:lang w:val="en-GB" w:eastAsia="en-GB"/>
              </w:rPr>
              <w:br/>
              <w:t>(18,000 FTE)</w:t>
            </w:r>
          </w:p>
        </w:tc>
      </w:tr>
      <w:tr w:rsidR="0028586F" w:rsidRPr="0028586F" w:rsidTr="00FD1D96">
        <w:tc>
          <w:tcPr>
            <w:tcW w:w="0" w:type="auto"/>
            <w:shd w:val="clear" w:color="auto" w:fill="auto"/>
            <w:hideMark/>
          </w:tcPr>
          <w:p w:rsidR="0028586F" w:rsidRPr="00FD1D96" w:rsidRDefault="0028586F" w:rsidP="00CB68C2">
            <w:pPr>
              <w:rPr>
                <w:lang w:val="en-GB" w:eastAsia="en-GB"/>
              </w:rPr>
            </w:pPr>
            <w:r w:rsidRPr="00FD1D96">
              <w:rPr>
                <w:lang w:val="en-GB" w:eastAsia="en-GB"/>
              </w:rPr>
              <w:t>Average wage of employees</w:t>
            </w:r>
          </w:p>
        </w:tc>
        <w:tc>
          <w:tcPr>
            <w:tcW w:w="0" w:type="auto"/>
            <w:shd w:val="clear" w:color="auto" w:fill="auto"/>
            <w:hideMark/>
          </w:tcPr>
          <w:p w:rsidR="0028586F" w:rsidRPr="00FD1D96" w:rsidRDefault="0028586F" w:rsidP="00FD1D96">
            <w:pPr>
              <w:rPr>
                <w:lang w:val="en-GB" w:eastAsia="en-GB"/>
              </w:rPr>
            </w:pPr>
            <w:r w:rsidRPr="00FD1D96">
              <w:rPr>
                <w:lang w:val="en-GB" w:eastAsia="en-GB"/>
              </w:rPr>
              <w:t>$74,000 /employee</w:t>
            </w:r>
          </w:p>
        </w:tc>
      </w:tr>
    </w:tbl>
    <w:p w:rsidR="0028586F" w:rsidRPr="00CB68C2" w:rsidRDefault="0028586F" w:rsidP="00CB68C2">
      <w:pPr>
        <w:rPr>
          <w:i/>
          <w:lang w:val="en-GB" w:eastAsia="en-GB"/>
        </w:rPr>
      </w:pPr>
      <w:r w:rsidRPr="00CB68C2">
        <w:rPr>
          <w:i/>
          <w:lang w:val="en-GB" w:eastAsia="en-GB"/>
        </w:rPr>
        <w:t>Source: Centre for Transformative Innovation</w:t>
      </w:r>
    </w:p>
    <w:p w:rsidR="0028586F" w:rsidRPr="0028586F" w:rsidRDefault="0028586F" w:rsidP="004E6032">
      <w:pPr>
        <w:pStyle w:val="Heading2"/>
        <w:rPr>
          <w:lang w:val="en-GB" w:eastAsia="en-GB"/>
        </w:rPr>
      </w:pPr>
      <w:bookmarkStart w:id="5" w:name="_Toc487638932"/>
      <w:r w:rsidRPr="0028586F">
        <w:rPr>
          <w:lang w:val="en-GB" w:eastAsia="en-GB"/>
        </w:rPr>
        <w:t>Describing and defining the sector</w:t>
      </w:r>
      <w:bookmarkEnd w:id="5"/>
      <w:r w:rsidRPr="0028586F">
        <w:rPr>
          <w:lang w:val="en-GB" w:eastAsia="en-GB"/>
        </w:rPr>
        <w:t> </w:t>
      </w:r>
    </w:p>
    <w:p w:rsidR="0028586F" w:rsidRPr="0028586F" w:rsidRDefault="0028586F" w:rsidP="00BE1C08">
      <w:pPr>
        <w:rPr>
          <w:lang w:val="en-GB" w:eastAsia="en-GB"/>
        </w:rPr>
      </w:pPr>
      <w:r w:rsidRPr="0028586F">
        <w:rPr>
          <w:lang w:val="en-GB" w:eastAsia="en-GB"/>
        </w:rPr>
        <w:t>For the purposes of this report the sector is defined as firms engaged in the following activities:</w:t>
      </w:r>
    </w:p>
    <w:p w:rsidR="0028586F" w:rsidRPr="00BE1C08" w:rsidRDefault="0028586F" w:rsidP="00BE1C08">
      <w:r w:rsidRPr="00BE1C08">
        <w:lastRenderedPageBreak/>
        <w:t xml:space="preserve">1. </w:t>
      </w:r>
      <w:r w:rsidRPr="00BE1C08">
        <w:tab/>
        <w:t>Pharmaceutical manufacturing and development</w:t>
      </w:r>
    </w:p>
    <w:p w:rsidR="0028586F" w:rsidRPr="00BE1C08" w:rsidRDefault="0028586F" w:rsidP="00BE1C08">
      <w:r w:rsidRPr="00BE1C08">
        <w:t xml:space="preserve">2. </w:t>
      </w:r>
      <w:r w:rsidRPr="00BE1C08">
        <w:tab/>
        <w:t>Life science and biotechnology manufacturing and development</w:t>
      </w:r>
    </w:p>
    <w:p w:rsidR="0028586F" w:rsidRPr="00BE1C08" w:rsidRDefault="0028586F" w:rsidP="00BE1C08">
      <w:r w:rsidRPr="00BE1C08">
        <w:t xml:space="preserve">3. </w:t>
      </w:r>
      <w:r w:rsidRPr="00BE1C08">
        <w:tab/>
        <w:t>Medical technology manufacturing and development</w:t>
      </w:r>
    </w:p>
    <w:p w:rsidR="0028586F" w:rsidRPr="00BE1C08" w:rsidRDefault="0028586F" w:rsidP="00BE1C08">
      <w:r w:rsidRPr="00BE1C08">
        <w:t xml:space="preserve">4. </w:t>
      </w:r>
      <w:r w:rsidRPr="00BE1C08">
        <w:tab/>
        <w:t>Vitamins, supplements and topical product manufacturing and development</w:t>
      </w:r>
    </w:p>
    <w:p w:rsidR="0028586F" w:rsidRPr="00BE1C08" w:rsidRDefault="0028586F" w:rsidP="00BE1C08">
      <w:r w:rsidRPr="00BE1C08">
        <w:t xml:space="preserve">5. </w:t>
      </w:r>
      <w:r w:rsidRPr="00BE1C08">
        <w:tab/>
        <w:t>Service providers – contract research organisations, clinical trial providers, etc.</w:t>
      </w:r>
    </w:p>
    <w:p w:rsidR="0028586F" w:rsidRPr="0028586F" w:rsidRDefault="0028586F" w:rsidP="00BE1C08">
      <w:pPr>
        <w:rPr>
          <w:lang w:val="en-GB" w:eastAsia="en-GB"/>
        </w:rPr>
      </w:pPr>
      <w:r w:rsidRPr="0028586F">
        <w:rPr>
          <w:lang w:val="en-GB" w:eastAsia="en-GB"/>
        </w:rPr>
        <w:t>The sector can be defined as firms that are interconnected and that have shared success factors, supporting industries, infrastructure or labour markets. A representative sector supply chain is depicted in blue in Figure 1.</w:t>
      </w:r>
    </w:p>
    <w:p w:rsidR="0028586F" w:rsidRPr="0028586F" w:rsidRDefault="0028586F" w:rsidP="00BE1C08">
      <w:pPr>
        <w:rPr>
          <w:lang w:val="en-GB" w:eastAsia="en-GB"/>
        </w:rPr>
      </w:pPr>
      <w:r w:rsidRPr="0028586F">
        <w:rPr>
          <w:lang w:val="en-GB" w:eastAsia="en-GB"/>
        </w:rPr>
        <w:t>Firms active in the sector in Victoria may be involved in activities from basic science through to wholesale trade. Firms in the sector perform activities across a range of industry sectors defined in the Australian and New Zealand Standard Industry Classifications or ANZSIC codes.</w:t>
      </w:r>
      <w:r w:rsidR="00FE5B87">
        <w:rPr>
          <w:rStyle w:val="FootnoteReference"/>
          <w:lang w:val="en-GB" w:eastAsia="en-GB"/>
        </w:rPr>
        <w:footnoteReference w:id="3"/>
      </w:r>
      <w:r w:rsidRPr="0028586F">
        <w:rPr>
          <w:lang w:val="en-GB" w:eastAsia="en-GB"/>
        </w:rPr>
        <w:t xml:space="preserve"> Please note that relevant activity undertaken in universities and hospitals was excluded from the analysis.</w:t>
      </w:r>
      <w:r w:rsidR="00880DB9">
        <w:rPr>
          <w:rStyle w:val="FootnoteReference"/>
          <w:lang w:val="en-GB" w:eastAsia="en-GB"/>
        </w:rPr>
        <w:footnoteReference w:id="4"/>
      </w:r>
    </w:p>
    <w:p w:rsidR="0028586F" w:rsidRDefault="0028586F" w:rsidP="00BE1C08">
      <w:pPr>
        <w:rPr>
          <w:b/>
          <w:lang w:val="en-GB" w:eastAsia="en-GB"/>
        </w:rPr>
      </w:pPr>
      <w:r w:rsidRPr="00BE1C08">
        <w:rPr>
          <w:b/>
          <w:lang w:val="en-GB" w:eastAsia="en-GB"/>
        </w:rPr>
        <w:t>Figure 1. Representative sector supply chain</w:t>
      </w:r>
      <w:r w:rsidR="00890CD1">
        <w:rPr>
          <w:rStyle w:val="FootnoteReference"/>
          <w:b/>
          <w:lang w:val="en-GB" w:eastAsia="en-GB"/>
        </w:rPr>
        <w:footnoteReference w:id="5"/>
      </w:r>
    </w:p>
    <w:p w:rsidR="00890CD1" w:rsidRPr="00BE1C08" w:rsidRDefault="00664A75" w:rsidP="00BE1C08">
      <w:pPr>
        <w:rPr>
          <w:b/>
          <w:lang w:val="en-GB" w:eastAsia="en-GB"/>
        </w:rPr>
      </w:pPr>
      <w:r>
        <w:rPr>
          <w:b/>
          <w:noProof/>
          <w:lang w:val="en-AU" w:eastAsia="en-AU"/>
        </w:rPr>
        <w:drawing>
          <wp:inline distT="0" distB="0" distL="0" distR="0">
            <wp:extent cx="5850890" cy="3463925"/>
            <wp:effectExtent l="0" t="0" r="0" b="3175"/>
            <wp:docPr id="1" name="Picture 1" descr="Figure 1. Representative sector supply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Representative sector supply ch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0890" cy="3463925"/>
                    </a:xfrm>
                    <a:prstGeom prst="rect">
                      <a:avLst/>
                    </a:prstGeom>
                    <a:noFill/>
                    <a:ln>
                      <a:noFill/>
                    </a:ln>
                  </pic:spPr>
                </pic:pic>
              </a:graphicData>
            </a:graphic>
          </wp:inline>
        </w:drawing>
      </w:r>
    </w:p>
    <w:p w:rsidR="0028586F" w:rsidRPr="0028586F" w:rsidRDefault="0028586F" w:rsidP="00BE1C08">
      <w:pPr>
        <w:pStyle w:val="Heading3"/>
        <w:rPr>
          <w:lang w:val="en-GB" w:eastAsia="en-GB"/>
        </w:rPr>
      </w:pPr>
      <w:bookmarkStart w:id="6" w:name="_Toc487638933"/>
      <w:r w:rsidRPr="0028586F">
        <w:rPr>
          <w:lang w:val="en-GB" w:eastAsia="en-GB"/>
        </w:rPr>
        <w:lastRenderedPageBreak/>
        <w:t>Size and location of the sector</w:t>
      </w:r>
      <w:bookmarkEnd w:id="6"/>
    </w:p>
    <w:p w:rsidR="0028586F" w:rsidRPr="0028586F" w:rsidRDefault="0028586F" w:rsidP="00BE1C08">
      <w:pPr>
        <w:rPr>
          <w:lang w:val="en-GB" w:eastAsia="en-GB"/>
        </w:rPr>
      </w:pPr>
      <w:r w:rsidRPr="0028586F">
        <w:rPr>
          <w:lang w:val="en-GB" w:eastAsia="en-GB"/>
        </w:rPr>
        <w:t>The medical technologies and pharmaceuticals sector is largely located in the Melbourne Metropolitan area – 84 per cent of total businesses. There are a large numbers of businesses in the East, South East and CBD, with growing numbers in the West. While the sector is located primarily in greater Melbourne, there are some firms that are located in regional areas, mainly Geelong.</w:t>
      </w:r>
    </w:p>
    <w:p w:rsidR="0028586F" w:rsidRPr="0028586F" w:rsidRDefault="0028586F" w:rsidP="00BE1C08">
      <w:pPr>
        <w:rPr>
          <w:lang w:val="en-GB" w:eastAsia="en-GB"/>
        </w:rPr>
      </w:pPr>
      <w:r w:rsidRPr="0028586F">
        <w:rPr>
          <w:lang w:val="en-GB" w:eastAsia="en-GB"/>
        </w:rPr>
        <w:t>Notably, there are geographical clusters of medical technologies and pharmaceuticals sector firms. These clusters are around the inner metropolitan region, the Clayton and Monash University precinct, the Ringwood/Bayswater area, and the Dandenong/Mulgrave manufacturing precinct, see Figure 2.</w:t>
      </w:r>
    </w:p>
    <w:p w:rsidR="0028586F" w:rsidRDefault="0028586F" w:rsidP="00BE1C08">
      <w:pPr>
        <w:rPr>
          <w:b/>
        </w:rPr>
      </w:pPr>
      <w:r w:rsidRPr="00BE1C08">
        <w:rPr>
          <w:b/>
        </w:rPr>
        <w:t>Figure 2. Key medtech and pharmaceutical business locations</w:t>
      </w:r>
    </w:p>
    <w:p w:rsidR="00890CD1" w:rsidRPr="00BE1C08" w:rsidRDefault="00664A75" w:rsidP="00BE1C08">
      <w:pPr>
        <w:rPr>
          <w:b/>
        </w:rPr>
      </w:pPr>
      <w:r>
        <w:rPr>
          <w:b/>
          <w:noProof/>
          <w:lang w:val="en-AU" w:eastAsia="en-AU"/>
        </w:rPr>
        <w:drawing>
          <wp:inline distT="0" distB="0" distL="0" distR="0">
            <wp:extent cx="6036310" cy="4262120"/>
            <wp:effectExtent l="0" t="0" r="2540" b="5080"/>
            <wp:docPr id="2" name="Picture 1" descr="Figure 2. Key medtech and pharmaceutical business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Key medtech and pharmaceutical business locati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6310" cy="4262120"/>
                    </a:xfrm>
                    <a:prstGeom prst="rect">
                      <a:avLst/>
                    </a:prstGeom>
                    <a:noFill/>
                    <a:ln>
                      <a:noFill/>
                    </a:ln>
                  </pic:spPr>
                </pic:pic>
              </a:graphicData>
            </a:graphic>
          </wp:inline>
        </w:drawing>
      </w:r>
    </w:p>
    <w:p w:rsidR="0028586F" w:rsidRPr="0028586F" w:rsidRDefault="0028586F" w:rsidP="009F002A">
      <w:pPr>
        <w:pStyle w:val="Heading1"/>
        <w:rPr>
          <w:lang w:val="en-GB" w:eastAsia="en-GB"/>
        </w:rPr>
      </w:pPr>
      <w:bookmarkStart w:id="7" w:name="_Toc487638934"/>
      <w:r w:rsidRPr="0028586F">
        <w:rPr>
          <w:lang w:val="en-GB" w:eastAsia="en-GB"/>
        </w:rPr>
        <w:t>The economic impact of the sector</w:t>
      </w:r>
      <w:bookmarkEnd w:id="7"/>
    </w:p>
    <w:p w:rsidR="0028586F" w:rsidRPr="0028586F" w:rsidRDefault="0028586F" w:rsidP="009F002A">
      <w:pPr>
        <w:pStyle w:val="Heading2"/>
        <w:rPr>
          <w:lang w:val="en-GB" w:eastAsia="en-GB"/>
        </w:rPr>
      </w:pPr>
      <w:bookmarkStart w:id="8" w:name="_Toc487638935"/>
      <w:r w:rsidRPr="0028586F">
        <w:rPr>
          <w:lang w:val="en-GB" w:eastAsia="en-GB"/>
        </w:rPr>
        <w:t>Direct impact/revenue</w:t>
      </w:r>
      <w:bookmarkEnd w:id="8"/>
    </w:p>
    <w:p w:rsidR="0028586F" w:rsidRDefault="0028586F" w:rsidP="00BE1C08">
      <w:pPr>
        <w:rPr>
          <w:lang w:val="en-GB" w:eastAsia="en-GB"/>
        </w:rPr>
      </w:pPr>
      <w:r w:rsidRPr="0028586F">
        <w:rPr>
          <w:lang w:val="en-GB" w:eastAsia="en-GB"/>
        </w:rPr>
        <w:t xml:space="preserve">Revenue, operating expenses and value-added for financial years 2013-14 are depicted in Figure 3. These show sector revenue of around $12.7 billion, with an average salary of $74,000 per annum. </w:t>
      </w:r>
      <w:r w:rsidRPr="0028586F">
        <w:rPr>
          <w:spacing w:val="-2"/>
          <w:lang w:val="en-GB" w:eastAsia="en-GB"/>
        </w:rPr>
        <w:t>Operating expenses of $10.5 billion were reported, resulting in</w:t>
      </w:r>
      <w:r w:rsidRPr="0028586F">
        <w:rPr>
          <w:lang w:val="en-GB" w:eastAsia="en-GB"/>
        </w:rPr>
        <w:t xml:space="preserve"> total value add to the Victorian economy of nearly $2.2 billion.</w:t>
      </w:r>
      <w:r w:rsidR="002F6098">
        <w:rPr>
          <w:rStyle w:val="FootnoteReference"/>
          <w:lang w:val="en-GB" w:eastAsia="en-GB"/>
        </w:rPr>
        <w:footnoteReference w:id="6"/>
      </w:r>
    </w:p>
    <w:p w:rsidR="002F6098" w:rsidRPr="002F6098" w:rsidRDefault="002F6098" w:rsidP="002F6098">
      <w:pPr>
        <w:rPr>
          <w:b/>
          <w:lang w:val="en-GB" w:eastAsia="en-GB"/>
        </w:rPr>
      </w:pPr>
      <w:r w:rsidRPr="002F6098">
        <w:rPr>
          <w:b/>
          <w:lang w:val="en-GB" w:eastAsia="en-GB"/>
        </w:rPr>
        <w:lastRenderedPageBreak/>
        <w:t>Figure 3. Key economic aggregates for the sector (2013-14)</w:t>
      </w:r>
    </w:p>
    <w:p w:rsidR="002F6098" w:rsidRDefault="00664A75" w:rsidP="00BE1C08">
      <w:pPr>
        <w:rPr>
          <w:noProof/>
          <w:lang w:val="en-GB" w:eastAsia="en-GB"/>
        </w:rPr>
      </w:pPr>
      <w:r>
        <w:rPr>
          <w:noProof/>
          <w:lang w:val="en-AU" w:eastAsia="en-AU"/>
        </w:rPr>
        <w:drawing>
          <wp:inline distT="0" distB="0" distL="0" distR="0">
            <wp:extent cx="3975100" cy="2704465"/>
            <wp:effectExtent l="0" t="0" r="6350" b="0"/>
            <wp:docPr id="3" name="Picture 1" descr="Figure 3. Key economic aggregates for the sector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3. Key economic aggregates for the sector (2013-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5100" cy="2704465"/>
                    </a:xfrm>
                    <a:prstGeom prst="rect">
                      <a:avLst/>
                    </a:prstGeom>
                    <a:noFill/>
                    <a:ln>
                      <a:noFill/>
                    </a:ln>
                  </pic:spPr>
                </pic:pic>
              </a:graphicData>
            </a:graphic>
          </wp:inline>
        </w:drawing>
      </w:r>
    </w:p>
    <w:p w:rsidR="003359CE" w:rsidRPr="00FA5123" w:rsidRDefault="003359CE" w:rsidP="003359CE">
      <w:pPr>
        <w:rPr>
          <w:i/>
          <w:lang w:val="en-GB" w:eastAsia="en-GB"/>
        </w:rPr>
      </w:pPr>
      <w:r w:rsidRPr="00FA5123">
        <w:rPr>
          <w:i/>
          <w:lang w:val="en-GB" w:eastAsia="en-GB"/>
        </w:rPr>
        <w:t>Source: Centre for Transformative Innovation</w:t>
      </w:r>
    </w:p>
    <w:p w:rsidR="0028586F" w:rsidRPr="0028586F" w:rsidRDefault="0028586F" w:rsidP="009F002A">
      <w:pPr>
        <w:pStyle w:val="Heading2"/>
        <w:rPr>
          <w:lang w:val="en-GB" w:eastAsia="en-GB"/>
        </w:rPr>
      </w:pPr>
      <w:bookmarkStart w:id="9" w:name="_Toc487638936"/>
      <w:r w:rsidRPr="0028586F">
        <w:rPr>
          <w:lang w:val="en-GB" w:eastAsia="en-GB"/>
        </w:rPr>
        <w:t>Revenue</w:t>
      </w:r>
      <w:bookmarkEnd w:id="9"/>
    </w:p>
    <w:p w:rsidR="0028586F" w:rsidRDefault="0028586F" w:rsidP="00BE1C08">
      <w:pPr>
        <w:rPr>
          <w:lang w:val="en-GB" w:eastAsia="en-GB"/>
        </w:rPr>
      </w:pPr>
      <w:r w:rsidRPr="0028586F">
        <w:rPr>
          <w:lang w:val="en-GB" w:eastAsia="en-GB"/>
        </w:rPr>
        <w:t>According to Blake, revenue from Victorian companies increased 20.7 per cent in 2015, to approximately $12 billion, see Figure 4. This is broadly consistent with the findings from the Centre for Transformative Innovation.</w:t>
      </w:r>
    </w:p>
    <w:p w:rsidR="00FA5123" w:rsidRDefault="00FA5123" w:rsidP="00FA5123">
      <w:pPr>
        <w:rPr>
          <w:b/>
        </w:rPr>
      </w:pPr>
      <w:r w:rsidRPr="00FA5123">
        <w:rPr>
          <w:b/>
        </w:rPr>
        <w:t>Figure 4. Total revenue generated by Victorian companies (2015)</w:t>
      </w:r>
    </w:p>
    <w:p w:rsidR="00FA5123" w:rsidRPr="00FA5123" w:rsidRDefault="00664A75" w:rsidP="00FA5123">
      <w:pPr>
        <w:rPr>
          <w:b/>
        </w:rPr>
      </w:pPr>
      <w:r>
        <w:rPr>
          <w:b/>
          <w:noProof/>
          <w:lang w:val="en-AU" w:eastAsia="en-AU"/>
        </w:rPr>
        <w:drawing>
          <wp:inline distT="0" distB="0" distL="0" distR="0">
            <wp:extent cx="3975100" cy="2704465"/>
            <wp:effectExtent l="0" t="0" r="6350" b="0"/>
            <wp:docPr id="4" name="Picture 1" descr="Figure 4. Total revenue generated by Victorian companies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4. Total revenue generated by Victorian companies (20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5100" cy="2704465"/>
                    </a:xfrm>
                    <a:prstGeom prst="rect">
                      <a:avLst/>
                    </a:prstGeom>
                    <a:noFill/>
                    <a:ln>
                      <a:noFill/>
                    </a:ln>
                  </pic:spPr>
                </pic:pic>
              </a:graphicData>
            </a:graphic>
          </wp:inline>
        </w:drawing>
      </w:r>
    </w:p>
    <w:p w:rsidR="00FA5123" w:rsidRPr="00FA5123" w:rsidRDefault="00FA5123" w:rsidP="00FA5123">
      <w:pPr>
        <w:rPr>
          <w:i/>
        </w:rPr>
      </w:pPr>
      <w:r w:rsidRPr="00FA5123">
        <w:rPr>
          <w:i/>
        </w:rPr>
        <w:t>Source: Blake Industry &amp; Market Analysis</w:t>
      </w:r>
    </w:p>
    <w:p w:rsidR="0028586F" w:rsidRPr="0028586F" w:rsidRDefault="0028586F" w:rsidP="009F002A">
      <w:pPr>
        <w:pStyle w:val="Heading2"/>
        <w:rPr>
          <w:lang w:val="en-GB" w:eastAsia="en-GB"/>
        </w:rPr>
      </w:pPr>
      <w:bookmarkStart w:id="10" w:name="_Toc487638937"/>
      <w:r w:rsidRPr="0028586F">
        <w:rPr>
          <w:lang w:val="en-GB" w:eastAsia="en-GB"/>
        </w:rPr>
        <w:t>Exports</w:t>
      </w:r>
      <w:bookmarkEnd w:id="10"/>
    </w:p>
    <w:p w:rsidR="0028586F" w:rsidRPr="0028586F" w:rsidRDefault="0028586F" w:rsidP="00BE1C08">
      <w:pPr>
        <w:rPr>
          <w:lang w:val="en-GB" w:eastAsia="en-GB"/>
        </w:rPr>
      </w:pPr>
      <w:r w:rsidRPr="0028586F">
        <w:rPr>
          <w:lang w:val="en-GB" w:eastAsia="en-GB"/>
        </w:rPr>
        <w:t>The sector contributed over $1.35 billion in exports over 2013-14. This is a measure of goods exports only, not licensing, services, IP etc. (Centre for Transformative Innovation). This accounted for just over 3.5 per cent of a Victorian total of $24 billion over the same period.</w:t>
      </w:r>
    </w:p>
    <w:p w:rsidR="0028586F" w:rsidRPr="0028586F" w:rsidRDefault="0028586F" w:rsidP="009F002A">
      <w:pPr>
        <w:pStyle w:val="Heading3"/>
        <w:rPr>
          <w:lang w:val="en-GB" w:eastAsia="en-GB"/>
        </w:rPr>
      </w:pPr>
      <w:bookmarkStart w:id="11" w:name="_Toc487638938"/>
      <w:r w:rsidRPr="0028586F">
        <w:rPr>
          <w:lang w:val="en-GB" w:eastAsia="en-GB"/>
        </w:rPr>
        <w:lastRenderedPageBreak/>
        <w:t>Export data (longitudinal, and by market)</w:t>
      </w:r>
      <w:bookmarkEnd w:id="11"/>
    </w:p>
    <w:p w:rsidR="0028586F" w:rsidRDefault="0028586F" w:rsidP="00BE1C08">
      <w:pPr>
        <w:rPr>
          <w:lang w:val="en-GB" w:eastAsia="en-GB"/>
        </w:rPr>
      </w:pPr>
      <w:r w:rsidRPr="0028586F">
        <w:rPr>
          <w:lang w:val="en-GB" w:eastAsia="en-GB"/>
        </w:rPr>
        <w:t>2016 figures indicate that there has been a significant improvement in export figures, driven mainly by growth in pharma sales see Figure 5. The majority of exports go to the USA and Europe. See Figure 6.</w:t>
      </w:r>
    </w:p>
    <w:p w:rsidR="00FD1D1E" w:rsidRDefault="00FD1D1E" w:rsidP="00401A51">
      <w:pPr>
        <w:rPr>
          <w:b/>
        </w:rPr>
      </w:pPr>
      <w:r w:rsidRPr="00401A51">
        <w:rPr>
          <w:b/>
        </w:rPr>
        <w:t>Figure 5. Sector export data (goods exports only, 2016)</w:t>
      </w:r>
    </w:p>
    <w:p w:rsidR="00401A51" w:rsidRPr="00401A51" w:rsidRDefault="00664A75" w:rsidP="00401A51">
      <w:pPr>
        <w:rPr>
          <w:b/>
        </w:rPr>
      </w:pPr>
      <w:r>
        <w:rPr>
          <w:b/>
          <w:noProof/>
          <w:lang w:val="en-AU" w:eastAsia="en-AU"/>
        </w:rPr>
        <w:drawing>
          <wp:inline distT="0" distB="0" distL="0" distR="0">
            <wp:extent cx="3975100" cy="2743200"/>
            <wp:effectExtent l="0" t="0" r="0" b="0"/>
            <wp:docPr id="5" name="Picture 1" descr="Figure 5. Sector export data (goods exports onl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5. Sector export data (goods exports only, 20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5100" cy="2743200"/>
                    </a:xfrm>
                    <a:prstGeom prst="rect">
                      <a:avLst/>
                    </a:prstGeom>
                    <a:noFill/>
                    <a:ln>
                      <a:noFill/>
                    </a:ln>
                  </pic:spPr>
                </pic:pic>
              </a:graphicData>
            </a:graphic>
          </wp:inline>
        </w:drawing>
      </w:r>
    </w:p>
    <w:p w:rsidR="00FD1D1E" w:rsidRPr="00401A51" w:rsidRDefault="00FD1D1E" w:rsidP="00401A51">
      <w:pPr>
        <w:rPr>
          <w:i/>
        </w:rPr>
      </w:pPr>
      <w:r w:rsidRPr="00401A51">
        <w:rPr>
          <w:i/>
        </w:rPr>
        <w:t>Source: IHS Global Trade Atlas: Global Import/Export Commodity Trade Data, 2016</w:t>
      </w:r>
    </w:p>
    <w:p w:rsidR="00FD1D1E" w:rsidRDefault="00FD1D1E" w:rsidP="00401A51">
      <w:pPr>
        <w:rPr>
          <w:b/>
        </w:rPr>
      </w:pPr>
      <w:r w:rsidRPr="00401A51">
        <w:rPr>
          <w:b/>
        </w:rPr>
        <w:t>Figure 6. Annual average exports by market 2011-2016</w:t>
      </w:r>
    </w:p>
    <w:p w:rsidR="00401A51" w:rsidRPr="00401A51" w:rsidRDefault="00664A75" w:rsidP="00401A51">
      <w:pPr>
        <w:rPr>
          <w:b/>
        </w:rPr>
      </w:pPr>
      <w:r>
        <w:rPr>
          <w:b/>
          <w:noProof/>
          <w:lang w:val="en-AU" w:eastAsia="en-AU"/>
        </w:rPr>
        <w:drawing>
          <wp:inline distT="0" distB="0" distL="0" distR="0">
            <wp:extent cx="3975100" cy="2689225"/>
            <wp:effectExtent l="0" t="0" r="6350" b="0"/>
            <wp:docPr id="6" name="Picture 1" descr="Figure 6. Annual average exports by market 2011-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5100" cy="2689225"/>
                    </a:xfrm>
                    <a:prstGeom prst="rect">
                      <a:avLst/>
                    </a:prstGeom>
                    <a:noFill/>
                    <a:ln>
                      <a:noFill/>
                    </a:ln>
                  </pic:spPr>
                </pic:pic>
              </a:graphicData>
            </a:graphic>
          </wp:inline>
        </w:drawing>
      </w:r>
    </w:p>
    <w:p w:rsidR="00FD1D1E" w:rsidRPr="00401A51" w:rsidRDefault="00FD1D1E" w:rsidP="00401A51">
      <w:pPr>
        <w:rPr>
          <w:i/>
        </w:rPr>
      </w:pPr>
      <w:r w:rsidRPr="00401A51">
        <w:rPr>
          <w:i/>
        </w:rPr>
        <w:t>Source: IHS Global Trade Atlas: Global Import/Export Commodity Trade Data, 2016</w:t>
      </w:r>
    </w:p>
    <w:p w:rsidR="00FD1D1E" w:rsidRPr="00FD1D1E" w:rsidRDefault="00FD1D1E" w:rsidP="00FD1D1E">
      <w:pPr>
        <w:spacing w:before="86" w:after="86" w:line="165" w:lineRule="atLeast"/>
        <w:rPr>
          <w:rFonts w:ascii="VIC" w:hAnsi="VIC" w:cs="Times New Roman"/>
          <w:spacing w:val="0"/>
          <w:sz w:val="14"/>
          <w:szCs w:val="14"/>
          <w:lang w:val="en-GB" w:eastAsia="en-GB"/>
        </w:rPr>
      </w:pPr>
    </w:p>
    <w:p w:rsidR="00FD1D1E" w:rsidRPr="0028586F" w:rsidRDefault="00FD1D1E" w:rsidP="00BE1C08">
      <w:pPr>
        <w:rPr>
          <w:lang w:val="en-GB" w:eastAsia="en-GB"/>
        </w:rPr>
      </w:pPr>
    </w:p>
    <w:p w:rsidR="0028586F" w:rsidRPr="0028586F" w:rsidRDefault="0028586F" w:rsidP="009F002A">
      <w:pPr>
        <w:pStyle w:val="Heading2"/>
        <w:rPr>
          <w:lang w:val="en-GB" w:eastAsia="en-GB"/>
        </w:rPr>
      </w:pPr>
      <w:bookmarkStart w:id="12" w:name="_Toc487638939"/>
      <w:r w:rsidRPr="0028586F">
        <w:rPr>
          <w:lang w:val="en-GB" w:eastAsia="en-GB"/>
        </w:rPr>
        <w:t>Supply chain effects</w:t>
      </w:r>
      <w:bookmarkEnd w:id="12"/>
    </w:p>
    <w:p w:rsidR="0028586F" w:rsidRPr="0028586F" w:rsidRDefault="0028586F" w:rsidP="00BE1C08">
      <w:pPr>
        <w:rPr>
          <w:lang w:val="en-GB" w:eastAsia="en-GB"/>
        </w:rPr>
      </w:pPr>
      <w:r w:rsidRPr="0028586F">
        <w:rPr>
          <w:lang w:val="en-GB" w:eastAsia="en-GB"/>
        </w:rPr>
        <w:t>The sector also contributes to aggregate demand in sectors that supply intermediate inputs. The CTI Report estimates that the Sector contributes $6.9 billion in upstream demand to other sectors in the Victorian economy.</w:t>
      </w:r>
    </w:p>
    <w:p w:rsidR="0028586F" w:rsidRDefault="0028586F" w:rsidP="00BE1C08">
      <w:pPr>
        <w:rPr>
          <w:lang w:val="en-GB" w:eastAsia="en-GB"/>
        </w:rPr>
      </w:pPr>
      <w:r w:rsidRPr="0028586F">
        <w:rPr>
          <w:lang w:val="en-GB" w:eastAsia="en-GB"/>
        </w:rPr>
        <w:lastRenderedPageBreak/>
        <w:t>The detailed breakdown of the distribution of sources of intermediate inputs is presented in Figure 7. Supplying industries are aggregated to the ANZSIC Division level. Transport, Postal and Warehousing is the largest supplying industry group to the sector, supplying nearly $1.5 billion of intermediate inputs. Rental, Hiring and Real Estate Services ($1.2 billion) and Manufacturing ($0.99 billion) are the next largest contributors.</w:t>
      </w:r>
      <w:r w:rsidR="00401A51">
        <w:rPr>
          <w:rStyle w:val="FootnoteReference"/>
          <w:lang w:val="en-GB" w:eastAsia="en-GB"/>
        </w:rPr>
        <w:footnoteReference w:id="7"/>
      </w:r>
    </w:p>
    <w:p w:rsidR="006F00EB" w:rsidRDefault="006F00EB" w:rsidP="006F00EB">
      <w:pPr>
        <w:rPr>
          <w:b/>
        </w:rPr>
      </w:pPr>
      <w:r w:rsidRPr="006F00EB">
        <w:rPr>
          <w:b/>
        </w:rPr>
        <w:t>Figure 7. Supply chain analysis.</w:t>
      </w:r>
    </w:p>
    <w:p w:rsidR="006F00EB" w:rsidRPr="006F00EB" w:rsidRDefault="00664A75" w:rsidP="006F00EB">
      <w:pPr>
        <w:rPr>
          <w:b/>
        </w:rPr>
      </w:pPr>
      <w:r>
        <w:rPr>
          <w:b/>
          <w:noProof/>
          <w:lang w:val="en-AU" w:eastAsia="en-AU"/>
        </w:rPr>
        <w:drawing>
          <wp:inline distT="0" distB="0" distL="0" distR="0">
            <wp:extent cx="3975100" cy="2588260"/>
            <wp:effectExtent l="0" t="0" r="0" b="0"/>
            <wp:docPr id="7" name="Picture 1" descr="Figure 7. Supply chain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7. Supply chain analysi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5100" cy="2588260"/>
                    </a:xfrm>
                    <a:prstGeom prst="rect">
                      <a:avLst/>
                    </a:prstGeom>
                    <a:noFill/>
                    <a:ln>
                      <a:noFill/>
                    </a:ln>
                  </pic:spPr>
                </pic:pic>
              </a:graphicData>
            </a:graphic>
          </wp:inline>
        </w:drawing>
      </w:r>
    </w:p>
    <w:p w:rsidR="006F00EB" w:rsidRPr="006F00EB" w:rsidRDefault="006F00EB" w:rsidP="006F00EB">
      <w:pPr>
        <w:rPr>
          <w:i/>
        </w:rPr>
      </w:pPr>
      <w:r w:rsidRPr="006F00EB">
        <w:rPr>
          <w:i/>
        </w:rPr>
        <w:t>Source: Centre for Transformative Innovation</w:t>
      </w:r>
    </w:p>
    <w:p w:rsidR="0028586F" w:rsidRPr="0028586F" w:rsidRDefault="0028586F" w:rsidP="00F82382">
      <w:pPr>
        <w:pStyle w:val="Heading2"/>
        <w:rPr>
          <w:lang w:val="en-GB" w:eastAsia="en-GB"/>
        </w:rPr>
      </w:pPr>
      <w:bookmarkStart w:id="13" w:name="_Toc487638940"/>
      <w:r w:rsidRPr="0028586F">
        <w:rPr>
          <w:lang w:val="en-GB" w:eastAsia="en-GB"/>
        </w:rPr>
        <w:t>Wages and employment</w:t>
      </w:r>
      <w:bookmarkEnd w:id="13"/>
    </w:p>
    <w:p w:rsidR="0028586F" w:rsidRDefault="0028586F" w:rsidP="00BE1C08">
      <w:pPr>
        <w:rPr>
          <w:lang w:val="en-GB" w:eastAsia="en-GB"/>
        </w:rPr>
      </w:pPr>
      <w:r w:rsidRPr="0028586F">
        <w:rPr>
          <w:lang w:val="en-GB" w:eastAsia="en-GB"/>
        </w:rPr>
        <w:t>Total sector employment is just under 23,000 individuals, with just over 18,000 full time equivalent (FTE) positions (Figure 8). Firms in the sector paid $1.34 billion in remuneration in the year 2013-14. Manufacturing employment in the sector has also steadily increased over time, see Figure 9.</w:t>
      </w:r>
    </w:p>
    <w:p w:rsidR="006F00EB" w:rsidRDefault="006F00EB" w:rsidP="006F00EB">
      <w:pPr>
        <w:rPr>
          <w:b/>
          <w:lang w:val="en-GB" w:eastAsia="en-GB"/>
        </w:rPr>
      </w:pPr>
      <w:r w:rsidRPr="006F00EB">
        <w:rPr>
          <w:b/>
          <w:lang w:val="en-GB" w:eastAsia="en-GB"/>
        </w:rPr>
        <w:t>Figure 8. Wages and employment in the sector (2013-14)</w:t>
      </w:r>
    </w:p>
    <w:p w:rsidR="006F00EB" w:rsidRPr="006F00EB" w:rsidRDefault="00664A75" w:rsidP="006F00EB">
      <w:pPr>
        <w:rPr>
          <w:b/>
          <w:lang w:val="en-GB" w:eastAsia="en-GB"/>
        </w:rPr>
      </w:pPr>
      <w:r>
        <w:rPr>
          <w:b/>
          <w:noProof/>
          <w:lang w:val="en-AU" w:eastAsia="en-AU"/>
        </w:rPr>
        <w:lastRenderedPageBreak/>
        <w:drawing>
          <wp:inline distT="0" distB="0" distL="0" distR="0">
            <wp:extent cx="3975100" cy="2960370"/>
            <wp:effectExtent l="0" t="0" r="6350" b="0"/>
            <wp:docPr id="8" name="Picture 1" descr="Figure 8. Wages and employment in the sector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8. Wages and employment in the sector (2013-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5100" cy="2960370"/>
                    </a:xfrm>
                    <a:prstGeom prst="rect">
                      <a:avLst/>
                    </a:prstGeom>
                    <a:noFill/>
                    <a:ln>
                      <a:noFill/>
                    </a:ln>
                  </pic:spPr>
                </pic:pic>
              </a:graphicData>
            </a:graphic>
          </wp:inline>
        </w:drawing>
      </w:r>
    </w:p>
    <w:p w:rsidR="006F00EB" w:rsidRPr="006F00EB" w:rsidRDefault="006F00EB" w:rsidP="006F00EB">
      <w:pPr>
        <w:rPr>
          <w:lang w:val="en-GB" w:eastAsia="en-GB"/>
        </w:rPr>
      </w:pPr>
      <w:r w:rsidRPr="006F00EB">
        <w:rPr>
          <w:i/>
          <w:iCs/>
          <w:lang w:val="en-GB" w:eastAsia="en-GB"/>
        </w:rPr>
        <w:t>Source: Centre for Transformative Innovation</w:t>
      </w:r>
    </w:p>
    <w:p w:rsidR="006F00EB" w:rsidRDefault="006F00EB" w:rsidP="006F00EB">
      <w:pPr>
        <w:rPr>
          <w:b/>
          <w:lang w:val="en-GB" w:eastAsia="en-GB"/>
        </w:rPr>
      </w:pPr>
      <w:r w:rsidRPr="006F00EB">
        <w:rPr>
          <w:b/>
          <w:lang w:val="en-GB" w:eastAsia="en-GB"/>
        </w:rPr>
        <w:t>Figure 9. Manufacturing employment trends in the sector (2016)</w:t>
      </w:r>
    </w:p>
    <w:p w:rsidR="006F00EB" w:rsidRPr="006F00EB" w:rsidRDefault="00664A75" w:rsidP="006F00EB">
      <w:pPr>
        <w:rPr>
          <w:b/>
          <w:lang w:val="en-GB" w:eastAsia="en-GB"/>
        </w:rPr>
      </w:pPr>
      <w:r>
        <w:rPr>
          <w:b/>
          <w:noProof/>
          <w:lang w:val="en-AU" w:eastAsia="en-AU"/>
        </w:rPr>
        <w:drawing>
          <wp:inline distT="0" distB="0" distL="0" distR="0">
            <wp:extent cx="3990975" cy="2680970"/>
            <wp:effectExtent l="0" t="0" r="0" b="0"/>
            <wp:docPr id="9" name="Picture 1" descr="Figure 9. Manufacturing employment trends in the secto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9. Manufacturing employment trends in the sector (20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0975" cy="2680970"/>
                    </a:xfrm>
                    <a:prstGeom prst="rect">
                      <a:avLst/>
                    </a:prstGeom>
                    <a:noFill/>
                    <a:ln>
                      <a:noFill/>
                    </a:ln>
                  </pic:spPr>
                </pic:pic>
              </a:graphicData>
            </a:graphic>
          </wp:inline>
        </w:drawing>
      </w:r>
    </w:p>
    <w:p w:rsidR="006F00EB" w:rsidRPr="006F00EB" w:rsidRDefault="006F00EB" w:rsidP="006F00EB">
      <w:pPr>
        <w:rPr>
          <w:lang w:val="en-GB" w:eastAsia="en-GB"/>
        </w:rPr>
      </w:pPr>
      <w:r w:rsidRPr="006F00EB">
        <w:rPr>
          <w:i/>
          <w:iCs/>
          <w:lang w:val="en-GB" w:eastAsia="en-GB"/>
        </w:rPr>
        <w:t>Source: DEDTJR, drawing on ABS data</w:t>
      </w:r>
    </w:p>
    <w:p w:rsidR="0028586F" w:rsidRPr="0028586F" w:rsidRDefault="0028586F" w:rsidP="00F82382">
      <w:pPr>
        <w:pStyle w:val="Heading2"/>
        <w:rPr>
          <w:lang w:val="en-GB" w:eastAsia="en-GB"/>
        </w:rPr>
      </w:pPr>
      <w:bookmarkStart w:id="14" w:name="_Toc487638941"/>
      <w:r w:rsidRPr="0028586F">
        <w:rPr>
          <w:lang w:val="en-GB" w:eastAsia="en-GB"/>
        </w:rPr>
        <w:t>Employment ranges for Victorian companies in the sector</w:t>
      </w:r>
      <w:bookmarkEnd w:id="14"/>
    </w:p>
    <w:p w:rsidR="0028586F" w:rsidRDefault="0028586F" w:rsidP="00BE1C08">
      <w:pPr>
        <w:rPr>
          <w:lang w:val="en-GB" w:eastAsia="en-GB"/>
        </w:rPr>
      </w:pPr>
      <w:r w:rsidRPr="0028586F">
        <w:rPr>
          <w:lang w:val="en-GB" w:eastAsia="en-GB"/>
        </w:rPr>
        <w:t>Employment ranges for the surveyed Victorian companies in the sector are summarised in Table 2.</w:t>
      </w:r>
      <w:r w:rsidR="00092B2D">
        <w:rPr>
          <w:rStyle w:val="FootnoteReference"/>
          <w:lang w:val="en-GB" w:eastAsia="en-GB"/>
        </w:rPr>
        <w:footnoteReference w:id="8"/>
      </w:r>
    </w:p>
    <w:p w:rsidR="007D083E" w:rsidRPr="007D083E" w:rsidRDefault="007D083E" w:rsidP="007D083E">
      <w:pPr>
        <w:rPr>
          <w:b/>
          <w:lang w:val="en-GB" w:eastAsia="en-GB"/>
        </w:rPr>
      </w:pPr>
      <w:r w:rsidRPr="007D083E">
        <w:rPr>
          <w:b/>
          <w:lang w:val="en-GB" w:eastAsia="en-GB"/>
        </w:rPr>
        <w:t>Table 2. Company employment ranges for Victorian companies surveyed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1842"/>
        <w:gridCol w:w="1916"/>
        <w:gridCol w:w="674"/>
      </w:tblGrid>
      <w:tr w:rsidR="00F56198" w:rsidRPr="00F56198" w:rsidTr="00FD1D96">
        <w:tc>
          <w:tcPr>
            <w:tcW w:w="0" w:type="auto"/>
            <w:shd w:val="clear" w:color="auto" w:fill="auto"/>
            <w:hideMark/>
          </w:tcPr>
          <w:p w:rsidR="00F56198" w:rsidRPr="00FD1D96" w:rsidRDefault="00F56198" w:rsidP="007D083E">
            <w:pPr>
              <w:rPr>
                <w:b/>
              </w:rPr>
            </w:pPr>
            <w:r w:rsidRPr="00FD1D96">
              <w:rPr>
                <w:b/>
              </w:rPr>
              <w:lastRenderedPageBreak/>
              <w:t>Number of employees</w:t>
            </w:r>
          </w:p>
        </w:tc>
        <w:tc>
          <w:tcPr>
            <w:tcW w:w="0" w:type="auto"/>
            <w:shd w:val="clear" w:color="auto" w:fill="auto"/>
            <w:hideMark/>
          </w:tcPr>
          <w:p w:rsidR="00F56198" w:rsidRPr="00FD1D96" w:rsidRDefault="00F56198" w:rsidP="007D083E">
            <w:pPr>
              <w:rPr>
                <w:b/>
              </w:rPr>
            </w:pPr>
            <w:r w:rsidRPr="00FD1D96">
              <w:rPr>
                <w:b/>
              </w:rPr>
              <w:t>Listed companies</w:t>
            </w:r>
          </w:p>
        </w:tc>
        <w:tc>
          <w:tcPr>
            <w:tcW w:w="0" w:type="auto"/>
            <w:shd w:val="clear" w:color="auto" w:fill="auto"/>
            <w:hideMark/>
          </w:tcPr>
          <w:p w:rsidR="00F56198" w:rsidRPr="00FD1D96" w:rsidRDefault="00F56198" w:rsidP="007D083E">
            <w:pPr>
              <w:rPr>
                <w:b/>
              </w:rPr>
            </w:pPr>
            <w:r w:rsidRPr="00FD1D96">
              <w:rPr>
                <w:b/>
              </w:rPr>
              <w:t>Private companies</w:t>
            </w:r>
          </w:p>
        </w:tc>
        <w:tc>
          <w:tcPr>
            <w:tcW w:w="0" w:type="auto"/>
            <w:shd w:val="clear" w:color="auto" w:fill="auto"/>
            <w:hideMark/>
          </w:tcPr>
          <w:p w:rsidR="00F56198" w:rsidRPr="00FD1D96" w:rsidRDefault="00F56198" w:rsidP="007D083E">
            <w:pPr>
              <w:rPr>
                <w:b/>
              </w:rPr>
            </w:pPr>
            <w:r w:rsidRPr="00FD1D96">
              <w:rPr>
                <w:b/>
              </w:rPr>
              <w:t>Total</w:t>
            </w:r>
          </w:p>
        </w:tc>
      </w:tr>
      <w:tr w:rsidR="00F56198" w:rsidRPr="00F56198" w:rsidTr="00FD1D96">
        <w:tc>
          <w:tcPr>
            <w:tcW w:w="0" w:type="auto"/>
            <w:shd w:val="clear" w:color="auto" w:fill="auto"/>
            <w:hideMark/>
          </w:tcPr>
          <w:p w:rsidR="00F56198" w:rsidRPr="007D083E" w:rsidRDefault="00F56198" w:rsidP="007D083E">
            <w:r w:rsidRPr="007D083E">
              <w:t>&lt;20</w:t>
            </w:r>
          </w:p>
        </w:tc>
        <w:tc>
          <w:tcPr>
            <w:tcW w:w="0" w:type="auto"/>
            <w:shd w:val="clear" w:color="auto" w:fill="auto"/>
            <w:hideMark/>
          </w:tcPr>
          <w:p w:rsidR="00F56198" w:rsidRPr="007D083E" w:rsidRDefault="00F56198" w:rsidP="007D083E">
            <w:r w:rsidRPr="007D083E">
              <w:t>16</w:t>
            </w:r>
          </w:p>
        </w:tc>
        <w:tc>
          <w:tcPr>
            <w:tcW w:w="0" w:type="auto"/>
            <w:shd w:val="clear" w:color="auto" w:fill="auto"/>
            <w:hideMark/>
          </w:tcPr>
          <w:p w:rsidR="00F56198" w:rsidRPr="007D083E" w:rsidRDefault="00F56198" w:rsidP="007D083E">
            <w:r w:rsidRPr="007D083E">
              <w:t>102</w:t>
            </w:r>
          </w:p>
        </w:tc>
        <w:tc>
          <w:tcPr>
            <w:tcW w:w="0" w:type="auto"/>
            <w:shd w:val="clear" w:color="auto" w:fill="auto"/>
            <w:hideMark/>
          </w:tcPr>
          <w:p w:rsidR="00F56198" w:rsidRPr="007D083E" w:rsidRDefault="00F56198" w:rsidP="007D083E">
            <w:r w:rsidRPr="007D083E">
              <w:t>118</w:t>
            </w:r>
          </w:p>
        </w:tc>
      </w:tr>
      <w:tr w:rsidR="00F56198" w:rsidRPr="00F56198" w:rsidTr="00FD1D96">
        <w:tc>
          <w:tcPr>
            <w:tcW w:w="0" w:type="auto"/>
            <w:shd w:val="clear" w:color="auto" w:fill="auto"/>
            <w:hideMark/>
          </w:tcPr>
          <w:p w:rsidR="00F56198" w:rsidRPr="007D083E" w:rsidRDefault="00F56198" w:rsidP="007D083E">
            <w:r w:rsidRPr="007D083E">
              <w:t>20 – 50</w:t>
            </w:r>
          </w:p>
        </w:tc>
        <w:tc>
          <w:tcPr>
            <w:tcW w:w="0" w:type="auto"/>
            <w:shd w:val="clear" w:color="auto" w:fill="auto"/>
            <w:hideMark/>
          </w:tcPr>
          <w:p w:rsidR="00F56198" w:rsidRPr="007D083E" w:rsidRDefault="00F56198" w:rsidP="007D083E">
            <w:r w:rsidRPr="007D083E">
              <w:t>8</w:t>
            </w:r>
          </w:p>
        </w:tc>
        <w:tc>
          <w:tcPr>
            <w:tcW w:w="0" w:type="auto"/>
            <w:shd w:val="clear" w:color="auto" w:fill="auto"/>
            <w:hideMark/>
          </w:tcPr>
          <w:p w:rsidR="00F56198" w:rsidRPr="007D083E" w:rsidRDefault="00F56198" w:rsidP="007D083E">
            <w:r w:rsidRPr="007D083E">
              <w:t>27</w:t>
            </w:r>
          </w:p>
        </w:tc>
        <w:tc>
          <w:tcPr>
            <w:tcW w:w="0" w:type="auto"/>
            <w:shd w:val="clear" w:color="auto" w:fill="auto"/>
            <w:hideMark/>
          </w:tcPr>
          <w:p w:rsidR="00F56198" w:rsidRPr="007D083E" w:rsidRDefault="00F56198" w:rsidP="007D083E">
            <w:r w:rsidRPr="007D083E">
              <w:t>35</w:t>
            </w:r>
          </w:p>
        </w:tc>
      </w:tr>
      <w:tr w:rsidR="00F56198" w:rsidRPr="00F56198" w:rsidTr="00FD1D96">
        <w:tc>
          <w:tcPr>
            <w:tcW w:w="0" w:type="auto"/>
            <w:shd w:val="clear" w:color="auto" w:fill="auto"/>
            <w:hideMark/>
          </w:tcPr>
          <w:p w:rsidR="00F56198" w:rsidRPr="007D083E" w:rsidRDefault="00F56198" w:rsidP="007D083E">
            <w:r w:rsidRPr="007D083E">
              <w:t>50 – 200</w:t>
            </w:r>
          </w:p>
        </w:tc>
        <w:tc>
          <w:tcPr>
            <w:tcW w:w="0" w:type="auto"/>
            <w:shd w:val="clear" w:color="auto" w:fill="auto"/>
            <w:hideMark/>
          </w:tcPr>
          <w:p w:rsidR="00F56198" w:rsidRPr="007D083E" w:rsidRDefault="00F56198" w:rsidP="007D083E">
            <w:r w:rsidRPr="007D083E">
              <w:t>8</w:t>
            </w:r>
          </w:p>
        </w:tc>
        <w:tc>
          <w:tcPr>
            <w:tcW w:w="0" w:type="auto"/>
            <w:shd w:val="clear" w:color="auto" w:fill="auto"/>
            <w:hideMark/>
          </w:tcPr>
          <w:p w:rsidR="00F56198" w:rsidRPr="007D083E" w:rsidRDefault="00F56198" w:rsidP="007D083E">
            <w:r w:rsidRPr="007D083E">
              <w:t>12</w:t>
            </w:r>
          </w:p>
        </w:tc>
        <w:tc>
          <w:tcPr>
            <w:tcW w:w="0" w:type="auto"/>
            <w:shd w:val="clear" w:color="auto" w:fill="auto"/>
            <w:hideMark/>
          </w:tcPr>
          <w:p w:rsidR="00F56198" w:rsidRPr="007D083E" w:rsidRDefault="00F56198" w:rsidP="007D083E">
            <w:r w:rsidRPr="007D083E">
              <w:t>20</w:t>
            </w:r>
          </w:p>
        </w:tc>
      </w:tr>
      <w:tr w:rsidR="00F56198" w:rsidRPr="00F56198" w:rsidTr="00FD1D96">
        <w:tc>
          <w:tcPr>
            <w:tcW w:w="0" w:type="auto"/>
            <w:shd w:val="clear" w:color="auto" w:fill="auto"/>
            <w:hideMark/>
          </w:tcPr>
          <w:p w:rsidR="00F56198" w:rsidRPr="007D083E" w:rsidRDefault="00F56198" w:rsidP="007D083E">
            <w:r w:rsidRPr="007D083E">
              <w:t>200+</w:t>
            </w:r>
          </w:p>
        </w:tc>
        <w:tc>
          <w:tcPr>
            <w:tcW w:w="0" w:type="auto"/>
            <w:shd w:val="clear" w:color="auto" w:fill="auto"/>
            <w:hideMark/>
          </w:tcPr>
          <w:p w:rsidR="00F56198" w:rsidRPr="007D083E" w:rsidRDefault="00F56198" w:rsidP="007D083E">
            <w:r w:rsidRPr="007D083E">
              <w:t>4</w:t>
            </w:r>
          </w:p>
        </w:tc>
        <w:tc>
          <w:tcPr>
            <w:tcW w:w="0" w:type="auto"/>
            <w:shd w:val="clear" w:color="auto" w:fill="auto"/>
            <w:hideMark/>
          </w:tcPr>
          <w:p w:rsidR="00F56198" w:rsidRPr="007D083E" w:rsidRDefault="00F56198" w:rsidP="007D083E">
            <w:r w:rsidRPr="007D083E">
              <w:t>4</w:t>
            </w:r>
          </w:p>
        </w:tc>
        <w:tc>
          <w:tcPr>
            <w:tcW w:w="0" w:type="auto"/>
            <w:shd w:val="clear" w:color="auto" w:fill="auto"/>
            <w:hideMark/>
          </w:tcPr>
          <w:p w:rsidR="00F56198" w:rsidRPr="007D083E" w:rsidRDefault="00F56198" w:rsidP="007D083E">
            <w:r w:rsidRPr="007D083E">
              <w:t>8</w:t>
            </w:r>
          </w:p>
        </w:tc>
      </w:tr>
    </w:tbl>
    <w:p w:rsidR="00F56198" w:rsidRPr="007D083E" w:rsidRDefault="007D083E" w:rsidP="007D083E">
      <w:pPr>
        <w:rPr>
          <w:i/>
          <w:lang w:val="en-GB" w:eastAsia="en-GB"/>
        </w:rPr>
      </w:pPr>
      <w:r w:rsidRPr="007D083E">
        <w:rPr>
          <w:i/>
          <w:lang w:val="en-GB" w:eastAsia="en-GB"/>
        </w:rPr>
        <w:t>Source: Blake Industry &amp; Market Analysis</w:t>
      </w:r>
    </w:p>
    <w:p w:rsidR="0028586F" w:rsidRPr="0028586F" w:rsidRDefault="0028586F" w:rsidP="00F82382">
      <w:pPr>
        <w:pStyle w:val="Heading2"/>
        <w:rPr>
          <w:lang w:val="en-GB" w:eastAsia="en-GB"/>
        </w:rPr>
      </w:pPr>
      <w:bookmarkStart w:id="15" w:name="_Toc487638942"/>
      <w:r w:rsidRPr="0028586F">
        <w:rPr>
          <w:lang w:val="en-GB" w:eastAsia="en-GB"/>
        </w:rPr>
        <w:t>Capitalisation and listing of the sector</w:t>
      </w:r>
      <w:bookmarkEnd w:id="15"/>
    </w:p>
    <w:p w:rsidR="0028586F" w:rsidRDefault="0028586F" w:rsidP="00BE1C08">
      <w:pPr>
        <w:rPr>
          <w:lang w:val="en-GB" w:eastAsia="en-GB"/>
        </w:rPr>
      </w:pPr>
      <w:r w:rsidRPr="0028586F">
        <w:rPr>
          <w:lang w:val="en-GB" w:eastAsia="en-GB"/>
        </w:rPr>
        <w:t>The aggregate capitalisation of listed Victorian companies in 2015 was $43.9 billion, having risen sharply since 2011, see Figure 10. Note that the key driver of change was CSL, which increased in market value by $5 billion to $40.1 billion from 2006 to 2015. NB: At 26 April 2017, the aggregate capitalisation was approximately $55.2 billion.</w:t>
      </w:r>
    </w:p>
    <w:p w:rsidR="007D083E" w:rsidRPr="007D083E" w:rsidRDefault="007D083E" w:rsidP="007D083E">
      <w:pPr>
        <w:rPr>
          <w:b/>
        </w:rPr>
      </w:pPr>
      <w:r w:rsidRPr="007D083E">
        <w:rPr>
          <w:b/>
        </w:rPr>
        <w:t>Figure 10. Aggregate capitalisation of listed Victorian companies</w:t>
      </w:r>
    </w:p>
    <w:p w:rsidR="007D083E" w:rsidRDefault="00664A75" w:rsidP="007D083E">
      <w:r>
        <w:rPr>
          <w:noProof/>
          <w:lang w:val="en-AU" w:eastAsia="en-AU"/>
        </w:rPr>
        <w:drawing>
          <wp:inline distT="0" distB="0" distL="0" distR="0">
            <wp:extent cx="3975100" cy="2704465"/>
            <wp:effectExtent l="0" t="0" r="0" b="0"/>
            <wp:docPr id="10" name="Picture 1" descr="Figure 10. Aggregate capitalisation of listed Victorian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0. Aggregate capitalisation of listed Victorian compani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5100" cy="2704465"/>
                    </a:xfrm>
                    <a:prstGeom prst="rect">
                      <a:avLst/>
                    </a:prstGeom>
                    <a:noFill/>
                    <a:ln>
                      <a:noFill/>
                    </a:ln>
                  </pic:spPr>
                </pic:pic>
              </a:graphicData>
            </a:graphic>
          </wp:inline>
        </w:drawing>
      </w:r>
    </w:p>
    <w:p w:rsidR="007D083E" w:rsidRPr="007D083E" w:rsidRDefault="007D083E" w:rsidP="007D083E">
      <w:pPr>
        <w:rPr>
          <w:i/>
        </w:rPr>
      </w:pPr>
      <w:r w:rsidRPr="007D083E">
        <w:rPr>
          <w:i/>
        </w:rPr>
        <w:t>Source: Blake Industry &amp; Market Analysis</w:t>
      </w:r>
    </w:p>
    <w:p w:rsidR="0028586F" w:rsidRPr="0028586F" w:rsidRDefault="0028586F" w:rsidP="00F82382">
      <w:pPr>
        <w:pStyle w:val="Heading3"/>
        <w:rPr>
          <w:lang w:val="en-GB" w:eastAsia="en-GB"/>
        </w:rPr>
      </w:pPr>
      <w:bookmarkStart w:id="16" w:name="_Toc487638943"/>
      <w:r w:rsidRPr="0028586F">
        <w:rPr>
          <w:lang w:val="en-GB" w:eastAsia="en-GB"/>
        </w:rPr>
        <w:t>Victorian ASX listed companies and market cap</w:t>
      </w:r>
      <w:bookmarkEnd w:id="16"/>
    </w:p>
    <w:p w:rsidR="0028586F" w:rsidRDefault="0028586F" w:rsidP="00BE1C08">
      <w:pPr>
        <w:rPr>
          <w:lang w:val="en-GB" w:eastAsia="en-GB"/>
        </w:rPr>
      </w:pPr>
      <w:r w:rsidRPr="0028586F">
        <w:rPr>
          <w:lang w:val="en-GB" w:eastAsia="en-GB"/>
        </w:rPr>
        <w:t>36 listed Victorian companies had a market capitalisation at June 30, 2015 of $43.9 billion (up from $39.0 billion in 2014). The number of Victorian life science companies listed on the ASX has fallen since 2008-9 and has remained static since 2011, see Figure 11.</w:t>
      </w:r>
    </w:p>
    <w:p w:rsidR="00DB0E07" w:rsidRDefault="00DB0E07" w:rsidP="00DB0E07">
      <w:pPr>
        <w:rPr>
          <w:b/>
        </w:rPr>
      </w:pPr>
      <w:r w:rsidRPr="00DB0E07">
        <w:rPr>
          <w:b/>
        </w:rPr>
        <w:t>Figure 11. Number of listed Victorian life science companies (2015)</w:t>
      </w:r>
    </w:p>
    <w:p w:rsidR="00DB0E07" w:rsidRPr="00DB0E07" w:rsidRDefault="00664A75" w:rsidP="00DB0E07">
      <w:pPr>
        <w:rPr>
          <w:b/>
        </w:rPr>
      </w:pPr>
      <w:r>
        <w:rPr>
          <w:b/>
          <w:noProof/>
          <w:lang w:val="en-AU" w:eastAsia="en-AU"/>
        </w:rPr>
        <w:lastRenderedPageBreak/>
        <w:drawing>
          <wp:inline distT="0" distB="0" distL="0" distR="0">
            <wp:extent cx="3975100" cy="2534285"/>
            <wp:effectExtent l="0" t="0" r="0" b="0"/>
            <wp:docPr id="11" name="Picture 1" descr="Figure 11. Number of listed Victorian life science companies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1. Number of listed Victorian life science companies (20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5100" cy="2534285"/>
                    </a:xfrm>
                    <a:prstGeom prst="rect">
                      <a:avLst/>
                    </a:prstGeom>
                    <a:noFill/>
                    <a:ln>
                      <a:noFill/>
                    </a:ln>
                  </pic:spPr>
                </pic:pic>
              </a:graphicData>
            </a:graphic>
          </wp:inline>
        </w:drawing>
      </w:r>
    </w:p>
    <w:p w:rsidR="00DB0E07" w:rsidRPr="00DB0E07" w:rsidRDefault="00DB0E07" w:rsidP="00DB0E07">
      <w:pPr>
        <w:rPr>
          <w:i/>
        </w:rPr>
      </w:pPr>
      <w:r w:rsidRPr="00DB0E07">
        <w:rPr>
          <w:i/>
        </w:rPr>
        <w:t>Source: Blake Industry &amp; Market Analysis</w:t>
      </w:r>
    </w:p>
    <w:p w:rsidR="0028586F" w:rsidRDefault="0028586F" w:rsidP="00BE1C08">
      <w:pPr>
        <w:rPr>
          <w:lang w:val="en-GB" w:eastAsia="en-GB"/>
        </w:rPr>
      </w:pPr>
      <w:r w:rsidRPr="0028586F">
        <w:rPr>
          <w:lang w:val="en-GB" w:eastAsia="en-GB"/>
        </w:rPr>
        <w:t>Note that when Sigma Pharmaceuticals Limited and CSL are excluded from</w:t>
      </w:r>
      <w:r w:rsidR="00C86500">
        <w:rPr>
          <w:lang w:val="en-GB" w:eastAsia="en-GB"/>
        </w:rPr>
        <w:t xml:space="preserve"> </w:t>
      </w:r>
      <w:r w:rsidRPr="0028586F">
        <w:rPr>
          <w:lang w:val="en-GB" w:eastAsia="en-GB"/>
        </w:rPr>
        <w:t>the data, market capitalisation has fallen significantly, since 2011, see Figure 12. This is largely as a result of lower investment capital after the Global Financial Crisis.</w:t>
      </w:r>
    </w:p>
    <w:p w:rsidR="005519DC" w:rsidRDefault="005519DC" w:rsidP="005519DC">
      <w:pPr>
        <w:rPr>
          <w:b/>
          <w:lang w:val="en-GB" w:eastAsia="en-GB"/>
        </w:rPr>
      </w:pPr>
      <w:r w:rsidRPr="005519DC">
        <w:rPr>
          <w:b/>
          <w:lang w:val="en-GB" w:eastAsia="en-GB"/>
        </w:rPr>
        <w:t>Figure 12. Capitalisation of listed Victorian life science companies excluding Sigma Pharmaceuticals Ltd and CSL (2015)</w:t>
      </w:r>
    </w:p>
    <w:p w:rsidR="005519DC" w:rsidRPr="005519DC" w:rsidRDefault="00664A75" w:rsidP="005519DC">
      <w:pPr>
        <w:rPr>
          <w:b/>
          <w:lang w:val="en-GB" w:eastAsia="en-GB"/>
        </w:rPr>
      </w:pPr>
      <w:r>
        <w:rPr>
          <w:b/>
          <w:noProof/>
          <w:lang w:val="en-AU" w:eastAsia="en-AU"/>
        </w:rPr>
        <w:drawing>
          <wp:inline distT="0" distB="0" distL="0" distR="0">
            <wp:extent cx="3975100" cy="2642235"/>
            <wp:effectExtent l="0" t="0" r="6350" b="0"/>
            <wp:docPr id="12" name="Picture 1" descr="Figure 12. Capitalisation of listed Victorian life science companies excluding Sigma Pharmaceuticals Ltd and CSL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2. Capitalisation of listed Victorian life science companies excluding Sigma Pharmaceuticals Ltd and CSL (20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5100" cy="2642235"/>
                    </a:xfrm>
                    <a:prstGeom prst="rect">
                      <a:avLst/>
                    </a:prstGeom>
                    <a:noFill/>
                    <a:ln>
                      <a:noFill/>
                    </a:ln>
                  </pic:spPr>
                </pic:pic>
              </a:graphicData>
            </a:graphic>
          </wp:inline>
        </w:drawing>
      </w:r>
    </w:p>
    <w:p w:rsidR="005519DC" w:rsidRPr="005519DC" w:rsidRDefault="005519DC" w:rsidP="005519DC">
      <w:pPr>
        <w:rPr>
          <w:lang w:val="en-GB" w:eastAsia="en-GB"/>
        </w:rPr>
      </w:pPr>
      <w:r w:rsidRPr="005519DC">
        <w:rPr>
          <w:i/>
          <w:iCs/>
          <w:lang w:val="en-GB" w:eastAsia="en-GB"/>
        </w:rPr>
        <w:t>Source: Blake Industry &amp; Market Analysis</w:t>
      </w:r>
    </w:p>
    <w:p w:rsidR="0028586F" w:rsidRPr="0028586F" w:rsidRDefault="0028586F" w:rsidP="00F82382">
      <w:pPr>
        <w:pStyle w:val="Heading3"/>
        <w:rPr>
          <w:lang w:val="en-GB" w:eastAsia="en-GB"/>
        </w:rPr>
      </w:pPr>
      <w:bookmarkStart w:id="17" w:name="_Toc487638944"/>
      <w:r w:rsidRPr="0028586F">
        <w:rPr>
          <w:lang w:val="en-GB" w:eastAsia="en-GB"/>
        </w:rPr>
        <w:t>Share of ASX market capitalisation by state</w:t>
      </w:r>
      <w:bookmarkEnd w:id="17"/>
    </w:p>
    <w:p w:rsidR="0028586F" w:rsidRDefault="0028586F" w:rsidP="00BE1C08">
      <w:pPr>
        <w:rPr>
          <w:lang w:val="en-GB" w:eastAsia="en-GB"/>
        </w:rPr>
      </w:pPr>
      <w:r w:rsidRPr="0028586F">
        <w:rPr>
          <w:lang w:val="en-GB" w:eastAsia="en-GB"/>
        </w:rPr>
        <w:t>Victoria dominates company market capitalisation on the ASX, see Figure 13.</w:t>
      </w:r>
    </w:p>
    <w:p w:rsidR="005519DC" w:rsidRPr="005519DC" w:rsidRDefault="005519DC" w:rsidP="005519DC">
      <w:pPr>
        <w:rPr>
          <w:b/>
        </w:rPr>
      </w:pPr>
      <w:r w:rsidRPr="005519DC">
        <w:rPr>
          <w:b/>
        </w:rPr>
        <w:t>Figure 13. Share of ASX market capitalisation by location of registered company offices (June 2016)</w:t>
      </w:r>
    </w:p>
    <w:p w:rsidR="005519DC" w:rsidRPr="0028586F" w:rsidRDefault="00664A75" w:rsidP="00BE1C08">
      <w:pPr>
        <w:rPr>
          <w:lang w:val="en-GB" w:eastAsia="en-GB"/>
        </w:rPr>
      </w:pPr>
      <w:r>
        <w:rPr>
          <w:noProof/>
          <w:lang w:val="en-AU" w:eastAsia="en-AU"/>
        </w:rPr>
        <w:lastRenderedPageBreak/>
        <w:drawing>
          <wp:inline distT="0" distB="0" distL="0" distR="0">
            <wp:extent cx="3975100" cy="2766695"/>
            <wp:effectExtent l="0" t="0" r="0" b="0"/>
            <wp:docPr id="13" name="Picture 1" descr="Share of ASX market capitalisation by location of registered company offices (Jun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5100" cy="2766695"/>
                    </a:xfrm>
                    <a:prstGeom prst="rect">
                      <a:avLst/>
                    </a:prstGeom>
                    <a:noFill/>
                    <a:ln>
                      <a:noFill/>
                    </a:ln>
                  </pic:spPr>
                </pic:pic>
              </a:graphicData>
            </a:graphic>
          </wp:inline>
        </w:drawing>
      </w:r>
    </w:p>
    <w:p w:rsidR="0028586F" w:rsidRPr="0028586F" w:rsidRDefault="0028586F" w:rsidP="00F82382">
      <w:pPr>
        <w:pStyle w:val="Heading2"/>
        <w:rPr>
          <w:lang w:val="en-GB" w:eastAsia="en-GB"/>
        </w:rPr>
      </w:pPr>
      <w:bookmarkStart w:id="18" w:name="_Toc487638945"/>
      <w:r w:rsidRPr="0028586F">
        <w:rPr>
          <w:lang w:val="en-GB" w:eastAsia="en-GB"/>
        </w:rPr>
        <w:t>Total research and development (R&amp;D) investment</w:t>
      </w:r>
      <w:bookmarkEnd w:id="18"/>
    </w:p>
    <w:p w:rsidR="0028586F" w:rsidRDefault="0028586F" w:rsidP="00BE1C08">
      <w:pPr>
        <w:rPr>
          <w:lang w:val="en-GB" w:eastAsia="en-GB"/>
        </w:rPr>
      </w:pPr>
      <w:r w:rsidRPr="0028586F">
        <w:rPr>
          <w:lang w:val="en-GB" w:eastAsia="en-GB"/>
        </w:rPr>
        <w:t>R&amp;D spending in Victoria, with</w:t>
      </w:r>
      <w:r w:rsidR="00173517">
        <w:rPr>
          <w:lang w:val="en-GB" w:eastAsia="en-GB"/>
        </w:rPr>
        <w:t xml:space="preserve"> </w:t>
      </w:r>
      <w:r w:rsidRPr="0028586F">
        <w:rPr>
          <w:lang w:val="en-GB" w:eastAsia="en-GB"/>
        </w:rPr>
        <w:t>the notable exception of CSL and Mesoblast Ltd, has fallen since 2010, see Figure 14.</w:t>
      </w:r>
    </w:p>
    <w:p w:rsidR="005519DC" w:rsidRDefault="005519DC" w:rsidP="005519DC">
      <w:pPr>
        <w:rPr>
          <w:b/>
          <w:lang w:val="en-GB" w:eastAsia="en-GB"/>
        </w:rPr>
      </w:pPr>
      <w:r w:rsidRPr="005519DC">
        <w:rPr>
          <w:b/>
          <w:lang w:val="en-GB" w:eastAsia="en-GB"/>
        </w:rPr>
        <w:t>Figure 14. Total R&amp;D spending by Victorian companies (2015)</w:t>
      </w:r>
    </w:p>
    <w:p w:rsidR="005519DC" w:rsidRPr="005519DC" w:rsidRDefault="00664A75" w:rsidP="005519DC">
      <w:pPr>
        <w:rPr>
          <w:b/>
          <w:lang w:val="en-GB" w:eastAsia="en-GB"/>
        </w:rPr>
      </w:pPr>
      <w:r>
        <w:rPr>
          <w:b/>
          <w:noProof/>
          <w:lang w:val="en-AU" w:eastAsia="en-AU"/>
        </w:rPr>
        <w:drawing>
          <wp:inline distT="0" distB="0" distL="0" distR="0">
            <wp:extent cx="3975100" cy="2611755"/>
            <wp:effectExtent l="0" t="0" r="0" b="0"/>
            <wp:docPr id="14" name="Picture 1" descr="Figure 14. Total R&amp;D spending by Victorian companies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4. Total R&amp;D spending by Victorian companies (20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5100" cy="2611755"/>
                    </a:xfrm>
                    <a:prstGeom prst="rect">
                      <a:avLst/>
                    </a:prstGeom>
                    <a:noFill/>
                    <a:ln>
                      <a:noFill/>
                    </a:ln>
                  </pic:spPr>
                </pic:pic>
              </a:graphicData>
            </a:graphic>
          </wp:inline>
        </w:drawing>
      </w:r>
    </w:p>
    <w:p w:rsidR="005519DC" w:rsidRPr="005519DC" w:rsidRDefault="005519DC" w:rsidP="005519DC">
      <w:pPr>
        <w:rPr>
          <w:lang w:val="en-GB" w:eastAsia="en-GB"/>
        </w:rPr>
      </w:pPr>
      <w:r w:rsidRPr="005519DC">
        <w:rPr>
          <w:i/>
          <w:iCs/>
          <w:lang w:val="en-GB" w:eastAsia="en-GB"/>
        </w:rPr>
        <w:t>Source: Blake Industry &amp; Market Analysis</w:t>
      </w:r>
    </w:p>
    <w:p w:rsidR="0028586F" w:rsidRPr="0028586F" w:rsidRDefault="0028586F" w:rsidP="00F82382">
      <w:pPr>
        <w:pStyle w:val="Heading3"/>
        <w:rPr>
          <w:lang w:val="en-GB" w:eastAsia="en-GB"/>
        </w:rPr>
      </w:pPr>
      <w:bookmarkStart w:id="19" w:name="_Toc487638946"/>
      <w:r w:rsidRPr="0028586F">
        <w:rPr>
          <w:lang w:val="en-GB" w:eastAsia="en-GB"/>
        </w:rPr>
        <w:t>National Health &amp; Medical Research Council (NHMRC)</w:t>
      </w:r>
      <w:bookmarkEnd w:id="19"/>
    </w:p>
    <w:p w:rsidR="0028586F" w:rsidRDefault="0028586F" w:rsidP="00A51D66">
      <w:r w:rsidRPr="00A51D66">
        <w:t>Victoria is the leading state in competitive grant outcomes</w:t>
      </w:r>
      <w:r w:rsidR="00A95AA7">
        <w:rPr>
          <w:rStyle w:val="FootnoteReference"/>
        </w:rPr>
        <w:footnoteReference w:id="9"/>
      </w:r>
      <w:r w:rsidRPr="00A51D66">
        <w:t>, see Table 3, with almost 42% of total NHMRC funding in 2016.</w:t>
      </w:r>
    </w:p>
    <w:p w:rsidR="00A95AA7" w:rsidRPr="00A95AA7" w:rsidRDefault="00A95AA7" w:rsidP="00A95AA7">
      <w:pPr>
        <w:rPr>
          <w:b/>
        </w:rPr>
      </w:pPr>
      <w:r w:rsidRPr="00A95AA7">
        <w:rPr>
          <w:b/>
        </w:rPr>
        <w:t>Table 3. Outcomes by state and territory for competitive grants awarded in the 2016 application round</w:t>
      </w:r>
    </w:p>
    <w:tbl>
      <w:tblPr>
        <w:tblW w:w="0" w:type="auto"/>
        <w:tblCellMar>
          <w:left w:w="0" w:type="dxa"/>
          <w:right w:w="0" w:type="dxa"/>
        </w:tblCellMar>
        <w:tblLook w:val="04A0" w:firstRow="1" w:lastRow="0" w:firstColumn="1" w:lastColumn="0" w:noHBand="0" w:noVBand="1"/>
      </w:tblPr>
      <w:tblGrid>
        <w:gridCol w:w="642"/>
        <w:gridCol w:w="1325"/>
        <w:gridCol w:w="871"/>
        <w:gridCol w:w="871"/>
        <w:gridCol w:w="1348"/>
        <w:gridCol w:w="2200"/>
      </w:tblGrid>
      <w:tr w:rsidR="00A95AA7" w:rsidRPr="00A95AA7" w:rsidTr="00A95AA7">
        <w:tc>
          <w:tcPr>
            <w:tcW w:w="0" w:type="auto"/>
            <w:tcBorders>
              <w:top w:val="single" w:sz="6" w:space="0" w:color="414141"/>
              <w:left w:val="single" w:sz="6" w:space="0" w:color="000000"/>
              <w:bottom w:val="single" w:sz="2" w:space="0" w:color="414141"/>
              <w:right w:val="single" w:sz="6" w:space="0" w:color="000000"/>
            </w:tcBorders>
            <w:tcMar>
              <w:top w:w="0" w:type="dxa"/>
              <w:left w:w="86" w:type="dxa"/>
              <w:bottom w:w="86" w:type="dxa"/>
              <w:right w:w="86" w:type="dxa"/>
            </w:tcMar>
            <w:vAlign w:val="bottom"/>
            <w:hideMark/>
          </w:tcPr>
          <w:p w:rsidR="00A95AA7" w:rsidRPr="00EF7970" w:rsidRDefault="00A95AA7" w:rsidP="00EF7970">
            <w:pPr>
              <w:rPr>
                <w:b/>
              </w:rPr>
            </w:pPr>
            <w:r w:rsidRPr="00EF7970">
              <w:rPr>
                <w:b/>
              </w:rPr>
              <w:lastRenderedPageBreak/>
              <w:t>State</w:t>
            </w:r>
          </w:p>
        </w:tc>
        <w:tc>
          <w:tcPr>
            <w:tcW w:w="0" w:type="auto"/>
            <w:tcBorders>
              <w:top w:val="single" w:sz="6" w:space="0" w:color="414141"/>
              <w:left w:val="single" w:sz="6" w:space="0" w:color="000000"/>
              <w:bottom w:val="single" w:sz="2" w:space="0" w:color="414141"/>
              <w:right w:val="single" w:sz="6" w:space="0" w:color="000000"/>
            </w:tcBorders>
            <w:tcMar>
              <w:top w:w="60" w:type="dxa"/>
              <w:left w:w="86" w:type="dxa"/>
              <w:bottom w:w="86" w:type="dxa"/>
              <w:right w:w="86" w:type="dxa"/>
            </w:tcMar>
            <w:vAlign w:val="bottom"/>
            <w:hideMark/>
          </w:tcPr>
          <w:p w:rsidR="00A95AA7" w:rsidRPr="00EF7970" w:rsidRDefault="00A95AA7" w:rsidP="00EF7970">
            <w:pPr>
              <w:rPr>
                <w:b/>
              </w:rPr>
            </w:pPr>
            <w:r w:rsidRPr="00EF7970">
              <w:rPr>
                <w:b/>
              </w:rPr>
              <w:t>Applications</w:t>
            </w:r>
          </w:p>
        </w:tc>
        <w:tc>
          <w:tcPr>
            <w:tcW w:w="0" w:type="auto"/>
            <w:tcBorders>
              <w:top w:val="single" w:sz="6" w:space="0" w:color="414141"/>
              <w:left w:val="single" w:sz="6" w:space="0" w:color="000000"/>
              <w:bottom w:val="single" w:sz="2" w:space="0" w:color="000000"/>
              <w:right w:val="single" w:sz="6" w:space="0" w:color="000000"/>
            </w:tcBorders>
            <w:tcMar>
              <w:top w:w="60" w:type="dxa"/>
              <w:left w:w="86" w:type="dxa"/>
              <w:bottom w:w="86" w:type="dxa"/>
              <w:right w:w="86" w:type="dxa"/>
            </w:tcMar>
            <w:vAlign w:val="bottom"/>
            <w:hideMark/>
          </w:tcPr>
          <w:p w:rsidR="00A95AA7" w:rsidRPr="00EF7970" w:rsidRDefault="00A95AA7" w:rsidP="00EF7970">
            <w:pPr>
              <w:rPr>
                <w:b/>
              </w:rPr>
            </w:pPr>
            <w:r w:rsidRPr="00EF7970">
              <w:rPr>
                <w:b/>
              </w:rPr>
              <w:t>Funded</w:t>
            </w:r>
          </w:p>
        </w:tc>
        <w:tc>
          <w:tcPr>
            <w:tcW w:w="0" w:type="auto"/>
            <w:tcBorders>
              <w:top w:val="single" w:sz="6" w:space="0" w:color="414141"/>
              <w:left w:val="single" w:sz="6" w:space="0" w:color="000000"/>
              <w:bottom w:val="single" w:sz="2" w:space="0" w:color="414141"/>
              <w:right w:val="single" w:sz="6" w:space="0" w:color="000000"/>
            </w:tcBorders>
            <w:tcMar>
              <w:top w:w="60" w:type="dxa"/>
              <w:left w:w="86" w:type="dxa"/>
              <w:bottom w:w="86" w:type="dxa"/>
              <w:right w:w="86" w:type="dxa"/>
            </w:tcMar>
            <w:vAlign w:val="bottom"/>
            <w:hideMark/>
          </w:tcPr>
          <w:p w:rsidR="00A95AA7" w:rsidRPr="00EF7970" w:rsidRDefault="00A95AA7" w:rsidP="00EF7970">
            <w:pPr>
              <w:rPr>
                <w:b/>
              </w:rPr>
            </w:pPr>
            <w:r w:rsidRPr="00EF7970">
              <w:rPr>
                <w:b/>
              </w:rPr>
              <w:t>Funded</w:t>
            </w:r>
            <w:r w:rsidRPr="00EF7970">
              <w:rPr>
                <w:b/>
              </w:rPr>
              <w:br/>
              <w:t>rate</w:t>
            </w:r>
          </w:p>
        </w:tc>
        <w:tc>
          <w:tcPr>
            <w:tcW w:w="0" w:type="auto"/>
            <w:tcBorders>
              <w:top w:val="single" w:sz="6" w:space="0" w:color="414141"/>
              <w:left w:val="single" w:sz="6" w:space="0" w:color="000000"/>
              <w:bottom w:val="single" w:sz="2" w:space="0" w:color="000000"/>
              <w:right w:val="single" w:sz="6" w:space="0" w:color="000000"/>
            </w:tcBorders>
            <w:tcMar>
              <w:top w:w="60" w:type="dxa"/>
              <w:left w:w="86" w:type="dxa"/>
              <w:bottom w:w="86" w:type="dxa"/>
              <w:right w:w="86" w:type="dxa"/>
            </w:tcMar>
            <w:vAlign w:val="bottom"/>
            <w:hideMark/>
          </w:tcPr>
          <w:p w:rsidR="00A95AA7" w:rsidRPr="00EF7970" w:rsidRDefault="00A95AA7" w:rsidP="00EF7970">
            <w:pPr>
              <w:rPr>
                <w:b/>
              </w:rPr>
            </w:pPr>
            <w:r w:rsidRPr="00EF7970">
              <w:rPr>
                <w:b/>
              </w:rPr>
              <w:t>Amount</w:t>
            </w:r>
          </w:p>
        </w:tc>
        <w:tc>
          <w:tcPr>
            <w:tcW w:w="0" w:type="auto"/>
            <w:tcBorders>
              <w:top w:val="single" w:sz="6" w:space="0" w:color="414141"/>
              <w:left w:val="single" w:sz="6" w:space="0" w:color="000000"/>
              <w:bottom w:val="single" w:sz="2" w:space="0" w:color="000000"/>
              <w:right w:val="single" w:sz="6" w:space="0" w:color="000000"/>
            </w:tcBorders>
            <w:tcMar>
              <w:top w:w="60" w:type="dxa"/>
              <w:left w:w="86" w:type="dxa"/>
              <w:bottom w:w="86" w:type="dxa"/>
              <w:right w:w="86" w:type="dxa"/>
            </w:tcMar>
            <w:vAlign w:val="bottom"/>
            <w:hideMark/>
          </w:tcPr>
          <w:p w:rsidR="00A95AA7" w:rsidRPr="00EF7970" w:rsidRDefault="00A95AA7" w:rsidP="00EF7970">
            <w:pPr>
              <w:rPr>
                <w:b/>
              </w:rPr>
            </w:pPr>
            <w:r w:rsidRPr="00EF7970">
              <w:rPr>
                <w:b/>
              </w:rPr>
              <w:t>Percentage of funding</w:t>
            </w:r>
          </w:p>
        </w:tc>
      </w:tr>
      <w:tr w:rsidR="00A95AA7" w:rsidRPr="00A95AA7" w:rsidTr="00A95AA7">
        <w:tc>
          <w:tcPr>
            <w:tcW w:w="0" w:type="auto"/>
            <w:tcBorders>
              <w:top w:val="single" w:sz="2" w:space="0" w:color="414141"/>
              <w:left w:val="single" w:sz="6" w:space="0" w:color="000000"/>
              <w:bottom w:val="single" w:sz="2" w:space="0" w:color="414141"/>
              <w:right w:val="single" w:sz="6" w:space="0" w:color="000000"/>
            </w:tcBorders>
            <w:tcMar>
              <w:top w:w="0" w:type="dxa"/>
              <w:left w:w="86" w:type="dxa"/>
              <w:bottom w:w="86" w:type="dxa"/>
              <w:right w:w="86" w:type="dxa"/>
            </w:tcMar>
            <w:hideMark/>
          </w:tcPr>
          <w:p w:rsidR="00A95AA7" w:rsidRPr="00EF7970" w:rsidRDefault="00A95AA7" w:rsidP="00EF7970">
            <w:r w:rsidRPr="00EF7970">
              <w:t>VIC </w:t>
            </w:r>
          </w:p>
        </w:tc>
        <w:tc>
          <w:tcPr>
            <w:tcW w:w="0" w:type="auto"/>
            <w:tcBorders>
              <w:top w:val="single" w:sz="2" w:space="0" w:color="414141"/>
              <w:left w:val="single" w:sz="6" w:space="0" w:color="000000"/>
              <w:bottom w:val="single" w:sz="2" w:space="0" w:color="414141"/>
              <w:right w:val="single" w:sz="6" w:space="0" w:color="000000"/>
            </w:tcBorders>
            <w:tcMar>
              <w:top w:w="60" w:type="dxa"/>
              <w:left w:w="86" w:type="dxa"/>
              <w:bottom w:w="86" w:type="dxa"/>
              <w:right w:w="86" w:type="dxa"/>
            </w:tcMar>
            <w:hideMark/>
          </w:tcPr>
          <w:p w:rsidR="00A95AA7" w:rsidRPr="00EF7970" w:rsidRDefault="00A95AA7" w:rsidP="00EF7970">
            <w:r w:rsidRPr="00EF7970">
              <w:t>2,108</w:t>
            </w:r>
          </w:p>
        </w:tc>
        <w:tc>
          <w:tcPr>
            <w:tcW w:w="0" w:type="auto"/>
            <w:tcBorders>
              <w:top w:val="single" w:sz="2" w:space="0" w:color="000000"/>
              <w:left w:val="single" w:sz="6" w:space="0" w:color="000000"/>
              <w:bottom w:val="single" w:sz="2" w:space="0" w:color="000000"/>
              <w:right w:val="single" w:sz="6" w:space="0" w:color="000000"/>
            </w:tcBorders>
            <w:tcMar>
              <w:top w:w="60" w:type="dxa"/>
              <w:left w:w="86" w:type="dxa"/>
              <w:bottom w:w="86" w:type="dxa"/>
              <w:right w:w="86" w:type="dxa"/>
            </w:tcMar>
            <w:hideMark/>
          </w:tcPr>
          <w:p w:rsidR="00A95AA7" w:rsidRPr="00EF7970" w:rsidRDefault="00A95AA7" w:rsidP="00EF7970">
            <w:r w:rsidRPr="00EF7970">
              <w:t>421</w:t>
            </w:r>
          </w:p>
        </w:tc>
        <w:tc>
          <w:tcPr>
            <w:tcW w:w="0" w:type="auto"/>
            <w:tcBorders>
              <w:top w:val="single" w:sz="2" w:space="0" w:color="414141"/>
              <w:left w:val="single" w:sz="6" w:space="0" w:color="000000"/>
              <w:bottom w:val="single" w:sz="2" w:space="0" w:color="414141"/>
              <w:right w:val="single" w:sz="6" w:space="0" w:color="000000"/>
            </w:tcBorders>
            <w:tcMar>
              <w:top w:w="60" w:type="dxa"/>
              <w:left w:w="86" w:type="dxa"/>
              <w:bottom w:w="86" w:type="dxa"/>
              <w:right w:w="86" w:type="dxa"/>
            </w:tcMar>
            <w:hideMark/>
          </w:tcPr>
          <w:p w:rsidR="00A95AA7" w:rsidRPr="00EF7970" w:rsidRDefault="00A95AA7" w:rsidP="00EF7970">
            <w:r w:rsidRPr="00EF7970">
              <w:t>20.0%</w:t>
            </w:r>
          </w:p>
        </w:tc>
        <w:tc>
          <w:tcPr>
            <w:tcW w:w="0" w:type="auto"/>
            <w:tcBorders>
              <w:top w:val="single" w:sz="2" w:space="0" w:color="000000"/>
              <w:left w:val="single" w:sz="6" w:space="0" w:color="000000"/>
              <w:bottom w:val="single" w:sz="2" w:space="0" w:color="000000"/>
              <w:right w:val="single" w:sz="6" w:space="0" w:color="000000"/>
            </w:tcBorders>
            <w:tcMar>
              <w:top w:w="60" w:type="dxa"/>
              <w:left w:w="86" w:type="dxa"/>
              <w:bottom w:w="86" w:type="dxa"/>
              <w:right w:w="86" w:type="dxa"/>
            </w:tcMar>
            <w:hideMark/>
          </w:tcPr>
          <w:p w:rsidR="00A95AA7" w:rsidRPr="00EF7970" w:rsidRDefault="00A95AA7" w:rsidP="00EF7970">
            <w:r w:rsidRPr="00EF7970">
              <w:t>$329,655,050</w:t>
            </w:r>
          </w:p>
        </w:tc>
        <w:tc>
          <w:tcPr>
            <w:tcW w:w="0" w:type="auto"/>
            <w:tcBorders>
              <w:top w:val="single" w:sz="2" w:space="0" w:color="000000"/>
              <w:left w:val="single" w:sz="6" w:space="0" w:color="000000"/>
              <w:bottom w:val="single" w:sz="2" w:space="0" w:color="000000"/>
              <w:right w:val="single" w:sz="6" w:space="0" w:color="000000"/>
            </w:tcBorders>
            <w:tcMar>
              <w:top w:w="60" w:type="dxa"/>
              <w:left w:w="86" w:type="dxa"/>
              <w:bottom w:w="86" w:type="dxa"/>
              <w:right w:w="86" w:type="dxa"/>
            </w:tcMar>
            <w:hideMark/>
          </w:tcPr>
          <w:p w:rsidR="00A95AA7" w:rsidRPr="00EF7970" w:rsidRDefault="00A95AA7" w:rsidP="00EF7970">
            <w:r w:rsidRPr="00EF7970">
              <w:t>41.8%</w:t>
            </w:r>
          </w:p>
        </w:tc>
      </w:tr>
      <w:tr w:rsidR="00A95AA7" w:rsidRPr="00A95AA7" w:rsidTr="00A95AA7">
        <w:tc>
          <w:tcPr>
            <w:tcW w:w="0" w:type="auto"/>
            <w:tcBorders>
              <w:top w:val="single" w:sz="2" w:space="0" w:color="414141"/>
              <w:left w:val="single" w:sz="6" w:space="0" w:color="000000"/>
              <w:bottom w:val="single" w:sz="2" w:space="0" w:color="414141"/>
              <w:right w:val="single" w:sz="6" w:space="0" w:color="000000"/>
            </w:tcBorders>
            <w:tcMar>
              <w:top w:w="0" w:type="dxa"/>
              <w:left w:w="86" w:type="dxa"/>
              <w:bottom w:w="86" w:type="dxa"/>
              <w:right w:w="86" w:type="dxa"/>
            </w:tcMar>
            <w:hideMark/>
          </w:tcPr>
          <w:p w:rsidR="00A95AA7" w:rsidRPr="00EF7970" w:rsidRDefault="00A95AA7" w:rsidP="00EF7970">
            <w:r w:rsidRPr="00EF7970">
              <w:t>NSW</w:t>
            </w:r>
          </w:p>
        </w:tc>
        <w:tc>
          <w:tcPr>
            <w:tcW w:w="0" w:type="auto"/>
            <w:tcBorders>
              <w:top w:val="single" w:sz="2" w:space="0" w:color="414141"/>
              <w:left w:val="single" w:sz="6" w:space="0" w:color="000000"/>
              <w:bottom w:val="single" w:sz="2" w:space="0" w:color="414141"/>
              <w:right w:val="single" w:sz="6" w:space="0" w:color="000000"/>
            </w:tcBorders>
            <w:tcMar>
              <w:top w:w="60" w:type="dxa"/>
              <w:left w:w="86" w:type="dxa"/>
              <w:bottom w:w="86" w:type="dxa"/>
              <w:right w:w="86" w:type="dxa"/>
            </w:tcMar>
            <w:hideMark/>
          </w:tcPr>
          <w:p w:rsidR="00A95AA7" w:rsidRPr="00EF7970" w:rsidRDefault="00A95AA7" w:rsidP="00EF7970">
            <w:r w:rsidRPr="00EF7970">
              <w:t>1,525</w:t>
            </w:r>
          </w:p>
        </w:tc>
        <w:tc>
          <w:tcPr>
            <w:tcW w:w="0" w:type="auto"/>
            <w:tcBorders>
              <w:top w:val="single" w:sz="2" w:space="0" w:color="000000"/>
              <w:left w:val="single" w:sz="6" w:space="0" w:color="000000"/>
              <w:bottom w:val="single" w:sz="2" w:space="0" w:color="000000"/>
              <w:right w:val="single" w:sz="6" w:space="0" w:color="000000"/>
            </w:tcBorders>
            <w:tcMar>
              <w:top w:w="60" w:type="dxa"/>
              <w:left w:w="86" w:type="dxa"/>
              <w:bottom w:w="86" w:type="dxa"/>
              <w:right w:w="86" w:type="dxa"/>
            </w:tcMar>
            <w:hideMark/>
          </w:tcPr>
          <w:p w:rsidR="00A95AA7" w:rsidRPr="00EF7970" w:rsidRDefault="00A95AA7" w:rsidP="00EF7970">
            <w:r w:rsidRPr="00EF7970">
              <w:t>272</w:t>
            </w:r>
          </w:p>
        </w:tc>
        <w:tc>
          <w:tcPr>
            <w:tcW w:w="0" w:type="auto"/>
            <w:tcBorders>
              <w:top w:val="single" w:sz="2" w:space="0" w:color="414141"/>
              <w:left w:val="single" w:sz="6" w:space="0" w:color="000000"/>
              <w:bottom w:val="single" w:sz="2" w:space="0" w:color="414141"/>
              <w:right w:val="single" w:sz="6" w:space="0" w:color="000000"/>
            </w:tcBorders>
            <w:tcMar>
              <w:top w:w="60" w:type="dxa"/>
              <w:left w:w="86" w:type="dxa"/>
              <w:bottom w:w="86" w:type="dxa"/>
              <w:right w:w="86" w:type="dxa"/>
            </w:tcMar>
            <w:hideMark/>
          </w:tcPr>
          <w:p w:rsidR="00A95AA7" w:rsidRPr="00EF7970" w:rsidRDefault="00A95AA7" w:rsidP="00EF7970">
            <w:r w:rsidRPr="00EF7970">
              <w:t>17.8%</w:t>
            </w:r>
          </w:p>
        </w:tc>
        <w:tc>
          <w:tcPr>
            <w:tcW w:w="0" w:type="auto"/>
            <w:tcBorders>
              <w:top w:val="single" w:sz="2" w:space="0" w:color="000000"/>
              <w:left w:val="single" w:sz="6" w:space="0" w:color="000000"/>
              <w:bottom w:val="single" w:sz="2" w:space="0" w:color="000000"/>
              <w:right w:val="single" w:sz="6" w:space="0" w:color="000000"/>
            </w:tcBorders>
            <w:tcMar>
              <w:top w:w="60" w:type="dxa"/>
              <w:left w:w="86" w:type="dxa"/>
              <w:bottom w:w="86" w:type="dxa"/>
              <w:right w:w="86" w:type="dxa"/>
            </w:tcMar>
            <w:hideMark/>
          </w:tcPr>
          <w:p w:rsidR="00A95AA7" w:rsidRPr="00EF7970" w:rsidRDefault="00A95AA7" w:rsidP="00EF7970">
            <w:r w:rsidRPr="00EF7970">
              <w:t>$227,547,908</w:t>
            </w:r>
          </w:p>
        </w:tc>
        <w:tc>
          <w:tcPr>
            <w:tcW w:w="0" w:type="auto"/>
            <w:tcBorders>
              <w:top w:val="single" w:sz="2" w:space="0" w:color="000000"/>
              <w:left w:val="single" w:sz="6" w:space="0" w:color="000000"/>
              <w:bottom w:val="single" w:sz="2" w:space="0" w:color="000000"/>
              <w:right w:val="single" w:sz="6" w:space="0" w:color="000000"/>
            </w:tcBorders>
            <w:tcMar>
              <w:top w:w="60" w:type="dxa"/>
              <w:left w:w="86" w:type="dxa"/>
              <w:bottom w:w="86" w:type="dxa"/>
              <w:right w:w="86" w:type="dxa"/>
            </w:tcMar>
            <w:hideMark/>
          </w:tcPr>
          <w:p w:rsidR="00A95AA7" w:rsidRPr="00EF7970" w:rsidRDefault="00A95AA7" w:rsidP="00EF7970">
            <w:r w:rsidRPr="00EF7970">
              <w:t>28.9%</w:t>
            </w:r>
          </w:p>
        </w:tc>
      </w:tr>
      <w:tr w:rsidR="00A95AA7" w:rsidRPr="00A95AA7" w:rsidTr="00A95AA7">
        <w:tc>
          <w:tcPr>
            <w:tcW w:w="0" w:type="auto"/>
            <w:tcBorders>
              <w:top w:val="single" w:sz="2" w:space="0" w:color="414141"/>
              <w:left w:val="single" w:sz="6" w:space="0" w:color="000000"/>
              <w:bottom w:val="single" w:sz="2" w:space="0" w:color="414141"/>
              <w:right w:val="single" w:sz="6" w:space="0" w:color="000000"/>
            </w:tcBorders>
            <w:tcMar>
              <w:top w:w="0" w:type="dxa"/>
              <w:left w:w="86" w:type="dxa"/>
              <w:bottom w:w="86" w:type="dxa"/>
              <w:right w:w="86" w:type="dxa"/>
            </w:tcMar>
            <w:hideMark/>
          </w:tcPr>
          <w:p w:rsidR="00A95AA7" w:rsidRPr="00EF7970" w:rsidRDefault="00A95AA7" w:rsidP="00EF7970">
            <w:r w:rsidRPr="00EF7970">
              <w:t>QLD</w:t>
            </w:r>
          </w:p>
        </w:tc>
        <w:tc>
          <w:tcPr>
            <w:tcW w:w="0" w:type="auto"/>
            <w:tcBorders>
              <w:top w:val="single" w:sz="2" w:space="0" w:color="414141"/>
              <w:left w:val="single" w:sz="6" w:space="0" w:color="000000"/>
              <w:bottom w:val="single" w:sz="2" w:space="0" w:color="414141"/>
              <w:right w:val="single" w:sz="6" w:space="0" w:color="000000"/>
            </w:tcBorders>
            <w:tcMar>
              <w:top w:w="60" w:type="dxa"/>
              <w:left w:w="86" w:type="dxa"/>
              <w:bottom w:w="86" w:type="dxa"/>
              <w:right w:w="86" w:type="dxa"/>
            </w:tcMar>
            <w:hideMark/>
          </w:tcPr>
          <w:p w:rsidR="00A95AA7" w:rsidRPr="00EF7970" w:rsidRDefault="00A95AA7" w:rsidP="00EF7970">
            <w:r w:rsidRPr="00EF7970">
              <w:t>825</w:t>
            </w:r>
          </w:p>
        </w:tc>
        <w:tc>
          <w:tcPr>
            <w:tcW w:w="0" w:type="auto"/>
            <w:tcBorders>
              <w:top w:val="single" w:sz="2" w:space="0" w:color="000000"/>
              <w:left w:val="single" w:sz="6" w:space="0" w:color="000000"/>
              <w:bottom w:val="single" w:sz="2" w:space="0" w:color="000000"/>
              <w:right w:val="single" w:sz="6" w:space="0" w:color="000000"/>
            </w:tcBorders>
            <w:tcMar>
              <w:top w:w="60" w:type="dxa"/>
              <w:left w:w="86" w:type="dxa"/>
              <w:bottom w:w="86" w:type="dxa"/>
              <w:right w:w="86" w:type="dxa"/>
            </w:tcMar>
            <w:hideMark/>
          </w:tcPr>
          <w:p w:rsidR="00A95AA7" w:rsidRPr="00EF7970" w:rsidRDefault="00A95AA7" w:rsidP="00EF7970">
            <w:r w:rsidRPr="00EF7970">
              <w:t>131</w:t>
            </w:r>
          </w:p>
        </w:tc>
        <w:tc>
          <w:tcPr>
            <w:tcW w:w="0" w:type="auto"/>
            <w:tcBorders>
              <w:top w:val="single" w:sz="2" w:space="0" w:color="414141"/>
              <w:left w:val="single" w:sz="6" w:space="0" w:color="000000"/>
              <w:bottom w:val="single" w:sz="2" w:space="0" w:color="414141"/>
              <w:right w:val="single" w:sz="6" w:space="0" w:color="000000"/>
            </w:tcBorders>
            <w:tcMar>
              <w:top w:w="60" w:type="dxa"/>
              <w:left w:w="86" w:type="dxa"/>
              <w:bottom w:w="86" w:type="dxa"/>
              <w:right w:w="86" w:type="dxa"/>
            </w:tcMar>
            <w:hideMark/>
          </w:tcPr>
          <w:p w:rsidR="00A95AA7" w:rsidRPr="00EF7970" w:rsidRDefault="00A95AA7" w:rsidP="00EF7970">
            <w:r w:rsidRPr="00EF7970">
              <w:t>15.9%</w:t>
            </w:r>
          </w:p>
        </w:tc>
        <w:tc>
          <w:tcPr>
            <w:tcW w:w="0" w:type="auto"/>
            <w:tcBorders>
              <w:top w:val="single" w:sz="2" w:space="0" w:color="000000"/>
              <w:left w:val="single" w:sz="6" w:space="0" w:color="000000"/>
              <w:bottom w:val="single" w:sz="2" w:space="0" w:color="000000"/>
              <w:right w:val="single" w:sz="6" w:space="0" w:color="000000"/>
            </w:tcBorders>
            <w:tcMar>
              <w:top w:w="60" w:type="dxa"/>
              <w:left w:w="86" w:type="dxa"/>
              <w:bottom w:w="86" w:type="dxa"/>
              <w:right w:w="86" w:type="dxa"/>
            </w:tcMar>
            <w:hideMark/>
          </w:tcPr>
          <w:p w:rsidR="00A95AA7" w:rsidRPr="00EF7970" w:rsidRDefault="00A95AA7" w:rsidP="00EF7970">
            <w:r w:rsidRPr="00EF7970">
              <w:t>$111,543,419</w:t>
            </w:r>
          </w:p>
        </w:tc>
        <w:tc>
          <w:tcPr>
            <w:tcW w:w="0" w:type="auto"/>
            <w:tcBorders>
              <w:top w:val="single" w:sz="2" w:space="0" w:color="000000"/>
              <w:left w:val="single" w:sz="6" w:space="0" w:color="000000"/>
              <w:bottom w:val="single" w:sz="2" w:space="0" w:color="000000"/>
              <w:right w:val="single" w:sz="6" w:space="0" w:color="000000"/>
            </w:tcBorders>
            <w:tcMar>
              <w:top w:w="60" w:type="dxa"/>
              <w:left w:w="86" w:type="dxa"/>
              <w:bottom w:w="86" w:type="dxa"/>
              <w:right w:w="86" w:type="dxa"/>
            </w:tcMar>
            <w:hideMark/>
          </w:tcPr>
          <w:p w:rsidR="00A95AA7" w:rsidRPr="00EF7970" w:rsidRDefault="00A95AA7" w:rsidP="00EF7970">
            <w:r w:rsidRPr="00EF7970">
              <w:t>14.1%</w:t>
            </w:r>
          </w:p>
        </w:tc>
      </w:tr>
      <w:tr w:rsidR="00A95AA7" w:rsidRPr="00A95AA7" w:rsidTr="00A95AA7">
        <w:tc>
          <w:tcPr>
            <w:tcW w:w="0" w:type="auto"/>
            <w:tcBorders>
              <w:top w:val="single" w:sz="2" w:space="0" w:color="414141"/>
              <w:left w:val="single" w:sz="6" w:space="0" w:color="000000"/>
              <w:bottom w:val="single" w:sz="2" w:space="0" w:color="414141"/>
              <w:right w:val="single" w:sz="6" w:space="0" w:color="000000"/>
            </w:tcBorders>
            <w:tcMar>
              <w:top w:w="0" w:type="dxa"/>
              <w:left w:w="86" w:type="dxa"/>
              <w:bottom w:w="86" w:type="dxa"/>
              <w:right w:w="86" w:type="dxa"/>
            </w:tcMar>
            <w:hideMark/>
          </w:tcPr>
          <w:p w:rsidR="00A95AA7" w:rsidRPr="00EF7970" w:rsidRDefault="00A95AA7" w:rsidP="00EF7970">
            <w:r w:rsidRPr="00EF7970">
              <w:t>WA</w:t>
            </w:r>
          </w:p>
        </w:tc>
        <w:tc>
          <w:tcPr>
            <w:tcW w:w="0" w:type="auto"/>
            <w:tcBorders>
              <w:top w:val="single" w:sz="2" w:space="0" w:color="414141"/>
              <w:left w:val="single" w:sz="6" w:space="0" w:color="000000"/>
              <w:bottom w:val="single" w:sz="2" w:space="0" w:color="414141"/>
              <w:right w:val="single" w:sz="6" w:space="0" w:color="000000"/>
            </w:tcBorders>
            <w:tcMar>
              <w:top w:w="60" w:type="dxa"/>
              <w:left w:w="86" w:type="dxa"/>
              <w:bottom w:w="86" w:type="dxa"/>
              <w:right w:w="86" w:type="dxa"/>
            </w:tcMar>
            <w:hideMark/>
          </w:tcPr>
          <w:p w:rsidR="00A95AA7" w:rsidRPr="00EF7970" w:rsidRDefault="00A95AA7" w:rsidP="00EF7970">
            <w:r w:rsidRPr="00EF7970">
              <w:t>360</w:t>
            </w:r>
          </w:p>
        </w:tc>
        <w:tc>
          <w:tcPr>
            <w:tcW w:w="0" w:type="auto"/>
            <w:tcBorders>
              <w:top w:val="single" w:sz="2" w:space="0" w:color="000000"/>
              <w:left w:val="single" w:sz="6" w:space="0" w:color="000000"/>
              <w:bottom w:val="single" w:sz="2" w:space="0" w:color="000000"/>
              <w:right w:val="single" w:sz="6" w:space="0" w:color="000000"/>
            </w:tcBorders>
            <w:tcMar>
              <w:top w:w="60" w:type="dxa"/>
              <w:left w:w="86" w:type="dxa"/>
              <w:bottom w:w="86" w:type="dxa"/>
              <w:right w:w="86" w:type="dxa"/>
            </w:tcMar>
            <w:hideMark/>
          </w:tcPr>
          <w:p w:rsidR="00A95AA7" w:rsidRPr="00EF7970" w:rsidRDefault="00A95AA7" w:rsidP="00EF7970">
            <w:r w:rsidRPr="00EF7970">
              <w:t>58</w:t>
            </w:r>
          </w:p>
        </w:tc>
        <w:tc>
          <w:tcPr>
            <w:tcW w:w="0" w:type="auto"/>
            <w:tcBorders>
              <w:top w:val="single" w:sz="2" w:space="0" w:color="414141"/>
              <w:left w:val="single" w:sz="6" w:space="0" w:color="000000"/>
              <w:bottom w:val="single" w:sz="2" w:space="0" w:color="414141"/>
              <w:right w:val="single" w:sz="6" w:space="0" w:color="000000"/>
            </w:tcBorders>
            <w:tcMar>
              <w:top w:w="60" w:type="dxa"/>
              <w:left w:w="86" w:type="dxa"/>
              <w:bottom w:w="86" w:type="dxa"/>
              <w:right w:w="86" w:type="dxa"/>
            </w:tcMar>
            <w:hideMark/>
          </w:tcPr>
          <w:p w:rsidR="00A95AA7" w:rsidRPr="00EF7970" w:rsidRDefault="00A95AA7" w:rsidP="00EF7970">
            <w:r w:rsidRPr="00EF7970">
              <w:t>16.1%</w:t>
            </w:r>
          </w:p>
        </w:tc>
        <w:tc>
          <w:tcPr>
            <w:tcW w:w="0" w:type="auto"/>
            <w:tcBorders>
              <w:top w:val="single" w:sz="2" w:space="0" w:color="000000"/>
              <w:left w:val="single" w:sz="6" w:space="0" w:color="000000"/>
              <w:bottom w:val="single" w:sz="2" w:space="0" w:color="000000"/>
              <w:right w:val="single" w:sz="6" w:space="0" w:color="000000"/>
            </w:tcBorders>
            <w:tcMar>
              <w:top w:w="60" w:type="dxa"/>
              <w:left w:w="86" w:type="dxa"/>
              <w:bottom w:w="86" w:type="dxa"/>
              <w:right w:w="86" w:type="dxa"/>
            </w:tcMar>
            <w:hideMark/>
          </w:tcPr>
          <w:p w:rsidR="00A95AA7" w:rsidRPr="00EF7970" w:rsidRDefault="00A95AA7" w:rsidP="00EF7970">
            <w:r w:rsidRPr="00EF7970">
              <w:t>$44,095,650</w:t>
            </w:r>
          </w:p>
        </w:tc>
        <w:tc>
          <w:tcPr>
            <w:tcW w:w="0" w:type="auto"/>
            <w:tcBorders>
              <w:top w:val="single" w:sz="2" w:space="0" w:color="000000"/>
              <w:left w:val="single" w:sz="6" w:space="0" w:color="000000"/>
              <w:bottom w:val="single" w:sz="2" w:space="0" w:color="000000"/>
              <w:right w:val="single" w:sz="6" w:space="0" w:color="000000"/>
            </w:tcBorders>
            <w:tcMar>
              <w:top w:w="60" w:type="dxa"/>
              <w:left w:w="86" w:type="dxa"/>
              <w:bottom w:w="86" w:type="dxa"/>
              <w:right w:w="86" w:type="dxa"/>
            </w:tcMar>
            <w:hideMark/>
          </w:tcPr>
          <w:p w:rsidR="00A95AA7" w:rsidRPr="00EF7970" w:rsidRDefault="00A95AA7" w:rsidP="00EF7970">
            <w:r w:rsidRPr="00EF7970">
              <w:t>5.6%</w:t>
            </w:r>
          </w:p>
        </w:tc>
      </w:tr>
      <w:tr w:rsidR="00A95AA7" w:rsidRPr="00A95AA7" w:rsidTr="00A95AA7">
        <w:tc>
          <w:tcPr>
            <w:tcW w:w="0" w:type="auto"/>
            <w:tcBorders>
              <w:top w:val="single" w:sz="2" w:space="0" w:color="414141"/>
              <w:left w:val="single" w:sz="6" w:space="0" w:color="000000"/>
              <w:bottom w:val="single" w:sz="2" w:space="0" w:color="414141"/>
              <w:right w:val="single" w:sz="6" w:space="0" w:color="000000"/>
            </w:tcBorders>
            <w:tcMar>
              <w:top w:w="0" w:type="dxa"/>
              <w:left w:w="86" w:type="dxa"/>
              <w:bottom w:w="86" w:type="dxa"/>
              <w:right w:w="86" w:type="dxa"/>
            </w:tcMar>
            <w:hideMark/>
          </w:tcPr>
          <w:p w:rsidR="00A95AA7" w:rsidRPr="00EF7970" w:rsidRDefault="00A95AA7" w:rsidP="00EF7970">
            <w:r w:rsidRPr="00EF7970">
              <w:t>SA</w:t>
            </w:r>
          </w:p>
        </w:tc>
        <w:tc>
          <w:tcPr>
            <w:tcW w:w="0" w:type="auto"/>
            <w:tcBorders>
              <w:top w:val="single" w:sz="2" w:space="0" w:color="414141"/>
              <w:left w:val="single" w:sz="6" w:space="0" w:color="000000"/>
              <w:bottom w:val="single" w:sz="2" w:space="0" w:color="414141"/>
              <w:right w:val="single" w:sz="6" w:space="0" w:color="000000"/>
            </w:tcBorders>
            <w:tcMar>
              <w:top w:w="60" w:type="dxa"/>
              <w:left w:w="86" w:type="dxa"/>
              <w:bottom w:w="86" w:type="dxa"/>
              <w:right w:w="86" w:type="dxa"/>
            </w:tcMar>
            <w:hideMark/>
          </w:tcPr>
          <w:p w:rsidR="00A95AA7" w:rsidRPr="00EF7970" w:rsidRDefault="00A95AA7" w:rsidP="00EF7970">
            <w:r w:rsidRPr="00EF7970">
              <w:t>493</w:t>
            </w:r>
          </w:p>
        </w:tc>
        <w:tc>
          <w:tcPr>
            <w:tcW w:w="0" w:type="auto"/>
            <w:tcBorders>
              <w:top w:val="single" w:sz="2" w:space="0" w:color="000000"/>
              <w:left w:val="single" w:sz="6" w:space="0" w:color="000000"/>
              <w:bottom w:val="single" w:sz="2" w:space="0" w:color="000000"/>
              <w:right w:val="single" w:sz="6" w:space="0" w:color="000000"/>
            </w:tcBorders>
            <w:tcMar>
              <w:top w:w="60" w:type="dxa"/>
              <w:left w:w="86" w:type="dxa"/>
              <w:bottom w:w="86" w:type="dxa"/>
              <w:right w:w="86" w:type="dxa"/>
            </w:tcMar>
            <w:hideMark/>
          </w:tcPr>
          <w:p w:rsidR="00A95AA7" w:rsidRPr="00EF7970" w:rsidRDefault="00A95AA7" w:rsidP="00EF7970">
            <w:r w:rsidRPr="00EF7970">
              <w:t>64</w:t>
            </w:r>
          </w:p>
        </w:tc>
        <w:tc>
          <w:tcPr>
            <w:tcW w:w="0" w:type="auto"/>
            <w:tcBorders>
              <w:top w:val="single" w:sz="2" w:space="0" w:color="414141"/>
              <w:left w:val="single" w:sz="6" w:space="0" w:color="000000"/>
              <w:bottom w:val="single" w:sz="2" w:space="0" w:color="414141"/>
              <w:right w:val="single" w:sz="6" w:space="0" w:color="000000"/>
            </w:tcBorders>
            <w:tcMar>
              <w:top w:w="60" w:type="dxa"/>
              <w:left w:w="86" w:type="dxa"/>
              <w:bottom w:w="86" w:type="dxa"/>
              <w:right w:w="86" w:type="dxa"/>
            </w:tcMar>
            <w:hideMark/>
          </w:tcPr>
          <w:p w:rsidR="00A95AA7" w:rsidRPr="00EF7970" w:rsidRDefault="00A95AA7" w:rsidP="00EF7970">
            <w:r w:rsidRPr="00EF7970">
              <w:t>13.0%</w:t>
            </w:r>
          </w:p>
        </w:tc>
        <w:tc>
          <w:tcPr>
            <w:tcW w:w="0" w:type="auto"/>
            <w:tcBorders>
              <w:top w:val="single" w:sz="2" w:space="0" w:color="000000"/>
              <w:left w:val="single" w:sz="6" w:space="0" w:color="000000"/>
              <w:bottom w:val="single" w:sz="2" w:space="0" w:color="000000"/>
              <w:right w:val="single" w:sz="6" w:space="0" w:color="000000"/>
            </w:tcBorders>
            <w:tcMar>
              <w:top w:w="60" w:type="dxa"/>
              <w:left w:w="86" w:type="dxa"/>
              <w:bottom w:w="86" w:type="dxa"/>
              <w:right w:w="86" w:type="dxa"/>
            </w:tcMar>
            <w:hideMark/>
          </w:tcPr>
          <w:p w:rsidR="00A95AA7" w:rsidRPr="00EF7970" w:rsidRDefault="00A95AA7" w:rsidP="00EF7970">
            <w:r w:rsidRPr="00EF7970">
              <w:t>$40,617,469</w:t>
            </w:r>
          </w:p>
        </w:tc>
        <w:tc>
          <w:tcPr>
            <w:tcW w:w="0" w:type="auto"/>
            <w:tcBorders>
              <w:top w:val="single" w:sz="2" w:space="0" w:color="000000"/>
              <w:left w:val="single" w:sz="6" w:space="0" w:color="000000"/>
              <w:bottom w:val="single" w:sz="2" w:space="0" w:color="000000"/>
              <w:right w:val="single" w:sz="6" w:space="0" w:color="000000"/>
            </w:tcBorders>
            <w:tcMar>
              <w:top w:w="60" w:type="dxa"/>
              <w:left w:w="86" w:type="dxa"/>
              <w:bottom w:w="86" w:type="dxa"/>
              <w:right w:w="86" w:type="dxa"/>
            </w:tcMar>
            <w:hideMark/>
          </w:tcPr>
          <w:p w:rsidR="00A95AA7" w:rsidRPr="00EF7970" w:rsidRDefault="00A95AA7" w:rsidP="00EF7970">
            <w:r w:rsidRPr="00EF7970">
              <w:t>5.1%</w:t>
            </w:r>
          </w:p>
        </w:tc>
      </w:tr>
      <w:tr w:rsidR="00A95AA7" w:rsidRPr="00A95AA7" w:rsidTr="00A95AA7">
        <w:tc>
          <w:tcPr>
            <w:tcW w:w="0" w:type="auto"/>
            <w:tcBorders>
              <w:top w:val="single" w:sz="2" w:space="0" w:color="414141"/>
              <w:left w:val="single" w:sz="6" w:space="0" w:color="000000"/>
              <w:bottom w:val="single" w:sz="2" w:space="0" w:color="414141"/>
              <w:right w:val="single" w:sz="6" w:space="0" w:color="000000"/>
            </w:tcBorders>
            <w:tcMar>
              <w:top w:w="0" w:type="dxa"/>
              <w:left w:w="86" w:type="dxa"/>
              <w:bottom w:w="86" w:type="dxa"/>
              <w:right w:w="86" w:type="dxa"/>
            </w:tcMar>
            <w:hideMark/>
          </w:tcPr>
          <w:p w:rsidR="00A95AA7" w:rsidRPr="00EF7970" w:rsidRDefault="00A95AA7" w:rsidP="00EF7970">
            <w:r w:rsidRPr="00EF7970">
              <w:t>ACT</w:t>
            </w:r>
          </w:p>
        </w:tc>
        <w:tc>
          <w:tcPr>
            <w:tcW w:w="0" w:type="auto"/>
            <w:tcBorders>
              <w:top w:val="single" w:sz="2" w:space="0" w:color="414141"/>
              <w:left w:val="single" w:sz="6" w:space="0" w:color="000000"/>
              <w:bottom w:val="single" w:sz="2" w:space="0" w:color="414141"/>
              <w:right w:val="single" w:sz="6" w:space="0" w:color="000000"/>
            </w:tcBorders>
            <w:tcMar>
              <w:top w:w="60" w:type="dxa"/>
              <w:left w:w="86" w:type="dxa"/>
              <w:bottom w:w="86" w:type="dxa"/>
              <w:right w:w="86" w:type="dxa"/>
            </w:tcMar>
            <w:hideMark/>
          </w:tcPr>
          <w:p w:rsidR="00A95AA7" w:rsidRPr="00EF7970" w:rsidRDefault="00A95AA7" w:rsidP="00EF7970">
            <w:r w:rsidRPr="00EF7970">
              <w:t>115</w:t>
            </w:r>
          </w:p>
        </w:tc>
        <w:tc>
          <w:tcPr>
            <w:tcW w:w="0" w:type="auto"/>
            <w:tcBorders>
              <w:top w:val="single" w:sz="2" w:space="0" w:color="000000"/>
              <w:left w:val="single" w:sz="6" w:space="0" w:color="000000"/>
              <w:bottom w:val="single" w:sz="2" w:space="0" w:color="000000"/>
              <w:right w:val="single" w:sz="6" w:space="0" w:color="000000"/>
            </w:tcBorders>
            <w:tcMar>
              <w:top w:w="60" w:type="dxa"/>
              <w:left w:w="86" w:type="dxa"/>
              <w:bottom w:w="86" w:type="dxa"/>
              <w:right w:w="86" w:type="dxa"/>
            </w:tcMar>
            <w:hideMark/>
          </w:tcPr>
          <w:p w:rsidR="00A95AA7" w:rsidRPr="00EF7970" w:rsidRDefault="00A95AA7" w:rsidP="00EF7970">
            <w:r w:rsidRPr="00EF7970">
              <w:t>25</w:t>
            </w:r>
          </w:p>
        </w:tc>
        <w:tc>
          <w:tcPr>
            <w:tcW w:w="0" w:type="auto"/>
            <w:tcBorders>
              <w:top w:val="single" w:sz="2" w:space="0" w:color="414141"/>
              <w:left w:val="single" w:sz="6" w:space="0" w:color="000000"/>
              <w:bottom w:val="single" w:sz="2" w:space="0" w:color="414141"/>
              <w:right w:val="single" w:sz="6" w:space="0" w:color="000000"/>
            </w:tcBorders>
            <w:tcMar>
              <w:top w:w="60" w:type="dxa"/>
              <w:left w:w="86" w:type="dxa"/>
              <w:bottom w:w="86" w:type="dxa"/>
              <w:right w:w="86" w:type="dxa"/>
            </w:tcMar>
            <w:hideMark/>
          </w:tcPr>
          <w:p w:rsidR="00A95AA7" w:rsidRPr="00EF7970" w:rsidRDefault="00A95AA7" w:rsidP="00EF7970">
            <w:r w:rsidRPr="00EF7970">
              <w:t>21.7%</w:t>
            </w:r>
          </w:p>
        </w:tc>
        <w:tc>
          <w:tcPr>
            <w:tcW w:w="0" w:type="auto"/>
            <w:tcBorders>
              <w:top w:val="single" w:sz="2" w:space="0" w:color="000000"/>
              <w:left w:val="single" w:sz="6" w:space="0" w:color="000000"/>
              <w:bottom w:val="single" w:sz="2" w:space="0" w:color="000000"/>
              <w:right w:val="single" w:sz="6" w:space="0" w:color="000000"/>
            </w:tcBorders>
            <w:tcMar>
              <w:top w:w="60" w:type="dxa"/>
              <w:left w:w="86" w:type="dxa"/>
              <w:bottom w:w="86" w:type="dxa"/>
              <w:right w:w="86" w:type="dxa"/>
            </w:tcMar>
            <w:hideMark/>
          </w:tcPr>
          <w:p w:rsidR="00A95AA7" w:rsidRPr="00EF7970" w:rsidRDefault="00A95AA7" w:rsidP="00EF7970">
            <w:r w:rsidRPr="00EF7970">
              <w:t>$19,731,441</w:t>
            </w:r>
          </w:p>
        </w:tc>
        <w:tc>
          <w:tcPr>
            <w:tcW w:w="0" w:type="auto"/>
            <w:tcBorders>
              <w:top w:val="single" w:sz="2" w:space="0" w:color="000000"/>
              <w:left w:val="single" w:sz="6" w:space="0" w:color="000000"/>
              <w:bottom w:val="single" w:sz="2" w:space="0" w:color="000000"/>
              <w:right w:val="single" w:sz="6" w:space="0" w:color="000000"/>
            </w:tcBorders>
            <w:tcMar>
              <w:top w:w="60" w:type="dxa"/>
              <w:left w:w="86" w:type="dxa"/>
              <w:bottom w:w="86" w:type="dxa"/>
              <w:right w:w="86" w:type="dxa"/>
            </w:tcMar>
            <w:hideMark/>
          </w:tcPr>
          <w:p w:rsidR="00A95AA7" w:rsidRPr="00EF7970" w:rsidRDefault="00A95AA7" w:rsidP="00EF7970">
            <w:r w:rsidRPr="00EF7970">
              <w:t>2.5%</w:t>
            </w:r>
          </w:p>
        </w:tc>
      </w:tr>
      <w:tr w:rsidR="00A95AA7" w:rsidRPr="00A95AA7" w:rsidTr="00A95AA7">
        <w:tc>
          <w:tcPr>
            <w:tcW w:w="0" w:type="auto"/>
            <w:tcBorders>
              <w:top w:val="single" w:sz="2" w:space="0" w:color="414141"/>
              <w:left w:val="single" w:sz="6" w:space="0" w:color="000000"/>
              <w:bottom w:val="single" w:sz="2" w:space="0" w:color="414141"/>
              <w:right w:val="single" w:sz="6" w:space="0" w:color="000000"/>
            </w:tcBorders>
            <w:tcMar>
              <w:top w:w="0" w:type="dxa"/>
              <w:left w:w="86" w:type="dxa"/>
              <w:bottom w:w="86" w:type="dxa"/>
              <w:right w:w="86" w:type="dxa"/>
            </w:tcMar>
            <w:hideMark/>
          </w:tcPr>
          <w:p w:rsidR="00A95AA7" w:rsidRPr="00EF7970" w:rsidRDefault="00A95AA7" w:rsidP="00EF7970">
            <w:r w:rsidRPr="00EF7970">
              <w:t>NT</w:t>
            </w:r>
          </w:p>
        </w:tc>
        <w:tc>
          <w:tcPr>
            <w:tcW w:w="0" w:type="auto"/>
            <w:tcBorders>
              <w:top w:val="single" w:sz="2" w:space="0" w:color="414141"/>
              <w:left w:val="single" w:sz="6" w:space="0" w:color="000000"/>
              <w:bottom w:val="single" w:sz="2" w:space="0" w:color="414141"/>
              <w:right w:val="single" w:sz="6" w:space="0" w:color="000000"/>
            </w:tcBorders>
            <w:tcMar>
              <w:top w:w="60" w:type="dxa"/>
              <w:left w:w="86" w:type="dxa"/>
              <w:bottom w:w="86" w:type="dxa"/>
              <w:right w:w="86" w:type="dxa"/>
            </w:tcMar>
            <w:hideMark/>
          </w:tcPr>
          <w:p w:rsidR="00A95AA7" w:rsidRPr="00EF7970" w:rsidRDefault="00A95AA7" w:rsidP="00EF7970">
            <w:r w:rsidRPr="00EF7970">
              <w:t>33</w:t>
            </w:r>
          </w:p>
        </w:tc>
        <w:tc>
          <w:tcPr>
            <w:tcW w:w="0" w:type="auto"/>
            <w:tcBorders>
              <w:top w:val="single" w:sz="2" w:space="0" w:color="000000"/>
              <w:left w:val="single" w:sz="6" w:space="0" w:color="000000"/>
              <w:bottom w:val="single" w:sz="2" w:space="0" w:color="000000"/>
              <w:right w:val="single" w:sz="6" w:space="0" w:color="000000"/>
            </w:tcBorders>
            <w:tcMar>
              <w:top w:w="60" w:type="dxa"/>
              <w:left w:w="86" w:type="dxa"/>
              <w:bottom w:w="86" w:type="dxa"/>
              <w:right w:w="86" w:type="dxa"/>
            </w:tcMar>
            <w:hideMark/>
          </w:tcPr>
          <w:p w:rsidR="00A95AA7" w:rsidRPr="00EF7970" w:rsidRDefault="00A95AA7" w:rsidP="00EF7970">
            <w:r w:rsidRPr="00EF7970">
              <w:t>8</w:t>
            </w:r>
          </w:p>
        </w:tc>
        <w:tc>
          <w:tcPr>
            <w:tcW w:w="0" w:type="auto"/>
            <w:tcBorders>
              <w:top w:val="single" w:sz="2" w:space="0" w:color="414141"/>
              <w:left w:val="single" w:sz="6" w:space="0" w:color="000000"/>
              <w:bottom w:val="single" w:sz="2" w:space="0" w:color="414141"/>
              <w:right w:val="single" w:sz="6" w:space="0" w:color="000000"/>
            </w:tcBorders>
            <w:tcMar>
              <w:top w:w="60" w:type="dxa"/>
              <w:left w:w="86" w:type="dxa"/>
              <w:bottom w:w="86" w:type="dxa"/>
              <w:right w:w="86" w:type="dxa"/>
            </w:tcMar>
            <w:hideMark/>
          </w:tcPr>
          <w:p w:rsidR="00A95AA7" w:rsidRPr="00EF7970" w:rsidRDefault="00A95AA7" w:rsidP="00EF7970">
            <w:r w:rsidRPr="00EF7970">
              <w:t>24.2%</w:t>
            </w:r>
          </w:p>
        </w:tc>
        <w:tc>
          <w:tcPr>
            <w:tcW w:w="0" w:type="auto"/>
            <w:tcBorders>
              <w:top w:val="single" w:sz="2" w:space="0" w:color="000000"/>
              <w:left w:val="single" w:sz="6" w:space="0" w:color="000000"/>
              <w:bottom w:val="single" w:sz="2" w:space="0" w:color="000000"/>
              <w:right w:val="single" w:sz="6" w:space="0" w:color="000000"/>
            </w:tcBorders>
            <w:tcMar>
              <w:top w:w="60" w:type="dxa"/>
              <w:left w:w="86" w:type="dxa"/>
              <w:bottom w:w="86" w:type="dxa"/>
              <w:right w:w="86" w:type="dxa"/>
            </w:tcMar>
            <w:hideMark/>
          </w:tcPr>
          <w:p w:rsidR="00A95AA7" w:rsidRPr="00EF7970" w:rsidRDefault="00A95AA7" w:rsidP="00EF7970">
            <w:r w:rsidRPr="00EF7970">
              <w:t>$10,213,405</w:t>
            </w:r>
          </w:p>
        </w:tc>
        <w:tc>
          <w:tcPr>
            <w:tcW w:w="0" w:type="auto"/>
            <w:tcBorders>
              <w:top w:val="single" w:sz="2" w:space="0" w:color="000000"/>
              <w:left w:val="single" w:sz="6" w:space="0" w:color="000000"/>
              <w:bottom w:val="single" w:sz="2" w:space="0" w:color="000000"/>
              <w:right w:val="single" w:sz="6" w:space="0" w:color="000000"/>
            </w:tcBorders>
            <w:tcMar>
              <w:top w:w="60" w:type="dxa"/>
              <w:left w:w="86" w:type="dxa"/>
              <w:bottom w:w="86" w:type="dxa"/>
              <w:right w:w="86" w:type="dxa"/>
            </w:tcMar>
            <w:hideMark/>
          </w:tcPr>
          <w:p w:rsidR="00A95AA7" w:rsidRPr="00EF7970" w:rsidRDefault="00A95AA7" w:rsidP="00EF7970">
            <w:r w:rsidRPr="00EF7970">
              <w:t>1.3%</w:t>
            </w:r>
          </w:p>
        </w:tc>
      </w:tr>
      <w:tr w:rsidR="00A95AA7" w:rsidRPr="00A95AA7" w:rsidTr="00A95AA7">
        <w:tc>
          <w:tcPr>
            <w:tcW w:w="0" w:type="auto"/>
            <w:tcBorders>
              <w:top w:val="single" w:sz="2" w:space="0" w:color="414141"/>
              <w:left w:val="single" w:sz="6" w:space="0" w:color="000000"/>
              <w:bottom w:val="single" w:sz="2" w:space="0" w:color="414141"/>
              <w:right w:val="single" w:sz="6" w:space="0" w:color="000000"/>
            </w:tcBorders>
            <w:tcMar>
              <w:top w:w="0" w:type="dxa"/>
              <w:left w:w="86" w:type="dxa"/>
              <w:bottom w:w="86" w:type="dxa"/>
              <w:right w:w="86" w:type="dxa"/>
            </w:tcMar>
            <w:hideMark/>
          </w:tcPr>
          <w:p w:rsidR="00A95AA7" w:rsidRPr="00EF7970" w:rsidRDefault="00A95AA7" w:rsidP="00EF7970">
            <w:r w:rsidRPr="00EF7970">
              <w:t>TAS</w:t>
            </w:r>
          </w:p>
        </w:tc>
        <w:tc>
          <w:tcPr>
            <w:tcW w:w="0" w:type="auto"/>
            <w:tcBorders>
              <w:top w:val="single" w:sz="2" w:space="0" w:color="414141"/>
              <w:left w:val="single" w:sz="6" w:space="0" w:color="000000"/>
              <w:bottom w:val="single" w:sz="2" w:space="0" w:color="414141"/>
              <w:right w:val="single" w:sz="6" w:space="0" w:color="000000"/>
            </w:tcBorders>
            <w:tcMar>
              <w:top w:w="60" w:type="dxa"/>
              <w:left w:w="86" w:type="dxa"/>
              <w:bottom w:w="86" w:type="dxa"/>
              <w:right w:w="86" w:type="dxa"/>
            </w:tcMar>
            <w:hideMark/>
          </w:tcPr>
          <w:p w:rsidR="00A95AA7" w:rsidRPr="00EF7970" w:rsidRDefault="00A95AA7" w:rsidP="00EF7970">
            <w:r w:rsidRPr="00EF7970">
              <w:t>60</w:t>
            </w:r>
          </w:p>
        </w:tc>
        <w:tc>
          <w:tcPr>
            <w:tcW w:w="0" w:type="auto"/>
            <w:tcBorders>
              <w:top w:val="single" w:sz="2" w:space="0" w:color="000000"/>
              <w:left w:val="single" w:sz="6" w:space="0" w:color="000000"/>
              <w:bottom w:val="single" w:sz="2" w:space="0" w:color="000000"/>
              <w:right w:val="single" w:sz="6" w:space="0" w:color="000000"/>
            </w:tcBorders>
            <w:tcMar>
              <w:top w:w="60" w:type="dxa"/>
              <w:left w:w="86" w:type="dxa"/>
              <w:bottom w:w="86" w:type="dxa"/>
              <w:right w:w="86" w:type="dxa"/>
            </w:tcMar>
            <w:hideMark/>
          </w:tcPr>
          <w:p w:rsidR="00A95AA7" w:rsidRPr="00EF7970" w:rsidRDefault="00A95AA7" w:rsidP="00EF7970">
            <w:r w:rsidRPr="00EF7970">
              <w:t>7</w:t>
            </w:r>
          </w:p>
        </w:tc>
        <w:tc>
          <w:tcPr>
            <w:tcW w:w="0" w:type="auto"/>
            <w:tcBorders>
              <w:top w:val="single" w:sz="2" w:space="0" w:color="414141"/>
              <w:left w:val="single" w:sz="6" w:space="0" w:color="000000"/>
              <w:bottom w:val="single" w:sz="2" w:space="0" w:color="414141"/>
              <w:right w:val="single" w:sz="6" w:space="0" w:color="000000"/>
            </w:tcBorders>
            <w:tcMar>
              <w:top w:w="60" w:type="dxa"/>
              <w:left w:w="86" w:type="dxa"/>
              <w:bottom w:w="86" w:type="dxa"/>
              <w:right w:w="86" w:type="dxa"/>
            </w:tcMar>
            <w:hideMark/>
          </w:tcPr>
          <w:p w:rsidR="00A95AA7" w:rsidRPr="00EF7970" w:rsidRDefault="00A95AA7" w:rsidP="00EF7970">
            <w:r w:rsidRPr="00EF7970">
              <w:t>11.7%</w:t>
            </w:r>
          </w:p>
        </w:tc>
        <w:tc>
          <w:tcPr>
            <w:tcW w:w="0" w:type="auto"/>
            <w:tcBorders>
              <w:top w:val="single" w:sz="2" w:space="0" w:color="000000"/>
              <w:left w:val="single" w:sz="6" w:space="0" w:color="000000"/>
              <w:bottom w:val="single" w:sz="2" w:space="0" w:color="000000"/>
              <w:right w:val="single" w:sz="6" w:space="0" w:color="000000"/>
            </w:tcBorders>
            <w:tcMar>
              <w:top w:w="60" w:type="dxa"/>
              <w:left w:w="86" w:type="dxa"/>
              <w:bottom w:w="86" w:type="dxa"/>
              <w:right w:w="86" w:type="dxa"/>
            </w:tcMar>
            <w:hideMark/>
          </w:tcPr>
          <w:p w:rsidR="00A95AA7" w:rsidRPr="00EF7970" w:rsidRDefault="00A95AA7" w:rsidP="00EF7970">
            <w:r w:rsidRPr="00EF7970">
              <w:t>$5,016,753</w:t>
            </w:r>
          </w:p>
        </w:tc>
        <w:tc>
          <w:tcPr>
            <w:tcW w:w="0" w:type="auto"/>
            <w:tcBorders>
              <w:top w:val="single" w:sz="2" w:space="0" w:color="000000"/>
              <w:left w:val="single" w:sz="6" w:space="0" w:color="000000"/>
              <w:bottom w:val="single" w:sz="2" w:space="0" w:color="000000"/>
              <w:right w:val="single" w:sz="6" w:space="0" w:color="000000"/>
            </w:tcBorders>
            <w:tcMar>
              <w:top w:w="60" w:type="dxa"/>
              <w:left w:w="86" w:type="dxa"/>
              <w:bottom w:w="86" w:type="dxa"/>
              <w:right w:w="86" w:type="dxa"/>
            </w:tcMar>
            <w:hideMark/>
          </w:tcPr>
          <w:p w:rsidR="00A95AA7" w:rsidRPr="00EF7970" w:rsidRDefault="00A95AA7" w:rsidP="00EF7970">
            <w:r w:rsidRPr="00EF7970">
              <w:t>0.6%</w:t>
            </w:r>
          </w:p>
        </w:tc>
      </w:tr>
      <w:tr w:rsidR="00A95AA7" w:rsidRPr="00A95AA7" w:rsidTr="00A95AA7">
        <w:tc>
          <w:tcPr>
            <w:tcW w:w="0" w:type="auto"/>
            <w:tcBorders>
              <w:top w:val="single" w:sz="2" w:space="0" w:color="414141"/>
              <w:left w:val="single" w:sz="6" w:space="0" w:color="000000"/>
              <w:bottom w:val="single" w:sz="2" w:space="0" w:color="414141"/>
              <w:right w:val="single" w:sz="6" w:space="0" w:color="000000"/>
            </w:tcBorders>
            <w:tcMar>
              <w:top w:w="0" w:type="dxa"/>
              <w:left w:w="86" w:type="dxa"/>
              <w:bottom w:w="86" w:type="dxa"/>
              <w:right w:w="86" w:type="dxa"/>
            </w:tcMar>
            <w:hideMark/>
          </w:tcPr>
          <w:p w:rsidR="00A95AA7" w:rsidRPr="006E1A96" w:rsidRDefault="00A95AA7" w:rsidP="00EF7970">
            <w:pPr>
              <w:rPr>
                <w:b/>
              </w:rPr>
            </w:pPr>
            <w:r w:rsidRPr="006E1A96">
              <w:rPr>
                <w:b/>
              </w:rPr>
              <w:t>Total</w:t>
            </w:r>
          </w:p>
        </w:tc>
        <w:tc>
          <w:tcPr>
            <w:tcW w:w="0" w:type="auto"/>
            <w:tcBorders>
              <w:top w:val="single" w:sz="2" w:space="0" w:color="414141"/>
              <w:left w:val="single" w:sz="6" w:space="0" w:color="000000"/>
              <w:bottom w:val="single" w:sz="2" w:space="0" w:color="414141"/>
              <w:right w:val="single" w:sz="6" w:space="0" w:color="000000"/>
            </w:tcBorders>
            <w:tcMar>
              <w:top w:w="60" w:type="dxa"/>
              <w:left w:w="86" w:type="dxa"/>
              <w:bottom w:w="86" w:type="dxa"/>
              <w:right w:w="86" w:type="dxa"/>
            </w:tcMar>
            <w:hideMark/>
          </w:tcPr>
          <w:p w:rsidR="00A95AA7" w:rsidRPr="006E1A96" w:rsidRDefault="00A95AA7" w:rsidP="00EF7970">
            <w:pPr>
              <w:rPr>
                <w:b/>
              </w:rPr>
            </w:pPr>
            <w:r w:rsidRPr="006E1A96">
              <w:rPr>
                <w:b/>
              </w:rPr>
              <w:t>5,519</w:t>
            </w:r>
          </w:p>
        </w:tc>
        <w:tc>
          <w:tcPr>
            <w:tcW w:w="0" w:type="auto"/>
            <w:tcBorders>
              <w:top w:val="single" w:sz="2" w:space="0" w:color="000000"/>
              <w:left w:val="single" w:sz="6" w:space="0" w:color="000000"/>
              <w:bottom w:val="single" w:sz="2" w:space="0" w:color="000000"/>
              <w:right w:val="single" w:sz="6" w:space="0" w:color="000000"/>
            </w:tcBorders>
            <w:tcMar>
              <w:top w:w="60" w:type="dxa"/>
              <w:left w:w="86" w:type="dxa"/>
              <w:bottom w:w="86" w:type="dxa"/>
              <w:right w:w="86" w:type="dxa"/>
            </w:tcMar>
            <w:hideMark/>
          </w:tcPr>
          <w:p w:rsidR="00A95AA7" w:rsidRPr="006E1A96" w:rsidRDefault="00A95AA7" w:rsidP="00EF7970">
            <w:pPr>
              <w:rPr>
                <w:b/>
              </w:rPr>
            </w:pPr>
            <w:r w:rsidRPr="006E1A96">
              <w:rPr>
                <w:b/>
              </w:rPr>
              <w:t>986</w:t>
            </w:r>
          </w:p>
        </w:tc>
        <w:tc>
          <w:tcPr>
            <w:tcW w:w="0" w:type="auto"/>
            <w:tcBorders>
              <w:top w:val="single" w:sz="2" w:space="0" w:color="414141"/>
              <w:left w:val="single" w:sz="6" w:space="0" w:color="000000"/>
              <w:bottom w:val="single" w:sz="2" w:space="0" w:color="414141"/>
              <w:right w:val="single" w:sz="6" w:space="0" w:color="000000"/>
            </w:tcBorders>
            <w:tcMar>
              <w:top w:w="60" w:type="dxa"/>
              <w:left w:w="86" w:type="dxa"/>
              <w:bottom w:w="86" w:type="dxa"/>
              <w:right w:w="86" w:type="dxa"/>
            </w:tcMar>
            <w:hideMark/>
          </w:tcPr>
          <w:p w:rsidR="00A95AA7" w:rsidRPr="006E1A96" w:rsidRDefault="00A95AA7" w:rsidP="00EF7970">
            <w:pPr>
              <w:rPr>
                <w:b/>
              </w:rPr>
            </w:pPr>
            <w:r w:rsidRPr="006E1A96">
              <w:rPr>
                <w:b/>
              </w:rPr>
              <w:t>17.9%</w:t>
            </w:r>
          </w:p>
        </w:tc>
        <w:tc>
          <w:tcPr>
            <w:tcW w:w="0" w:type="auto"/>
            <w:tcBorders>
              <w:top w:val="single" w:sz="2" w:space="0" w:color="000000"/>
              <w:left w:val="single" w:sz="6" w:space="0" w:color="000000"/>
              <w:bottom w:val="single" w:sz="2" w:space="0" w:color="000000"/>
              <w:right w:val="single" w:sz="6" w:space="0" w:color="000000"/>
            </w:tcBorders>
            <w:tcMar>
              <w:top w:w="60" w:type="dxa"/>
              <w:left w:w="86" w:type="dxa"/>
              <w:bottom w:w="86" w:type="dxa"/>
              <w:right w:w="86" w:type="dxa"/>
            </w:tcMar>
            <w:hideMark/>
          </w:tcPr>
          <w:p w:rsidR="00A95AA7" w:rsidRPr="006E1A96" w:rsidRDefault="00A95AA7" w:rsidP="00EF7970">
            <w:pPr>
              <w:rPr>
                <w:b/>
              </w:rPr>
            </w:pPr>
            <w:r w:rsidRPr="006E1A96">
              <w:rPr>
                <w:b/>
              </w:rPr>
              <w:t>$788,421,095</w:t>
            </w:r>
          </w:p>
        </w:tc>
        <w:tc>
          <w:tcPr>
            <w:tcW w:w="0" w:type="auto"/>
            <w:tcBorders>
              <w:top w:val="single" w:sz="2" w:space="0" w:color="000000"/>
              <w:left w:val="single" w:sz="6" w:space="0" w:color="000000"/>
              <w:bottom w:val="single" w:sz="2" w:space="0" w:color="000000"/>
              <w:right w:val="single" w:sz="6" w:space="0" w:color="000000"/>
            </w:tcBorders>
            <w:tcMar>
              <w:top w:w="60" w:type="dxa"/>
              <w:left w:w="86" w:type="dxa"/>
              <w:bottom w:w="86" w:type="dxa"/>
              <w:right w:w="86" w:type="dxa"/>
            </w:tcMar>
            <w:hideMark/>
          </w:tcPr>
          <w:p w:rsidR="00A95AA7" w:rsidRPr="006E1A96" w:rsidRDefault="00A95AA7" w:rsidP="00EF7970">
            <w:pPr>
              <w:rPr>
                <w:b/>
              </w:rPr>
            </w:pPr>
          </w:p>
        </w:tc>
      </w:tr>
    </w:tbl>
    <w:p w:rsidR="002260EC" w:rsidRPr="00A95AA7" w:rsidRDefault="00A95AA7" w:rsidP="00A95AA7">
      <w:pPr>
        <w:rPr>
          <w:i/>
        </w:rPr>
      </w:pPr>
      <w:r w:rsidRPr="00A95AA7">
        <w:rPr>
          <w:i/>
        </w:rPr>
        <w:t>Source: NHMRC</w:t>
      </w:r>
    </w:p>
    <w:p w:rsidR="0028586F" w:rsidRPr="0028586F" w:rsidRDefault="0028586F" w:rsidP="0058326A">
      <w:pPr>
        <w:pStyle w:val="Heading2"/>
        <w:rPr>
          <w:lang w:val="en-GB" w:eastAsia="en-GB"/>
        </w:rPr>
      </w:pPr>
      <w:bookmarkStart w:id="20" w:name="_Toc487638947"/>
      <w:r w:rsidRPr="0028586F">
        <w:rPr>
          <w:lang w:val="en-GB" w:eastAsia="en-GB"/>
        </w:rPr>
        <w:t>Pre-clinical and clinical assets in Victoria</w:t>
      </w:r>
      <w:bookmarkEnd w:id="20"/>
    </w:p>
    <w:p w:rsidR="0028586F" w:rsidRPr="0028586F" w:rsidRDefault="0058326A" w:rsidP="0058326A">
      <w:pPr>
        <w:pStyle w:val="Heading3"/>
        <w:rPr>
          <w:lang w:val="en-GB" w:eastAsia="en-GB"/>
        </w:rPr>
      </w:pPr>
      <w:bookmarkStart w:id="21" w:name="_Toc487638948"/>
      <w:r>
        <w:rPr>
          <w:lang w:val="en-GB" w:eastAsia="en-GB"/>
        </w:rPr>
        <w:t>A</w:t>
      </w:r>
      <w:r w:rsidR="0028586F" w:rsidRPr="0028586F">
        <w:rPr>
          <w:lang w:val="en-GB" w:eastAsia="en-GB"/>
        </w:rPr>
        <w:t>ssets by therapeutic area</w:t>
      </w:r>
      <w:bookmarkEnd w:id="21"/>
      <w:r w:rsidR="0028586F" w:rsidRPr="0028586F">
        <w:rPr>
          <w:lang w:val="en-GB" w:eastAsia="en-GB"/>
        </w:rPr>
        <w:t> </w:t>
      </w:r>
    </w:p>
    <w:p w:rsidR="0028586F" w:rsidRDefault="0028586F" w:rsidP="00A51D66">
      <w:r w:rsidRPr="00A51D66">
        <w:t>Victoria’s strengths in therapeutic development lie in the oncology, infection and immunity and cardiovascular disease areas, see Figure 15</w:t>
      </w:r>
      <w:r w:rsidRPr="00A95AA7">
        <w:rPr>
          <w:vertAlign w:val="superscript"/>
        </w:rPr>
        <w:t>.</w:t>
      </w:r>
      <w:r w:rsidR="00A14FAE" w:rsidRPr="00A95AA7">
        <w:rPr>
          <w:vertAlign w:val="superscript"/>
        </w:rPr>
        <w:footnoteReference w:id="10"/>
      </w:r>
      <w:r w:rsidRPr="00A95AA7">
        <w:rPr>
          <w:vertAlign w:val="superscript"/>
        </w:rPr>
        <w:t xml:space="preserve"> </w:t>
      </w:r>
      <w:r w:rsidRPr="00A51D66">
        <w:t>Therapeutic areas covered in "other"</w:t>
      </w:r>
      <w:r w:rsidR="00D71C0D">
        <w:t xml:space="preserve"> </w:t>
      </w:r>
      <w:r w:rsidRPr="00A51D66">
        <w:t>include endocrinology and regenerative medicine, as well as orphan diseases.</w:t>
      </w:r>
    </w:p>
    <w:p w:rsidR="00E62719" w:rsidRDefault="00E62719" w:rsidP="00E62719">
      <w:pPr>
        <w:rPr>
          <w:b/>
        </w:rPr>
      </w:pPr>
      <w:r w:rsidRPr="00E62719">
        <w:rPr>
          <w:b/>
        </w:rPr>
        <w:t>Figure 15. Victorian strengths (June 2016)</w:t>
      </w:r>
    </w:p>
    <w:p w:rsidR="00E62719" w:rsidRPr="00E62719" w:rsidRDefault="00664A75" w:rsidP="00E62719">
      <w:pPr>
        <w:rPr>
          <w:b/>
        </w:rPr>
      </w:pPr>
      <w:r>
        <w:rPr>
          <w:b/>
          <w:noProof/>
          <w:lang w:val="en-AU" w:eastAsia="en-AU"/>
        </w:rPr>
        <w:lastRenderedPageBreak/>
        <w:drawing>
          <wp:inline distT="0" distB="0" distL="0" distR="0">
            <wp:extent cx="3975100" cy="2874645"/>
            <wp:effectExtent l="0" t="0" r="6350" b="1905"/>
            <wp:docPr id="15" name="Picture 1" descr="Figure 15. Victorian strengths (Jun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5. Victorian strengths (June 20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0" cy="2874645"/>
                    </a:xfrm>
                    <a:prstGeom prst="rect">
                      <a:avLst/>
                    </a:prstGeom>
                    <a:noFill/>
                    <a:ln>
                      <a:noFill/>
                    </a:ln>
                  </pic:spPr>
                </pic:pic>
              </a:graphicData>
            </a:graphic>
          </wp:inline>
        </w:drawing>
      </w:r>
    </w:p>
    <w:p w:rsidR="00E62719" w:rsidRPr="00E62719" w:rsidRDefault="00E62719" w:rsidP="00E62719">
      <w:pPr>
        <w:rPr>
          <w:i/>
        </w:rPr>
      </w:pPr>
      <w:r w:rsidRPr="00E62719">
        <w:rPr>
          <w:i/>
        </w:rPr>
        <w:t>Source: DEDTJR, Commercial-in-Confidence</w:t>
      </w:r>
    </w:p>
    <w:p w:rsidR="0028586F" w:rsidRPr="0028586F" w:rsidRDefault="0058326A" w:rsidP="0058326A">
      <w:pPr>
        <w:pStyle w:val="Heading3"/>
        <w:rPr>
          <w:lang w:val="en-GB" w:eastAsia="en-GB"/>
        </w:rPr>
      </w:pPr>
      <w:bookmarkStart w:id="22" w:name="_Toc487638949"/>
      <w:r>
        <w:rPr>
          <w:lang w:val="en-GB" w:eastAsia="en-GB"/>
        </w:rPr>
        <w:t>A</w:t>
      </w:r>
      <w:r w:rsidR="0028586F" w:rsidRPr="0028586F">
        <w:rPr>
          <w:lang w:val="en-GB" w:eastAsia="en-GB"/>
        </w:rPr>
        <w:t>ssets: medtech vs drug development</w:t>
      </w:r>
      <w:bookmarkEnd w:id="22"/>
    </w:p>
    <w:p w:rsidR="0028586F" w:rsidRPr="0028586F" w:rsidRDefault="0028586F" w:rsidP="005B5C82">
      <w:pPr>
        <w:rPr>
          <w:lang w:val="en-GB" w:eastAsia="en-GB"/>
        </w:rPr>
      </w:pPr>
      <w:r w:rsidRPr="0028586F">
        <w:rPr>
          <w:lang w:val="en-GB" w:eastAsia="en-GB"/>
        </w:rPr>
        <w:t>The majority of clinical assets in development are in pharmaceuticals as opposed to medical devices. This is consistent with the relevant size of the sectors</w:t>
      </w:r>
      <w:r w:rsidRPr="00A51D66">
        <w:t>, see Figure 16.</w:t>
      </w:r>
      <w:r w:rsidRPr="00A51D66">
        <w:rPr>
          <w:vertAlign w:val="superscript"/>
        </w:rPr>
        <w:footnoteReference w:id="11"/>
      </w:r>
    </w:p>
    <w:p w:rsidR="001D245A" w:rsidRPr="00A51D66" w:rsidRDefault="001D245A" w:rsidP="00A51D66">
      <w:pPr>
        <w:rPr>
          <w:b/>
          <w:lang w:val="en-GB" w:eastAsia="en-GB"/>
        </w:rPr>
      </w:pPr>
      <w:r w:rsidRPr="00A51D66">
        <w:rPr>
          <w:b/>
          <w:lang w:val="en-GB" w:eastAsia="en-GB"/>
        </w:rPr>
        <w:t>Figure 16. Asset development in Victoria – drugs and medical devices (June 2016)</w:t>
      </w:r>
    </w:p>
    <w:p w:rsidR="0028586F" w:rsidRDefault="00664A75" w:rsidP="0028586F">
      <w:pPr>
        <w:spacing w:after="86" w:line="165" w:lineRule="atLeast"/>
        <w:rPr>
          <w:rFonts w:ascii="VIC" w:hAnsi="VIC" w:cs="Times New Roman"/>
          <w:color w:val="414141"/>
          <w:spacing w:val="0"/>
          <w:sz w:val="14"/>
          <w:szCs w:val="14"/>
          <w:lang w:val="en-GB" w:eastAsia="en-GB"/>
        </w:rPr>
      </w:pPr>
      <w:r>
        <w:rPr>
          <w:rFonts w:ascii="VIC" w:hAnsi="VIC" w:cs="Times New Roman"/>
          <w:noProof/>
          <w:color w:val="414141"/>
          <w:spacing w:val="0"/>
          <w:sz w:val="14"/>
          <w:szCs w:val="14"/>
          <w:lang w:val="en-AU" w:eastAsia="en-AU"/>
        </w:rPr>
        <w:drawing>
          <wp:inline distT="0" distB="0" distL="0" distR="0">
            <wp:extent cx="3975100" cy="2999105"/>
            <wp:effectExtent l="0" t="0" r="0" b="0"/>
            <wp:docPr id="16" name="Picture 1" descr="Figure 16. Asset development in Victoria – drugs and medical devices (Jun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6. Asset development in Victoria – drugs and medical devices (June 20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5100" cy="2999105"/>
                    </a:xfrm>
                    <a:prstGeom prst="rect">
                      <a:avLst/>
                    </a:prstGeom>
                    <a:noFill/>
                    <a:ln>
                      <a:noFill/>
                    </a:ln>
                  </pic:spPr>
                </pic:pic>
              </a:graphicData>
            </a:graphic>
          </wp:inline>
        </w:drawing>
      </w:r>
    </w:p>
    <w:p w:rsidR="00582BB5" w:rsidRPr="00A51D66" w:rsidRDefault="00582BB5" w:rsidP="00A51D66">
      <w:pPr>
        <w:rPr>
          <w:i/>
        </w:rPr>
      </w:pPr>
      <w:r w:rsidRPr="00A51D66">
        <w:rPr>
          <w:i/>
        </w:rPr>
        <w:t>Source: DEDTJR, Commercial-in-Confidence</w:t>
      </w:r>
    </w:p>
    <w:p w:rsidR="0028586F" w:rsidRPr="0028586F" w:rsidRDefault="0028586F" w:rsidP="00E22746">
      <w:pPr>
        <w:pStyle w:val="Heading1"/>
        <w:rPr>
          <w:lang w:val="en-GB" w:eastAsia="en-GB"/>
        </w:rPr>
      </w:pPr>
      <w:bookmarkStart w:id="23" w:name="_Toc487638950"/>
      <w:r w:rsidRPr="0028586F">
        <w:rPr>
          <w:lang w:val="en-GB" w:eastAsia="en-GB"/>
        </w:rPr>
        <w:lastRenderedPageBreak/>
        <w:t>Further information</w:t>
      </w:r>
      <w:bookmarkEnd w:id="23"/>
    </w:p>
    <w:p w:rsidR="0028586F" w:rsidRPr="006E51C5" w:rsidRDefault="0028586F" w:rsidP="006E51C5">
      <w:r w:rsidRPr="006E51C5">
        <w:t xml:space="preserve">Further information on the Victorian Government’s medtech and pharmaceuticals sector strategy and current support programs for industry is available at </w:t>
      </w:r>
      <w:hyperlink r:id="rId25" w:history="1">
        <w:r w:rsidR="006E51C5" w:rsidRPr="008F015F">
          <w:rPr>
            <w:rStyle w:val="Hyperlink"/>
          </w:rPr>
          <w:t>www.business.vic.gov.au/support-for-your-business/future-industries</w:t>
        </w:r>
      </w:hyperlink>
      <w:r w:rsidRPr="006E51C5">
        <w:t>.</w:t>
      </w:r>
    </w:p>
    <w:p w:rsidR="0028586F" w:rsidRPr="0028586F" w:rsidRDefault="0028586F" w:rsidP="00D50212">
      <w:pPr>
        <w:pStyle w:val="Heading1"/>
        <w:rPr>
          <w:lang w:val="en-GB" w:eastAsia="en-GB"/>
        </w:rPr>
      </w:pPr>
      <w:bookmarkStart w:id="24" w:name="_Toc487638951"/>
      <w:r w:rsidRPr="0028586F">
        <w:rPr>
          <w:lang w:val="en-GB" w:eastAsia="en-GB"/>
        </w:rPr>
        <w:t>Notes on methodology</w:t>
      </w:r>
      <w:bookmarkEnd w:id="24"/>
    </w:p>
    <w:p w:rsidR="0028586F" w:rsidRPr="0028586F" w:rsidRDefault="0028586F" w:rsidP="00D50212">
      <w:pPr>
        <w:rPr>
          <w:lang w:val="en-GB" w:eastAsia="en-GB"/>
        </w:rPr>
      </w:pPr>
      <w:r w:rsidRPr="0028586F">
        <w:rPr>
          <w:lang w:val="en-GB" w:eastAsia="en-GB"/>
        </w:rPr>
        <w:t>The variety of sources utilised to produce the report is indicative of the difficulty of assembling the correct set of metrics for assessing the size and economic impact of the sector. In addition, the data sources cover different time points. In 2016, the Department of Economic Development, Jobs, Transport and Resources (DEDJTR) commissioned the Centre for Transformative Innovation (CTI) at Swinburne University to analyse the impact of the medtech and pharmaceuticals sector on the Victorian economy.</w:t>
      </w:r>
    </w:p>
    <w:p w:rsidR="0028586F" w:rsidRPr="0028586F" w:rsidRDefault="0028586F" w:rsidP="00D50212">
      <w:pPr>
        <w:rPr>
          <w:lang w:val="en-GB" w:eastAsia="en-GB"/>
        </w:rPr>
      </w:pPr>
      <w:r w:rsidRPr="0028586F">
        <w:rPr>
          <w:lang w:val="en-GB" w:eastAsia="en-GB"/>
        </w:rPr>
        <w:t>The CTI Report</w:t>
      </w:r>
      <w:r w:rsidR="004427E4">
        <w:rPr>
          <w:rStyle w:val="FootnoteReference"/>
          <w:lang w:val="en-GB" w:eastAsia="en-GB"/>
        </w:rPr>
        <w:footnoteReference w:id="12"/>
      </w:r>
      <w:r w:rsidRPr="0028586F">
        <w:rPr>
          <w:lang w:val="en-GB" w:eastAsia="en-GB"/>
        </w:rPr>
        <w:t xml:space="preserve"> utilised a novel new methodology, drawing on de-identified firm-level financial data from Business Activity Statements (BAS) collected by the Australian Taxation Office (ATO) and made available by the Australian Bureau of Statistics (ABS), as the BLADE dataset, the most recent data available for analysis relates to financial year 2013-14.</w:t>
      </w:r>
      <w:r w:rsidR="00BF4673">
        <w:rPr>
          <w:rStyle w:val="FootnoteReference"/>
          <w:lang w:val="en-GB" w:eastAsia="en-GB"/>
        </w:rPr>
        <w:footnoteReference w:id="13"/>
      </w:r>
    </w:p>
    <w:p w:rsidR="0028586F" w:rsidRPr="0028586F" w:rsidRDefault="0028586F" w:rsidP="00D50212">
      <w:pPr>
        <w:rPr>
          <w:lang w:val="en-GB" w:eastAsia="en-GB"/>
        </w:rPr>
      </w:pPr>
      <w:r w:rsidRPr="0028586F">
        <w:rPr>
          <w:lang w:val="en-GB" w:eastAsia="en-GB"/>
        </w:rPr>
        <w:t>The sector does not fit one single standard industrial classification. It was therefore not possible to evaluate the complete size of the sector using detailed “off-the-shelf” statistics published by the ABS. To measure the impact of the sector, the CTI identified 651 firms with relevant activities in the sector.</w:t>
      </w:r>
      <w:r w:rsidR="00CA783B">
        <w:rPr>
          <w:rStyle w:val="FootnoteReference"/>
          <w:lang w:val="en-GB" w:eastAsia="en-GB"/>
        </w:rPr>
        <w:footnoteReference w:id="14"/>
      </w:r>
      <w:r w:rsidRPr="0028586F">
        <w:rPr>
          <w:lang w:val="en-GB" w:eastAsia="en-GB"/>
        </w:rPr>
        <w:t xml:space="preserve"> The economic impact of the sector was then measured by aggregating the activity of these firms.</w:t>
      </w:r>
      <w:r w:rsidR="00CA783B">
        <w:rPr>
          <w:rStyle w:val="FootnoteReference"/>
          <w:lang w:val="en-GB" w:eastAsia="en-GB"/>
        </w:rPr>
        <w:footnoteReference w:id="15"/>
      </w:r>
    </w:p>
    <w:p w:rsidR="0028586F" w:rsidRPr="0028586F" w:rsidRDefault="0028586F" w:rsidP="00D50212">
      <w:pPr>
        <w:rPr>
          <w:lang w:val="en-GB" w:eastAsia="en-GB"/>
        </w:rPr>
      </w:pPr>
      <w:r w:rsidRPr="0028586F">
        <w:rPr>
          <w:lang w:val="en-GB" w:eastAsia="en-GB"/>
        </w:rPr>
        <w:t>To enable a more complete picture of the economic impact of the sector on the Victorian economy, DEDJTR also commissioned Blake Industry &amp; Market Analysis Pty Ltd (“Blake”) to furnish a complementary and commercial in confidence report for FY2015</w:t>
      </w:r>
      <w:r w:rsidR="00D24595">
        <w:rPr>
          <w:rStyle w:val="FootnoteReference"/>
          <w:lang w:val="en-GB" w:eastAsia="en-GB"/>
        </w:rPr>
        <w:footnoteReference w:id="16"/>
      </w:r>
      <w:r w:rsidRPr="0028586F">
        <w:rPr>
          <w:lang w:val="en-GB" w:eastAsia="en-GB"/>
        </w:rPr>
        <w:t xml:space="preserve"> using a different methodology and providing a greater focus on the various companies in the sector. Over 200 businesses in the sector were surveyed and additional information was retrieved through publicly available documents, including company reports, news articles and regulatory filings, as well as financial analysis metrics. In addition, export data has been sourced from the IHS Global Trade Atlas.</w:t>
      </w:r>
      <w:r w:rsidR="000C0CC8">
        <w:rPr>
          <w:rStyle w:val="FootnoteReference"/>
          <w:lang w:val="en-GB" w:eastAsia="en-GB"/>
        </w:rPr>
        <w:footnoteReference w:id="17"/>
      </w:r>
    </w:p>
    <w:sectPr w:rsidR="0028586F" w:rsidRPr="0028586F" w:rsidSect="002F01A7">
      <w:footerReference w:type="even" r:id="rId26"/>
      <w:footerReference w:type="default" r:id="rId27"/>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F51" w:rsidRDefault="00DA7F51" w:rsidP="00E56313">
      <w:r>
        <w:separator/>
      </w:r>
    </w:p>
    <w:p w:rsidR="00DA7F51" w:rsidRDefault="00DA7F51" w:rsidP="00E56313"/>
    <w:p w:rsidR="00DA7F51" w:rsidRDefault="00DA7F51" w:rsidP="00E56313"/>
  </w:endnote>
  <w:endnote w:type="continuationSeparator" w:id="0">
    <w:p w:rsidR="00DA7F51" w:rsidRDefault="00DA7F51" w:rsidP="00E56313">
      <w:r>
        <w:continuationSeparator/>
      </w:r>
    </w:p>
    <w:p w:rsidR="00DA7F51" w:rsidRDefault="00DA7F51" w:rsidP="00E56313"/>
    <w:p w:rsidR="00DA7F51" w:rsidRDefault="00DA7F51" w:rsidP="00E563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IC">
    <w:panose1 w:val="00000000000000000000"/>
    <w:charset w:val="00"/>
    <w:family w:val="modern"/>
    <w:notTrueType/>
    <w:pitch w:val="variable"/>
    <w:sig w:usb0="00000007" w:usb1="00000000" w:usb2="00000000" w:usb3="00000000" w:csb0="00000093"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VIC Light">
    <w:panose1 w:val="00000000000000000000"/>
    <w:charset w:val="00"/>
    <w:family w:val="modern"/>
    <w:notTrueType/>
    <w:pitch w:val="variable"/>
    <w:sig w:usb0="00000007" w:usb1="00000000" w:usb2="00000000" w:usb3="00000000" w:csb0="00000093" w:csb1="00000000"/>
  </w:font>
  <w:font w:name="Chronicle Display Semibold">
    <w:altName w:val="Times New Roman"/>
    <w:charset w:val="00"/>
    <w:family w:val="auto"/>
    <w:pitch w:val="variable"/>
    <w:sig w:usb0="00000001" w:usb1="4000004A" w:usb2="00000000" w:usb3="00000000" w:csb0="0000000B"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667" w:rsidRDefault="00843667" w:rsidP="00E56313">
    <w:pPr>
      <w:pStyle w:val="Footer"/>
      <w:rPr>
        <w:rStyle w:val="PageNumber"/>
      </w:rPr>
    </w:pPr>
    <w:r>
      <w:rPr>
        <w:rStyle w:val="PageNumber"/>
      </w:rPr>
      <w:fldChar w:fldCharType="begin"/>
    </w:r>
    <w:r>
      <w:rPr>
        <w:rStyle w:val="PageNumber"/>
      </w:rPr>
      <w:instrText xml:space="preserve">PAGE  </w:instrText>
    </w:r>
    <w:r>
      <w:rPr>
        <w:rStyle w:val="PageNumber"/>
      </w:rPr>
      <w:fldChar w:fldCharType="end"/>
    </w:r>
    <w:bookmarkStart w:id="25" w:name="_GoBack"/>
  </w:p>
  <w:p w:rsidR="00843667" w:rsidRDefault="00843667" w:rsidP="00E56313">
    <w:pPr>
      <w:rPr>
        <w:rStyle w:val="PageNumber"/>
      </w:rPr>
    </w:pPr>
  </w:p>
  <w:p w:rsidR="00843667" w:rsidRDefault="00843667" w:rsidP="00E56313"/>
  <w:p w:rsidR="00843667" w:rsidRDefault="00843667" w:rsidP="00E56313"/>
  <w:bookmarkEnd w:id="25"/>
  <w:p w:rsidR="00843667" w:rsidRDefault="00843667" w:rsidP="00E5631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667" w:rsidRPr="00290BF9" w:rsidRDefault="00290BF9" w:rsidP="00290BF9">
    <w:pPr>
      <w:rPr>
        <w:rStyle w:val="Strong"/>
      </w:rPr>
    </w:pPr>
    <w:r>
      <w:rPr>
        <w:rStyle w:val="Strong"/>
      </w:rPr>
      <w:br/>
    </w:r>
    <w:r w:rsidR="00843667" w:rsidRPr="00290BF9">
      <w:rPr>
        <w:rStyle w:val="Strong"/>
      </w:rPr>
      <w:fldChar w:fldCharType="begin"/>
    </w:r>
    <w:r w:rsidR="00843667" w:rsidRPr="00290BF9">
      <w:rPr>
        <w:rStyle w:val="Strong"/>
      </w:rPr>
      <w:instrText xml:space="preserve">PAGE  </w:instrText>
    </w:r>
    <w:r w:rsidR="00843667" w:rsidRPr="00290BF9">
      <w:rPr>
        <w:rStyle w:val="Strong"/>
      </w:rPr>
      <w:fldChar w:fldCharType="separate"/>
    </w:r>
    <w:r w:rsidR="00AE62BF">
      <w:rPr>
        <w:rStyle w:val="Strong"/>
        <w:noProof/>
      </w:rPr>
      <w:t>1</w:t>
    </w:r>
    <w:r w:rsidR="00843667" w:rsidRPr="00290BF9">
      <w:rPr>
        <w:rStyle w:val="Strong"/>
      </w:rPr>
      <w:fldChar w:fldCharType="end"/>
    </w:r>
  </w:p>
  <w:p w:rsidR="0061599A" w:rsidRPr="00290BF9" w:rsidRDefault="003C26AF" w:rsidP="00E56313">
    <w:pPr>
      <w:rPr>
        <w:rStyle w:val="IntenseEmphasis"/>
      </w:rPr>
    </w:pPr>
    <w:r>
      <w:rPr>
        <w:rStyle w:val="Emphasis"/>
      </w:rPr>
      <w:t>State of Sector Medical Technologies and Pharmaceuticals 2017</w:t>
    </w:r>
    <w:r w:rsidR="00290BF9">
      <w:rPr>
        <w:rStyle w:val="IntenseEmphasis"/>
      </w:rPr>
      <w:br/>
    </w:r>
    <w:r>
      <w:rPr>
        <w:rStyle w:val="IntenseEmphasis"/>
      </w:rPr>
      <w:t>Victoria’s Future Industries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F51" w:rsidRDefault="00DA7F51" w:rsidP="00E56313">
      <w:r>
        <w:separator/>
      </w:r>
    </w:p>
    <w:p w:rsidR="00DA7F51" w:rsidRDefault="00DA7F51" w:rsidP="00E56313"/>
    <w:p w:rsidR="00DA7F51" w:rsidRDefault="00DA7F51" w:rsidP="00E56313"/>
  </w:footnote>
  <w:footnote w:type="continuationSeparator" w:id="0">
    <w:p w:rsidR="00DA7F51" w:rsidRDefault="00DA7F51" w:rsidP="00E56313">
      <w:r>
        <w:continuationSeparator/>
      </w:r>
    </w:p>
    <w:p w:rsidR="00DA7F51" w:rsidRDefault="00DA7F51" w:rsidP="00E56313"/>
    <w:p w:rsidR="00DA7F51" w:rsidRDefault="00DA7F51" w:rsidP="00E56313"/>
  </w:footnote>
  <w:footnote w:id="1">
    <w:p w:rsidR="00451C74" w:rsidRPr="00451C74" w:rsidRDefault="00451C74" w:rsidP="00451C74">
      <w:pPr>
        <w:rPr>
          <w:lang w:val="en-AU"/>
        </w:rPr>
      </w:pPr>
      <w:r w:rsidRPr="00451C74">
        <w:rPr>
          <w:rStyle w:val="FootnoteReference"/>
        </w:rPr>
        <w:footnoteRef/>
      </w:r>
      <w:r w:rsidRPr="00451C74">
        <w:rPr>
          <w:rStyle w:val="FootnoteReference"/>
        </w:rPr>
        <w:t xml:space="preserve"> Determining the economic impact of the sector is made possible by the Australian Bureau of Statistics Business Longitudinal Data Environment (BLADE). This database is the only comprehensive data of financial operations of every business in Australia and is based on annual business tax file records and survey data. The measure of economic impact, total value added, is calculated by aggregating across all firms in the sector</w:t>
      </w:r>
    </w:p>
  </w:footnote>
  <w:footnote w:id="2">
    <w:p w:rsidR="00451C74" w:rsidRPr="00451C74" w:rsidRDefault="00451C74" w:rsidP="00451C74">
      <w:pPr>
        <w:rPr>
          <w:rStyle w:val="FootnoteReference"/>
        </w:rPr>
      </w:pPr>
      <w:r w:rsidRPr="00451C74">
        <w:rPr>
          <w:rStyle w:val="FootnoteReference"/>
        </w:rPr>
        <w:footnoteRef/>
      </w:r>
      <w:r w:rsidRPr="00451C74">
        <w:rPr>
          <w:rStyle w:val="FootnoteReference"/>
        </w:rPr>
        <w:t xml:space="preserve"> Statistic from the IHI Global Trade Atlas</w:t>
      </w:r>
    </w:p>
    <w:p w:rsidR="00451C74" w:rsidRPr="00451C74" w:rsidRDefault="00451C74">
      <w:pPr>
        <w:pStyle w:val="FootnoteText"/>
        <w:rPr>
          <w:lang w:val="en-AU"/>
        </w:rPr>
      </w:pPr>
    </w:p>
  </w:footnote>
  <w:footnote w:id="3">
    <w:p w:rsidR="00FE5B87" w:rsidRPr="00FE5B87" w:rsidRDefault="00FE5B87" w:rsidP="00FE5B87">
      <w:pPr>
        <w:rPr>
          <w:rStyle w:val="FootnoteReference"/>
        </w:rPr>
      </w:pPr>
      <w:r w:rsidRPr="00FE5B87">
        <w:rPr>
          <w:rStyle w:val="FootnoteReference"/>
        </w:rPr>
        <w:footnoteRef/>
      </w:r>
      <w:r w:rsidRPr="00FE5B87">
        <w:rPr>
          <w:rStyle w:val="FootnoteReference"/>
        </w:rPr>
        <w:t xml:space="preserve"> It is not possible to directly use industry level statistics on economic activity collected by the ABS. This is because the sector comprises incomplete parts of several ANZSICs. To measure the impact of the Sector on the Victorian economy, a comprehensive list of relevant active firms was developed.</w:t>
      </w:r>
    </w:p>
  </w:footnote>
  <w:footnote w:id="4">
    <w:p w:rsidR="00880DB9" w:rsidRPr="00880DB9" w:rsidRDefault="00880DB9" w:rsidP="00880DB9">
      <w:pPr>
        <w:rPr>
          <w:lang w:val="en-AU"/>
        </w:rPr>
      </w:pPr>
      <w:r w:rsidRPr="00880DB9">
        <w:rPr>
          <w:rStyle w:val="FootnoteReference"/>
        </w:rPr>
        <w:footnoteRef/>
      </w:r>
      <w:r w:rsidRPr="00880DB9">
        <w:rPr>
          <w:rStyle w:val="FootnoteReference"/>
        </w:rPr>
        <w:t xml:space="preserve"> The main reason for excluding universities and hospitals is that it is not possible to separately identify sector relevant activities from the main activities of these organisations (education and health care) which are not part of the sector.</w:t>
      </w:r>
    </w:p>
  </w:footnote>
  <w:footnote w:id="5">
    <w:p w:rsidR="00890CD1" w:rsidRPr="00890CD1" w:rsidRDefault="00890CD1" w:rsidP="00890CD1">
      <w:pPr>
        <w:rPr>
          <w:rStyle w:val="FootnoteReference"/>
        </w:rPr>
      </w:pPr>
      <w:r w:rsidRPr="00890CD1">
        <w:rPr>
          <w:rStyle w:val="FootnoteReference"/>
        </w:rPr>
        <w:footnoteRef/>
      </w:r>
      <w:r w:rsidRPr="00890CD1">
        <w:rPr>
          <w:rStyle w:val="FootnoteReference"/>
        </w:rPr>
        <w:t xml:space="preserve"> Size of circles are not indicative of the relative size of the sectoral component</w:t>
      </w:r>
    </w:p>
    <w:p w:rsidR="00890CD1" w:rsidRPr="00890CD1" w:rsidRDefault="00890CD1">
      <w:pPr>
        <w:pStyle w:val="FootnoteText"/>
        <w:rPr>
          <w:lang w:val="en-AU"/>
        </w:rPr>
      </w:pPr>
    </w:p>
  </w:footnote>
  <w:footnote w:id="6">
    <w:p w:rsidR="002F6098" w:rsidRPr="002F6098" w:rsidRDefault="002F6098" w:rsidP="002F6098">
      <w:pPr>
        <w:rPr>
          <w:lang w:val="en-AU"/>
        </w:rPr>
      </w:pPr>
      <w:r w:rsidRPr="002F6098">
        <w:rPr>
          <w:rStyle w:val="FootnoteReference"/>
        </w:rPr>
        <w:footnoteRef/>
      </w:r>
      <w:r w:rsidRPr="002F6098">
        <w:rPr>
          <w:rStyle w:val="FootnoteReference"/>
        </w:rPr>
        <w:t xml:space="preserve"> Value added is equal to turnover net of intermediate inputs. This is consistent with the approach for calculating GDP or Gross State Product (GSP).</w:t>
      </w:r>
    </w:p>
  </w:footnote>
  <w:footnote w:id="7">
    <w:p w:rsidR="00401A51" w:rsidRPr="00401A51" w:rsidRDefault="00401A51">
      <w:pPr>
        <w:pStyle w:val="FootnoteText"/>
        <w:rPr>
          <w:lang w:val="en-AU"/>
        </w:rPr>
      </w:pPr>
      <w:r w:rsidRPr="00401A51">
        <w:footnoteRef/>
      </w:r>
      <w:r w:rsidRPr="00401A51">
        <w:t xml:space="preserve"> Nearly one fifth of the sectors’ operating expenditure falls under the category Within Sector. This group captures the expenditure on intermediate inputs by the sector from within the sector. Inputs purchased by other firms in the Sector will be reflected in the supplying firm turnover. Therefore, this economic impact has already been captured in the value added measure.</w:t>
      </w:r>
    </w:p>
  </w:footnote>
  <w:footnote w:id="8">
    <w:p w:rsidR="00092B2D" w:rsidRPr="00092B2D" w:rsidRDefault="00092B2D" w:rsidP="00092B2D">
      <w:pPr>
        <w:rPr>
          <w:lang w:val="en-AU"/>
        </w:rPr>
      </w:pPr>
      <w:r w:rsidRPr="00092B2D">
        <w:rPr>
          <w:rStyle w:val="FootnoteReference"/>
        </w:rPr>
        <w:footnoteRef/>
      </w:r>
      <w:r w:rsidRPr="00092B2D">
        <w:rPr>
          <w:rStyle w:val="FootnoteReference"/>
        </w:rPr>
        <w:t xml:space="preserve"> Blake Industry &amp; Market Analysis Pty Ltd (21 October, 2016), Medical Technology &amp; Pharmaceutical Sector 2015 Final Annual Report. Commercial in confidence.</w:t>
      </w:r>
    </w:p>
  </w:footnote>
  <w:footnote w:id="9">
    <w:p w:rsidR="00A95AA7" w:rsidRPr="00A95AA7" w:rsidRDefault="00A95AA7" w:rsidP="00A95AA7">
      <w:pPr>
        <w:rPr>
          <w:rStyle w:val="FootnoteReference"/>
        </w:rPr>
      </w:pPr>
      <w:r w:rsidRPr="00A95AA7">
        <w:rPr>
          <w:rStyle w:val="FootnoteReference"/>
        </w:rPr>
        <w:footnoteRef/>
      </w:r>
      <w:r w:rsidRPr="00A95AA7">
        <w:rPr>
          <w:rStyle w:val="FootnoteReference"/>
        </w:rPr>
        <w:t xml:space="preserve"> </w:t>
      </w:r>
      <w:hyperlink r:id="rId1" w:history="1">
        <w:r w:rsidR="00C46900" w:rsidRPr="008F015F">
          <w:rPr>
            <w:rStyle w:val="Hyperlink"/>
            <w:vertAlign w:val="superscript"/>
          </w:rPr>
          <w:t>www.nhmrc.gov.au/grants-funding/outcomes-funding-rounds</w:t>
        </w:r>
      </w:hyperlink>
      <w:r w:rsidRPr="00A95AA7">
        <w:rPr>
          <w:rStyle w:val="FootnoteReference"/>
        </w:rPr>
        <w:t>, accessed February 2017.</w:t>
      </w:r>
    </w:p>
    <w:p w:rsidR="00A95AA7" w:rsidRPr="00A95AA7" w:rsidRDefault="00A95AA7">
      <w:pPr>
        <w:pStyle w:val="FootnoteText"/>
        <w:rPr>
          <w:lang w:val="en-AU"/>
        </w:rPr>
      </w:pPr>
    </w:p>
  </w:footnote>
  <w:footnote w:id="10">
    <w:p w:rsidR="00A14FAE" w:rsidRPr="00A14FAE" w:rsidRDefault="00A14FAE" w:rsidP="00A14FAE">
      <w:pPr>
        <w:rPr>
          <w:rStyle w:val="FootnoteReference"/>
        </w:rPr>
      </w:pPr>
      <w:r w:rsidRPr="00A14FAE">
        <w:rPr>
          <w:rStyle w:val="FootnoteReference"/>
        </w:rPr>
        <w:footnoteRef/>
      </w:r>
      <w:r w:rsidRPr="00A14FAE">
        <w:rPr>
          <w:rStyle w:val="FootnoteReference"/>
        </w:rPr>
        <w:t xml:space="preserve"> State Government of Victoria, Life Sciences Pre-Clinical and Clinical Development Programs, Melbourne Australia, June 2016 Commercial-in-Confidence.</w:t>
      </w:r>
    </w:p>
  </w:footnote>
  <w:footnote w:id="11">
    <w:p w:rsidR="0028586F" w:rsidRPr="0028586F" w:rsidRDefault="0028586F" w:rsidP="00A14FAE">
      <w:pPr>
        <w:rPr>
          <w:lang w:val="en-AU"/>
        </w:rPr>
      </w:pPr>
      <w:r w:rsidRPr="00A14FAE">
        <w:rPr>
          <w:rStyle w:val="FootnoteReference"/>
        </w:rPr>
        <w:footnoteRef/>
      </w:r>
      <w:r w:rsidR="00A14FAE" w:rsidRPr="00A14FAE">
        <w:rPr>
          <w:rStyle w:val="FootnoteReference"/>
        </w:rPr>
        <w:t>State Government of Victoria, Life Sciences Pre-Clinical and Clinical Development Programs, Melbourne Australia, June 2016 Commercial-in-Confidence.</w:t>
      </w:r>
    </w:p>
  </w:footnote>
  <w:footnote w:id="12">
    <w:p w:rsidR="004427E4" w:rsidRPr="004427E4" w:rsidRDefault="004427E4" w:rsidP="004427E4">
      <w:pPr>
        <w:rPr>
          <w:rStyle w:val="FootnoteReference"/>
        </w:rPr>
      </w:pPr>
      <w:r w:rsidRPr="004427E4">
        <w:rPr>
          <w:rStyle w:val="FootnoteReference"/>
        </w:rPr>
        <w:footnoteRef/>
      </w:r>
      <w:r w:rsidRPr="004427E4">
        <w:rPr>
          <w:rStyle w:val="FootnoteReference"/>
        </w:rPr>
        <w:t xml:space="preserve"> Centre for Transformative Innovation (February, 2017), </w:t>
      </w:r>
      <w:r w:rsidRPr="004427E4">
        <w:rPr>
          <w:rStyle w:val="FootnoteReference"/>
          <w:i/>
        </w:rPr>
        <w:t>Economic Impact Analysis – Victorian Medical Technologies &amp; Pharmaceuticals Sector.</w:t>
      </w:r>
    </w:p>
  </w:footnote>
  <w:footnote w:id="13">
    <w:p w:rsidR="00BF4673" w:rsidRPr="00BF4673" w:rsidRDefault="00BF4673" w:rsidP="00BF4673">
      <w:pPr>
        <w:rPr>
          <w:rStyle w:val="FootnoteReference"/>
        </w:rPr>
      </w:pPr>
      <w:r w:rsidRPr="00BF4673">
        <w:rPr>
          <w:rStyle w:val="FootnoteReference"/>
        </w:rPr>
        <w:footnoteRef/>
      </w:r>
      <w:r w:rsidRPr="00BF4673">
        <w:rPr>
          <w:rStyle w:val="FootnoteReference"/>
        </w:rPr>
        <w:t xml:space="preserve"> Due to a lag in availability, the data is from 2013-14</w:t>
      </w:r>
    </w:p>
  </w:footnote>
  <w:footnote w:id="14">
    <w:p w:rsidR="00CA783B" w:rsidRPr="00CA783B" w:rsidRDefault="00CA783B" w:rsidP="00CA783B">
      <w:pPr>
        <w:rPr>
          <w:rStyle w:val="FootnoteReference"/>
        </w:rPr>
      </w:pPr>
      <w:r w:rsidRPr="00CA783B">
        <w:rPr>
          <w:rStyle w:val="FootnoteReference"/>
        </w:rPr>
        <w:footnoteRef/>
      </w:r>
      <w:r w:rsidRPr="00CA783B">
        <w:rPr>
          <w:rStyle w:val="FootnoteReference"/>
        </w:rPr>
        <w:t xml:space="preserve"> A complete list of the firms included in the analysis is included in Appendix A of the CTI Report.</w:t>
      </w:r>
    </w:p>
  </w:footnote>
  <w:footnote w:id="15">
    <w:p w:rsidR="00CA783B" w:rsidRPr="00CA783B" w:rsidRDefault="00CA783B" w:rsidP="00CA783B">
      <w:pPr>
        <w:rPr>
          <w:lang w:val="en-AU"/>
        </w:rPr>
      </w:pPr>
      <w:r w:rsidRPr="00CA783B">
        <w:rPr>
          <w:rStyle w:val="FootnoteReference"/>
        </w:rPr>
        <w:footnoteRef/>
      </w:r>
      <w:r w:rsidRPr="00CA783B">
        <w:rPr>
          <w:rStyle w:val="FootnoteReference"/>
        </w:rPr>
        <w:t xml:space="preserve"> The main caveat to the measured direct impact is that operations in Victoria of firms that are based in other states have not been included. Similarly, no adjustment was made for any possible economic activity outside Victoria by Victorian firms. This means the estimates of economic impact presented are conservative.</w:t>
      </w:r>
    </w:p>
  </w:footnote>
  <w:footnote w:id="16">
    <w:p w:rsidR="00D24595" w:rsidRPr="00D24595" w:rsidRDefault="00D24595" w:rsidP="00D24595">
      <w:pPr>
        <w:rPr>
          <w:lang w:val="en-AU"/>
        </w:rPr>
      </w:pPr>
      <w:r w:rsidRPr="00D24595">
        <w:rPr>
          <w:rStyle w:val="FootnoteReference"/>
        </w:rPr>
        <w:footnoteRef/>
      </w:r>
      <w:r w:rsidRPr="00D24595">
        <w:rPr>
          <w:rStyle w:val="FootnoteReference"/>
        </w:rPr>
        <w:t xml:space="preserve"> Blake Industry &amp; Market Analysis Pty Ltd (21 October, 2016), </w:t>
      </w:r>
      <w:r w:rsidRPr="00D24595">
        <w:rPr>
          <w:rStyle w:val="FootnoteReference"/>
          <w:i/>
        </w:rPr>
        <w:t>Medical Technology &amp; Pharmaceutical Sector 2015 Final Annual Report.</w:t>
      </w:r>
      <w:r w:rsidRPr="00D24595">
        <w:rPr>
          <w:rStyle w:val="FootnoteReference"/>
        </w:rPr>
        <w:t xml:space="preserve"> Commercial in confidence.</w:t>
      </w:r>
    </w:p>
  </w:footnote>
  <w:footnote w:id="17">
    <w:p w:rsidR="000C0CC8" w:rsidRPr="000C0CC8" w:rsidRDefault="000C0CC8" w:rsidP="000C0CC8">
      <w:pPr>
        <w:rPr>
          <w:lang w:val="en-AU"/>
        </w:rPr>
      </w:pPr>
      <w:r w:rsidRPr="000C0CC8">
        <w:rPr>
          <w:rStyle w:val="FootnoteReference"/>
        </w:rPr>
        <w:footnoteRef/>
      </w:r>
      <w:r w:rsidRPr="000C0CC8">
        <w:rPr>
          <w:rStyle w:val="FootnoteReference"/>
        </w:rPr>
        <w:t xml:space="preserve"> IHS Global Trade Atlas: Global Import/Export Commodity Trade Data, 2016.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F5C93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AA09B8C"/>
    <w:lvl w:ilvl="0">
      <w:start w:val="1"/>
      <w:numFmt w:val="decimal"/>
      <w:lvlText w:val="%1."/>
      <w:lvlJc w:val="left"/>
      <w:pPr>
        <w:tabs>
          <w:tab w:val="num" w:pos="1492"/>
        </w:tabs>
        <w:ind w:left="1492" w:hanging="360"/>
      </w:pPr>
    </w:lvl>
  </w:abstractNum>
  <w:abstractNum w:abstractNumId="2">
    <w:nsid w:val="FFFFFF7D"/>
    <w:multiLevelType w:val="singleLevel"/>
    <w:tmpl w:val="E49E1FA8"/>
    <w:lvl w:ilvl="0">
      <w:start w:val="1"/>
      <w:numFmt w:val="decimal"/>
      <w:lvlText w:val="%1."/>
      <w:lvlJc w:val="left"/>
      <w:pPr>
        <w:tabs>
          <w:tab w:val="num" w:pos="1209"/>
        </w:tabs>
        <w:ind w:left="1209" w:hanging="360"/>
      </w:pPr>
    </w:lvl>
  </w:abstractNum>
  <w:abstractNum w:abstractNumId="3">
    <w:nsid w:val="FFFFFF7E"/>
    <w:multiLevelType w:val="singleLevel"/>
    <w:tmpl w:val="A08CBDAE"/>
    <w:lvl w:ilvl="0">
      <w:start w:val="1"/>
      <w:numFmt w:val="decimal"/>
      <w:lvlText w:val="%1."/>
      <w:lvlJc w:val="left"/>
      <w:pPr>
        <w:tabs>
          <w:tab w:val="num" w:pos="926"/>
        </w:tabs>
        <w:ind w:left="926" w:hanging="360"/>
      </w:pPr>
    </w:lvl>
  </w:abstractNum>
  <w:abstractNum w:abstractNumId="4">
    <w:nsid w:val="FFFFFF7F"/>
    <w:multiLevelType w:val="singleLevel"/>
    <w:tmpl w:val="9BEE97E0"/>
    <w:lvl w:ilvl="0">
      <w:start w:val="1"/>
      <w:numFmt w:val="decimal"/>
      <w:lvlText w:val="%1."/>
      <w:lvlJc w:val="left"/>
      <w:pPr>
        <w:tabs>
          <w:tab w:val="num" w:pos="643"/>
        </w:tabs>
        <w:ind w:left="643" w:hanging="360"/>
      </w:pPr>
    </w:lvl>
  </w:abstractNum>
  <w:abstractNum w:abstractNumId="5">
    <w:nsid w:val="FFFFFF80"/>
    <w:multiLevelType w:val="singleLevel"/>
    <w:tmpl w:val="3D22A57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3D0C57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DD92B9D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1C0D68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025845E8"/>
    <w:lvl w:ilvl="0">
      <w:start w:val="1"/>
      <w:numFmt w:val="decimal"/>
      <w:lvlText w:val="%1."/>
      <w:lvlJc w:val="left"/>
      <w:pPr>
        <w:tabs>
          <w:tab w:val="num" w:pos="360"/>
        </w:tabs>
        <w:ind w:left="360" w:hanging="360"/>
      </w:pPr>
    </w:lvl>
  </w:abstractNum>
  <w:abstractNum w:abstractNumId="10">
    <w:nsid w:val="FFFFFF89"/>
    <w:multiLevelType w:val="singleLevel"/>
    <w:tmpl w:val="168C7308"/>
    <w:lvl w:ilvl="0">
      <w:start w:val="1"/>
      <w:numFmt w:val="bullet"/>
      <w:lvlText w:val=""/>
      <w:lvlJc w:val="left"/>
      <w:pPr>
        <w:tabs>
          <w:tab w:val="num" w:pos="360"/>
        </w:tabs>
        <w:ind w:left="360" w:hanging="360"/>
      </w:pPr>
      <w:rPr>
        <w:rFonts w:ascii="Symbol" w:hAnsi="Symbol" w:hint="default"/>
      </w:rPr>
    </w:lvl>
  </w:abstractNum>
  <w:abstractNum w:abstractNumId="11">
    <w:nsid w:val="03103A7F"/>
    <w:multiLevelType w:val="hybridMultilevel"/>
    <w:tmpl w:val="57246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3F279D5"/>
    <w:multiLevelType w:val="hybridMultilevel"/>
    <w:tmpl w:val="8A460F5C"/>
    <w:lvl w:ilvl="0" w:tplc="7B284B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3FD260D"/>
    <w:multiLevelType w:val="hybridMultilevel"/>
    <w:tmpl w:val="D03C4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5A95E16"/>
    <w:multiLevelType w:val="hybridMultilevel"/>
    <w:tmpl w:val="7B4239D2"/>
    <w:lvl w:ilvl="0" w:tplc="8B6C4DBC">
      <w:start w:val="1"/>
      <w:numFmt w:val="bullet"/>
      <w:lvlText w:val="•"/>
      <w:lvlJc w:val="left"/>
      <w:pPr>
        <w:tabs>
          <w:tab w:val="num" w:pos="720"/>
        </w:tabs>
        <w:ind w:left="720" w:hanging="360"/>
      </w:pPr>
      <w:rPr>
        <w:rFonts w:ascii="Times" w:hAnsi="Times" w:hint="default"/>
      </w:rPr>
    </w:lvl>
    <w:lvl w:ilvl="1" w:tplc="778A5EAC">
      <w:numFmt w:val="bullet"/>
      <w:lvlText w:val="–"/>
      <w:lvlJc w:val="left"/>
      <w:pPr>
        <w:tabs>
          <w:tab w:val="num" w:pos="1440"/>
        </w:tabs>
        <w:ind w:left="1440" w:hanging="360"/>
      </w:pPr>
      <w:rPr>
        <w:rFonts w:ascii="Times" w:hAnsi="Times" w:hint="default"/>
      </w:rPr>
    </w:lvl>
    <w:lvl w:ilvl="2" w:tplc="7144AE2C" w:tentative="1">
      <w:start w:val="1"/>
      <w:numFmt w:val="bullet"/>
      <w:lvlText w:val="•"/>
      <w:lvlJc w:val="left"/>
      <w:pPr>
        <w:tabs>
          <w:tab w:val="num" w:pos="2160"/>
        </w:tabs>
        <w:ind w:left="2160" w:hanging="360"/>
      </w:pPr>
      <w:rPr>
        <w:rFonts w:ascii="Times" w:hAnsi="Times" w:hint="default"/>
      </w:rPr>
    </w:lvl>
    <w:lvl w:ilvl="3" w:tplc="717AD772" w:tentative="1">
      <w:start w:val="1"/>
      <w:numFmt w:val="bullet"/>
      <w:lvlText w:val="•"/>
      <w:lvlJc w:val="left"/>
      <w:pPr>
        <w:tabs>
          <w:tab w:val="num" w:pos="2880"/>
        </w:tabs>
        <w:ind w:left="2880" w:hanging="360"/>
      </w:pPr>
      <w:rPr>
        <w:rFonts w:ascii="Times" w:hAnsi="Times" w:hint="default"/>
      </w:rPr>
    </w:lvl>
    <w:lvl w:ilvl="4" w:tplc="AAE21C5A" w:tentative="1">
      <w:start w:val="1"/>
      <w:numFmt w:val="bullet"/>
      <w:lvlText w:val="•"/>
      <w:lvlJc w:val="left"/>
      <w:pPr>
        <w:tabs>
          <w:tab w:val="num" w:pos="3600"/>
        </w:tabs>
        <w:ind w:left="3600" w:hanging="360"/>
      </w:pPr>
      <w:rPr>
        <w:rFonts w:ascii="Times" w:hAnsi="Times" w:hint="default"/>
      </w:rPr>
    </w:lvl>
    <w:lvl w:ilvl="5" w:tplc="29A025EC" w:tentative="1">
      <w:start w:val="1"/>
      <w:numFmt w:val="bullet"/>
      <w:lvlText w:val="•"/>
      <w:lvlJc w:val="left"/>
      <w:pPr>
        <w:tabs>
          <w:tab w:val="num" w:pos="4320"/>
        </w:tabs>
        <w:ind w:left="4320" w:hanging="360"/>
      </w:pPr>
      <w:rPr>
        <w:rFonts w:ascii="Times" w:hAnsi="Times" w:hint="default"/>
      </w:rPr>
    </w:lvl>
    <w:lvl w:ilvl="6" w:tplc="1A406044" w:tentative="1">
      <w:start w:val="1"/>
      <w:numFmt w:val="bullet"/>
      <w:lvlText w:val="•"/>
      <w:lvlJc w:val="left"/>
      <w:pPr>
        <w:tabs>
          <w:tab w:val="num" w:pos="5040"/>
        </w:tabs>
        <w:ind w:left="5040" w:hanging="360"/>
      </w:pPr>
      <w:rPr>
        <w:rFonts w:ascii="Times" w:hAnsi="Times" w:hint="default"/>
      </w:rPr>
    </w:lvl>
    <w:lvl w:ilvl="7" w:tplc="AA16A4D6" w:tentative="1">
      <w:start w:val="1"/>
      <w:numFmt w:val="bullet"/>
      <w:lvlText w:val="•"/>
      <w:lvlJc w:val="left"/>
      <w:pPr>
        <w:tabs>
          <w:tab w:val="num" w:pos="5760"/>
        </w:tabs>
        <w:ind w:left="5760" w:hanging="360"/>
      </w:pPr>
      <w:rPr>
        <w:rFonts w:ascii="Times" w:hAnsi="Times" w:hint="default"/>
      </w:rPr>
    </w:lvl>
    <w:lvl w:ilvl="8" w:tplc="57969E60" w:tentative="1">
      <w:start w:val="1"/>
      <w:numFmt w:val="bullet"/>
      <w:lvlText w:val="•"/>
      <w:lvlJc w:val="left"/>
      <w:pPr>
        <w:tabs>
          <w:tab w:val="num" w:pos="6480"/>
        </w:tabs>
        <w:ind w:left="6480" w:hanging="360"/>
      </w:pPr>
      <w:rPr>
        <w:rFonts w:ascii="Times" w:hAnsi="Times" w:hint="default"/>
      </w:rPr>
    </w:lvl>
  </w:abstractNum>
  <w:abstractNum w:abstractNumId="15">
    <w:nsid w:val="0CC21B19"/>
    <w:multiLevelType w:val="hybridMultilevel"/>
    <w:tmpl w:val="6BC26202"/>
    <w:lvl w:ilvl="0" w:tplc="7A28F1C4">
      <w:start w:val="4"/>
      <w:numFmt w:val="bullet"/>
      <w:lvlText w:val="-"/>
      <w:lvlJc w:val="left"/>
      <w:pPr>
        <w:ind w:left="1080" w:hanging="36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0E7A2191"/>
    <w:multiLevelType w:val="hybridMultilevel"/>
    <w:tmpl w:val="FD3A4E7C"/>
    <w:lvl w:ilvl="0" w:tplc="3B28C13A">
      <w:start w:val="1"/>
      <w:numFmt w:val="bullet"/>
      <w:lvlText w:val="•"/>
      <w:lvlJc w:val="left"/>
      <w:pPr>
        <w:tabs>
          <w:tab w:val="num" w:pos="720"/>
        </w:tabs>
        <w:ind w:left="720" w:hanging="360"/>
      </w:pPr>
      <w:rPr>
        <w:rFonts w:ascii="Times" w:hAnsi="Times" w:hint="default"/>
      </w:rPr>
    </w:lvl>
    <w:lvl w:ilvl="1" w:tplc="460C91E2">
      <w:numFmt w:val="bullet"/>
      <w:lvlText w:val="–"/>
      <w:lvlJc w:val="left"/>
      <w:pPr>
        <w:tabs>
          <w:tab w:val="num" w:pos="1440"/>
        </w:tabs>
        <w:ind w:left="1440" w:hanging="360"/>
      </w:pPr>
      <w:rPr>
        <w:rFonts w:ascii="Times" w:hAnsi="Times" w:hint="default"/>
      </w:rPr>
    </w:lvl>
    <w:lvl w:ilvl="2" w:tplc="FC26EEF0" w:tentative="1">
      <w:start w:val="1"/>
      <w:numFmt w:val="bullet"/>
      <w:lvlText w:val="•"/>
      <w:lvlJc w:val="left"/>
      <w:pPr>
        <w:tabs>
          <w:tab w:val="num" w:pos="2160"/>
        </w:tabs>
        <w:ind w:left="2160" w:hanging="360"/>
      </w:pPr>
      <w:rPr>
        <w:rFonts w:ascii="Times" w:hAnsi="Times" w:hint="default"/>
      </w:rPr>
    </w:lvl>
    <w:lvl w:ilvl="3" w:tplc="1354FFCE" w:tentative="1">
      <w:start w:val="1"/>
      <w:numFmt w:val="bullet"/>
      <w:lvlText w:val="•"/>
      <w:lvlJc w:val="left"/>
      <w:pPr>
        <w:tabs>
          <w:tab w:val="num" w:pos="2880"/>
        </w:tabs>
        <w:ind w:left="2880" w:hanging="360"/>
      </w:pPr>
      <w:rPr>
        <w:rFonts w:ascii="Times" w:hAnsi="Times" w:hint="default"/>
      </w:rPr>
    </w:lvl>
    <w:lvl w:ilvl="4" w:tplc="235E3FD6" w:tentative="1">
      <w:start w:val="1"/>
      <w:numFmt w:val="bullet"/>
      <w:lvlText w:val="•"/>
      <w:lvlJc w:val="left"/>
      <w:pPr>
        <w:tabs>
          <w:tab w:val="num" w:pos="3600"/>
        </w:tabs>
        <w:ind w:left="3600" w:hanging="360"/>
      </w:pPr>
      <w:rPr>
        <w:rFonts w:ascii="Times" w:hAnsi="Times" w:hint="default"/>
      </w:rPr>
    </w:lvl>
    <w:lvl w:ilvl="5" w:tplc="87F68BBE" w:tentative="1">
      <w:start w:val="1"/>
      <w:numFmt w:val="bullet"/>
      <w:lvlText w:val="•"/>
      <w:lvlJc w:val="left"/>
      <w:pPr>
        <w:tabs>
          <w:tab w:val="num" w:pos="4320"/>
        </w:tabs>
        <w:ind w:left="4320" w:hanging="360"/>
      </w:pPr>
      <w:rPr>
        <w:rFonts w:ascii="Times" w:hAnsi="Times" w:hint="default"/>
      </w:rPr>
    </w:lvl>
    <w:lvl w:ilvl="6" w:tplc="5F56D696" w:tentative="1">
      <w:start w:val="1"/>
      <w:numFmt w:val="bullet"/>
      <w:lvlText w:val="•"/>
      <w:lvlJc w:val="left"/>
      <w:pPr>
        <w:tabs>
          <w:tab w:val="num" w:pos="5040"/>
        </w:tabs>
        <w:ind w:left="5040" w:hanging="360"/>
      </w:pPr>
      <w:rPr>
        <w:rFonts w:ascii="Times" w:hAnsi="Times" w:hint="default"/>
      </w:rPr>
    </w:lvl>
    <w:lvl w:ilvl="7" w:tplc="EBE07326" w:tentative="1">
      <w:start w:val="1"/>
      <w:numFmt w:val="bullet"/>
      <w:lvlText w:val="•"/>
      <w:lvlJc w:val="left"/>
      <w:pPr>
        <w:tabs>
          <w:tab w:val="num" w:pos="5760"/>
        </w:tabs>
        <w:ind w:left="5760" w:hanging="360"/>
      </w:pPr>
      <w:rPr>
        <w:rFonts w:ascii="Times" w:hAnsi="Times" w:hint="default"/>
      </w:rPr>
    </w:lvl>
    <w:lvl w:ilvl="8" w:tplc="F7FE5200" w:tentative="1">
      <w:start w:val="1"/>
      <w:numFmt w:val="bullet"/>
      <w:lvlText w:val="•"/>
      <w:lvlJc w:val="left"/>
      <w:pPr>
        <w:tabs>
          <w:tab w:val="num" w:pos="6480"/>
        </w:tabs>
        <w:ind w:left="6480" w:hanging="360"/>
      </w:pPr>
      <w:rPr>
        <w:rFonts w:ascii="Times" w:hAnsi="Times" w:hint="default"/>
      </w:rPr>
    </w:lvl>
  </w:abstractNum>
  <w:abstractNum w:abstractNumId="17">
    <w:nsid w:val="15022396"/>
    <w:multiLevelType w:val="hybridMultilevel"/>
    <w:tmpl w:val="FCAE4F86"/>
    <w:lvl w:ilvl="0" w:tplc="2CBEE968">
      <w:start w:val="1"/>
      <w:numFmt w:val="bullet"/>
      <w:pStyle w:val="TableCopy"/>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6BE277B"/>
    <w:multiLevelType w:val="hybridMultilevel"/>
    <w:tmpl w:val="116E237A"/>
    <w:lvl w:ilvl="0" w:tplc="5CBAACD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E42A5B"/>
    <w:multiLevelType w:val="hybridMultilevel"/>
    <w:tmpl w:val="4E08F672"/>
    <w:lvl w:ilvl="0" w:tplc="2C1CA856">
      <w:start w:val="1"/>
      <w:numFmt w:val="bullet"/>
      <w:lvlText w:val="•"/>
      <w:lvlJc w:val="left"/>
      <w:pPr>
        <w:tabs>
          <w:tab w:val="num" w:pos="720"/>
        </w:tabs>
        <w:ind w:left="720" w:hanging="360"/>
      </w:pPr>
      <w:rPr>
        <w:rFonts w:ascii="Times" w:hAnsi="Times" w:hint="default"/>
      </w:rPr>
    </w:lvl>
    <w:lvl w:ilvl="1" w:tplc="8878E068" w:tentative="1">
      <w:start w:val="1"/>
      <w:numFmt w:val="bullet"/>
      <w:lvlText w:val="•"/>
      <w:lvlJc w:val="left"/>
      <w:pPr>
        <w:tabs>
          <w:tab w:val="num" w:pos="1440"/>
        </w:tabs>
        <w:ind w:left="1440" w:hanging="360"/>
      </w:pPr>
      <w:rPr>
        <w:rFonts w:ascii="Times" w:hAnsi="Times" w:hint="default"/>
      </w:rPr>
    </w:lvl>
    <w:lvl w:ilvl="2" w:tplc="79484C90" w:tentative="1">
      <w:start w:val="1"/>
      <w:numFmt w:val="bullet"/>
      <w:lvlText w:val="•"/>
      <w:lvlJc w:val="left"/>
      <w:pPr>
        <w:tabs>
          <w:tab w:val="num" w:pos="2160"/>
        </w:tabs>
        <w:ind w:left="2160" w:hanging="360"/>
      </w:pPr>
      <w:rPr>
        <w:rFonts w:ascii="Times" w:hAnsi="Times" w:hint="default"/>
      </w:rPr>
    </w:lvl>
    <w:lvl w:ilvl="3" w:tplc="B9E61B34" w:tentative="1">
      <w:start w:val="1"/>
      <w:numFmt w:val="bullet"/>
      <w:lvlText w:val="•"/>
      <w:lvlJc w:val="left"/>
      <w:pPr>
        <w:tabs>
          <w:tab w:val="num" w:pos="2880"/>
        </w:tabs>
        <w:ind w:left="2880" w:hanging="360"/>
      </w:pPr>
      <w:rPr>
        <w:rFonts w:ascii="Times" w:hAnsi="Times" w:hint="default"/>
      </w:rPr>
    </w:lvl>
    <w:lvl w:ilvl="4" w:tplc="1B284A0C" w:tentative="1">
      <w:start w:val="1"/>
      <w:numFmt w:val="bullet"/>
      <w:lvlText w:val="•"/>
      <w:lvlJc w:val="left"/>
      <w:pPr>
        <w:tabs>
          <w:tab w:val="num" w:pos="3600"/>
        </w:tabs>
        <w:ind w:left="3600" w:hanging="360"/>
      </w:pPr>
      <w:rPr>
        <w:rFonts w:ascii="Times" w:hAnsi="Times" w:hint="default"/>
      </w:rPr>
    </w:lvl>
    <w:lvl w:ilvl="5" w:tplc="12B63A20" w:tentative="1">
      <w:start w:val="1"/>
      <w:numFmt w:val="bullet"/>
      <w:lvlText w:val="•"/>
      <w:lvlJc w:val="left"/>
      <w:pPr>
        <w:tabs>
          <w:tab w:val="num" w:pos="4320"/>
        </w:tabs>
        <w:ind w:left="4320" w:hanging="360"/>
      </w:pPr>
      <w:rPr>
        <w:rFonts w:ascii="Times" w:hAnsi="Times" w:hint="default"/>
      </w:rPr>
    </w:lvl>
    <w:lvl w:ilvl="6" w:tplc="47BA3B34" w:tentative="1">
      <w:start w:val="1"/>
      <w:numFmt w:val="bullet"/>
      <w:lvlText w:val="•"/>
      <w:lvlJc w:val="left"/>
      <w:pPr>
        <w:tabs>
          <w:tab w:val="num" w:pos="5040"/>
        </w:tabs>
        <w:ind w:left="5040" w:hanging="360"/>
      </w:pPr>
      <w:rPr>
        <w:rFonts w:ascii="Times" w:hAnsi="Times" w:hint="default"/>
      </w:rPr>
    </w:lvl>
    <w:lvl w:ilvl="7" w:tplc="CE123E32" w:tentative="1">
      <w:start w:val="1"/>
      <w:numFmt w:val="bullet"/>
      <w:lvlText w:val="•"/>
      <w:lvlJc w:val="left"/>
      <w:pPr>
        <w:tabs>
          <w:tab w:val="num" w:pos="5760"/>
        </w:tabs>
        <w:ind w:left="5760" w:hanging="360"/>
      </w:pPr>
      <w:rPr>
        <w:rFonts w:ascii="Times" w:hAnsi="Times" w:hint="default"/>
      </w:rPr>
    </w:lvl>
    <w:lvl w:ilvl="8" w:tplc="81D2F8E8" w:tentative="1">
      <w:start w:val="1"/>
      <w:numFmt w:val="bullet"/>
      <w:lvlText w:val="•"/>
      <w:lvlJc w:val="left"/>
      <w:pPr>
        <w:tabs>
          <w:tab w:val="num" w:pos="6480"/>
        </w:tabs>
        <w:ind w:left="6480" w:hanging="360"/>
      </w:pPr>
      <w:rPr>
        <w:rFonts w:ascii="Times" w:hAnsi="Times" w:hint="default"/>
      </w:rPr>
    </w:lvl>
  </w:abstractNum>
  <w:abstractNum w:abstractNumId="20">
    <w:nsid w:val="23012531"/>
    <w:multiLevelType w:val="hybridMultilevel"/>
    <w:tmpl w:val="06765576"/>
    <w:lvl w:ilvl="0" w:tplc="F1D295EE">
      <w:start w:val="1"/>
      <w:numFmt w:val="bullet"/>
      <w:lvlText w:val="•"/>
      <w:lvlJc w:val="left"/>
      <w:pPr>
        <w:tabs>
          <w:tab w:val="num" w:pos="720"/>
        </w:tabs>
        <w:ind w:left="720" w:hanging="360"/>
      </w:pPr>
      <w:rPr>
        <w:rFonts w:ascii="Times" w:hAnsi="Times" w:hint="default"/>
      </w:rPr>
    </w:lvl>
    <w:lvl w:ilvl="1" w:tplc="3D58BBD0" w:tentative="1">
      <w:start w:val="1"/>
      <w:numFmt w:val="bullet"/>
      <w:lvlText w:val="•"/>
      <w:lvlJc w:val="left"/>
      <w:pPr>
        <w:tabs>
          <w:tab w:val="num" w:pos="1440"/>
        </w:tabs>
        <w:ind w:left="1440" w:hanging="360"/>
      </w:pPr>
      <w:rPr>
        <w:rFonts w:ascii="Times" w:hAnsi="Times" w:hint="default"/>
      </w:rPr>
    </w:lvl>
    <w:lvl w:ilvl="2" w:tplc="B3A2E2CA" w:tentative="1">
      <w:start w:val="1"/>
      <w:numFmt w:val="bullet"/>
      <w:lvlText w:val="•"/>
      <w:lvlJc w:val="left"/>
      <w:pPr>
        <w:tabs>
          <w:tab w:val="num" w:pos="2160"/>
        </w:tabs>
        <w:ind w:left="2160" w:hanging="360"/>
      </w:pPr>
      <w:rPr>
        <w:rFonts w:ascii="Times" w:hAnsi="Times" w:hint="default"/>
      </w:rPr>
    </w:lvl>
    <w:lvl w:ilvl="3" w:tplc="FACC2842" w:tentative="1">
      <w:start w:val="1"/>
      <w:numFmt w:val="bullet"/>
      <w:lvlText w:val="•"/>
      <w:lvlJc w:val="left"/>
      <w:pPr>
        <w:tabs>
          <w:tab w:val="num" w:pos="2880"/>
        </w:tabs>
        <w:ind w:left="2880" w:hanging="360"/>
      </w:pPr>
      <w:rPr>
        <w:rFonts w:ascii="Times" w:hAnsi="Times" w:hint="default"/>
      </w:rPr>
    </w:lvl>
    <w:lvl w:ilvl="4" w:tplc="B238A0BE" w:tentative="1">
      <w:start w:val="1"/>
      <w:numFmt w:val="bullet"/>
      <w:lvlText w:val="•"/>
      <w:lvlJc w:val="left"/>
      <w:pPr>
        <w:tabs>
          <w:tab w:val="num" w:pos="3600"/>
        </w:tabs>
        <w:ind w:left="3600" w:hanging="360"/>
      </w:pPr>
      <w:rPr>
        <w:rFonts w:ascii="Times" w:hAnsi="Times" w:hint="default"/>
      </w:rPr>
    </w:lvl>
    <w:lvl w:ilvl="5" w:tplc="25D4AF86" w:tentative="1">
      <w:start w:val="1"/>
      <w:numFmt w:val="bullet"/>
      <w:lvlText w:val="•"/>
      <w:lvlJc w:val="left"/>
      <w:pPr>
        <w:tabs>
          <w:tab w:val="num" w:pos="4320"/>
        </w:tabs>
        <w:ind w:left="4320" w:hanging="360"/>
      </w:pPr>
      <w:rPr>
        <w:rFonts w:ascii="Times" w:hAnsi="Times" w:hint="default"/>
      </w:rPr>
    </w:lvl>
    <w:lvl w:ilvl="6" w:tplc="3DB6C724" w:tentative="1">
      <w:start w:val="1"/>
      <w:numFmt w:val="bullet"/>
      <w:lvlText w:val="•"/>
      <w:lvlJc w:val="left"/>
      <w:pPr>
        <w:tabs>
          <w:tab w:val="num" w:pos="5040"/>
        </w:tabs>
        <w:ind w:left="5040" w:hanging="360"/>
      </w:pPr>
      <w:rPr>
        <w:rFonts w:ascii="Times" w:hAnsi="Times" w:hint="default"/>
      </w:rPr>
    </w:lvl>
    <w:lvl w:ilvl="7" w:tplc="4DFE6FC4" w:tentative="1">
      <w:start w:val="1"/>
      <w:numFmt w:val="bullet"/>
      <w:lvlText w:val="•"/>
      <w:lvlJc w:val="left"/>
      <w:pPr>
        <w:tabs>
          <w:tab w:val="num" w:pos="5760"/>
        </w:tabs>
        <w:ind w:left="5760" w:hanging="360"/>
      </w:pPr>
      <w:rPr>
        <w:rFonts w:ascii="Times" w:hAnsi="Times" w:hint="default"/>
      </w:rPr>
    </w:lvl>
    <w:lvl w:ilvl="8" w:tplc="4814AB7C" w:tentative="1">
      <w:start w:val="1"/>
      <w:numFmt w:val="bullet"/>
      <w:lvlText w:val="•"/>
      <w:lvlJc w:val="left"/>
      <w:pPr>
        <w:tabs>
          <w:tab w:val="num" w:pos="6480"/>
        </w:tabs>
        <w:ind w:left="6480" w:hanging="360"/>
      </w:pPr>
      <w:rPr>
        <w:rFonts w:ascii="Times" w:hAnsi="Times" w:hint="default"/>
      </w:rPr>
    </w:lvl>
  </w:abstractNum>
  <w:abstractNum w:abstractNumId="21">
    <w:nsid w:val="26FB2055"/>
    <w:multiLevelType w:val="hybridMultilevel"/>
    <w:tmpl w:val="4BBE219E"/>
    <w:lvl w:ilvl="0" w:tplc="EBE4387C">
      <w:start w:val="1"/>
      <w:numFmt w:val="bullet"/>
      <w:lvlText w:val=""/>
      <w:lvlJc w:val="left"/>
      <w:pPr>
        <w:tabs>
          <w:tab w:val="num" w:pos="720"/>
        </w:tabs>
        <w:ind w:left="720" w:hanging="360"/>
      </w:pPr>
      <w:rPr>
        <w:rFonts w:ascii="Wingdings 2" w:hAnsi="Wingdings 2" w:hint="default"/>
      </w:rPr>
    </w:lvl>
    <w:lvl w:ilvl="1" w:tplc="383A5696" w:tentative="1">
      <w:start w:val="1"/>
      <w:numFmt w:val="bullet"/>
      <w:lvlText w:val=""/>
      <w:lvlJc w:val="left"/>
      <w:pPr>
        <w:tabs>
          <w:tab w:val="num" w:pos="1440"/>
        </w:tabs>
        <w:ind w:left="1440" w:hanging="360"/>
      </w:pPr>
      <w:rPr>
        <w:rFonts w:ascii="Wingdings 2" w:hAnsi="Wingdings 2" w:hint="default"/>
      </w:rPr>
    </w:lvl>
    <w:lvl w:ilvl="2" w:tplc="2FDC6470" w:tentative="1">
      <w:start w:val="1"/>
      <w:numFmt w:val="bullet"/>
      <w:lvlText w:val=""/>
      <w:lvlJc w:val="left"/>
      <w:pPr>
        <w:tabs>
          <w:tab w:val="num" w:pos="2160"/>
        </w:tabs>
        <w:ind w:left="2160" w:hanging="360"/>
      </w:pPr>
      <w:rPr>
        <w:rFonts w:ascii="Wingdings 2" w:hAnsi="Wingdings 2" w:hint="default"/>
      </w:rPr>
    </w:lvl>
    <w:lvl w:ilvl="3" w:tplc="A7449070" w:tentative="1">
      <w:start w:val="1"/>
      <w:numFmt w:val="bullet"/>
      <w:lvlText w:val=""/>
      <w:lvlJc w:val="left"/>
      <w:pPr>
        <w:tabs>
          <w:tab w:val="num" w:pos="2880"/>
        </w:tabs>
        <w:ind w:left="2880" w:hanging="360"/>
      </w:pPr>
      <w:rPr>
        <w:rFonts w:ascii="Wingdings 2" w:hAnsi="Wingdings 2" w:hint="default"/>
      </w:rPr>
    </w:lvl>
    <w:lvl w:ilvl="4" w:tplc="7B0A918E" w:tentative="1">
      <w:start w:val="1"/>
      <w:numFmt w:val="bullet"/>
      <w:lvlText w:val=""/>
      <w:lvlJc w:val="left"/>
      <w:pPr>
        <w:tabs>
          <w:tab w:val="num" w:pos="3600"/>
        </w:tabs>
        <w:ind w:left="3600" w:hanging="360"/>
      </w:pPr>
      <w:rPr>
        <w:rFonts w:ascii="Wingdings 2" w:hAnsi="Wingdings 2" w:hint="default"/>
      </w:rPr>
    </w:lvl>
    <w:lvl w:ilvl="5" w:tplc="8FBA3CD2" w:tentative="1">
      <w:start w:val="1"/>
      <w:numFmt w:val="bullet"/>
      <w:lvlText w:val=""/>
      <w:lvlJc w:val="left"/>
      <w:pPr>
        <w:tabs>
          <w:tab w:val="num" w:pos="4320"/>
        </w:tabs>
        <w:ind w:left="4320" w:hanging="360"/>
      </w:pPr>
      <w:rPr>
        <w:rFonts w:ascii="Wingdings 2" w:hAnsi="Wingdings 2" w:hint="default"/>
      </w:rPr>
    </w:lvl>
    <w:lvl w:ilvl="6" w:tplc="ABA8FDB2" w:tentative="1">
      <w:start w:val="1"/>
      <w:numFmt w:val="bullet"/>
      <w:lvlText w:val=""/>
      <w:lvlJc w:val="left"/>
      <w:pPr>
        <w:tabs>
          <w:tab w:val="num" w:pos="5040"/>
        </w:tabs>
        <w:ind w:left="5040" w:hanging="360"/>
      </w:pPr>
      <w:rPr>
        <w:rFonts w:ascii="Wingdings 2" w:hAnsi="Wingdings 2" w:hint="default"/>
      </w:rPr>
    </w:lvl>
    <w:lvl w:ilvl="7" w:tplc="61E03F7A" w:tentative="1">
      <w:start w:val="1"/>
      <w:numFmt w:val="bullet"/>
      <w:lvlText w:val=""/>
      <w:lvlJc w:val="left"/>
      <w:pPr>
        <w:tabs>
          <w:tab w:val="num" w:pos="5760"/>
        </w:tabs>
        <w:ind w:left="5760" w:hanging="360"/>
      </w:pPr>
      <w:rPr>
        <w:rFonts w:ascii="Wingdings 2" w:hAnsi="Wingdings 2" w:hint="default"/>
      </w:rPr>
    </w:lvl>
    <w:lvl w:ilvl="8" w:tplc="AF0AC752" w:tentative="1">
      <w:start w:val="1"/>
      <w:numFmt w:val="bullet"/>
      <w:lvlText w:val=""/>
      <w:lvlJc w:val="left"/>
      <w:pPr>
        <w:tabs>
          <w:tab w:val="num" w:pos="6480"/>
        </w:tabs>
        <w:ind w:left="6480" w:hanging="360"/>
      </w:pPr>
      <w:rPr>
        <w:rFonts w:ascii="Wingdings 2" w:hAnsi="Wingdings 2" w:hint="default"/>
      </w:rPr>
    </w:lvl>
  </w:abstractNum>
  <w:abstractNum w:abstractNumId="22">
    <w:nsid w:val="2D204E0D"/>
    <w:multiLevelType w:val="hybridMultilevel"/>
    <w:tmpl w:val="1A70B0E0"/>
    <w:lvl w:ilvl="0" w:tplc="EFECDA2A">
      <w:start w:val="1"/>
      <w:numFmt w:val="bullet"/>
      <w:lvlText w:val="•"/>
      <w:lvlJc w:val="left"/>
      <w:pPr>
        <w:tabs>
          <w:tab w:val="num" w:pos="720"/>
        </w:tabs>
        <w:ind w:left="720" w:hanging="360"/>
      </w:pPr>
      <w:rPr>
        <w:rFonts w:ascii="Times" w:hAnsi="Times" w:hint="default"/>
      </w:rPr>
    </w:lvl>
    <w:lvl w:ilvl="1" w:tplc="3F8AF2B6" w:tentative="1">
      <w:start w:val="1"/>
      <w:numFmt w:val="bullet"/>
      <w:lvlText w:val="•"/>
      <w:lvlJc w:val="left"/>
      <w:pPr>
        <w:tabs>
          <w:tab w:val="num" w:pos="1440"/>
        </w:tabs>
        <w:ind w:left="1440" w:hanging="360"/>
      </w:pPr>
      <w:rPr>
        <w:rFonts w:ascii="Times" w:hAnsi="Times" w:hint="default"/>
      </w:rPr>
    </w:lvl>
    <w:lvl w:ilvl="2" w:tplc="F438B1DC" w:tentative="1">
      <w:start w:val="1"/>
      <w:numFmt w:val="bullet"/>
      <w:lvlText w:val="•"/>
      <w:lvlJc w:val="left"/>
      <w:pPr>
        <w:tabs>
          <w:tab w:val="num" w:pos="2160"/>
        </w:tabs>
        <w:ind w:left="2160" w:hanging="360"/>
      </w:pPr>
      <w:rPr>
        <w:rFonts w:ascii="Times" w:hAnsi="Times" w:hint="default"/>
      </w:rPr>
    </w:lvl>
    <w:lvl w:ilvl="3" w:tplc="D7208914" w:tentative="1">
      <w:start w:val="1"/>
      <w:numFmt w:val="bullet"/>
      <w:lvlText w:val="•"/>
      <w:lvlJc w:val="left"/>
      <w:pPr>
        <w:tabs>
          <w:tab w:val="num" w:pos="2880"/>
        </w:tabs>
        <w:ind w:left="2880" w:hanging="360"/>
      </w:pPr>
      <w:rPr>
        <w:rFonts w:ascii="Times" w:hAnsi="Times" w:hint="default"/>
      </w:rPr>
    </w:lvl>
    <w:lvl w:ilvl="4" w:tplc="40B0EF28" w:tentative="1">
      <w:start w:val="1"/>
      <w:numFmt w:val="bullet"/>
      <w:lvlText w:val="•"/>
      <w:lvlJc w:val="left"/>
      <w:pPr>
        <w:tabs>
          <w:tab w:val="num" w:pos="3600"/>
        </w:tabs>
        <w:ind w:left="3600" w:hanging="360"/>
      </w:pPr>
      <w:rPr>
        <w:rFonts w:ascii="Times" w:hAnsi="Times" w:hint="default"/>
      </w:rPr>
    </w:lvl>
    <w:lvl w:ilvl="5" w:tplc="704454E0" w:tentative="1">
      <w:start w:val="1"/>
      <w:numFmt w:val="bullet"/>
      <w:lvlText w:val="•"/>
      <w:lvlJc w:val="left"/>
      <w:pPr>
        <w:tabs>
          <w:tab w:val="num" w:pos="4320"/>
        </w:tabs>
        <w:ind w:left="4320" w:hanging="360"/>
      </w:pPr>
      <w:rPr>
        <w:rFonts w:ascii="Times" w:hAnsi="Times" w:hint="default"/>
      </w:rPr>
    </w:lvl>
    <w:lvl w:ilvl="6" w:tplc="8210041A" w:tentative="1">
      <w:start w:val="1"/>
      <w:numFmt w:val="bullet"/>
      <w:lvlText w:val="•"/>
      <w:lvlJc w:val="left"/>
      <w:pPr>
        <w:tabs>
          <w:tab w:val="num" w:pos="5040"/>
        </w:tabs>
        <w:ind w:left="5040" w:hanging="360"/>
      </w:pPr>
      <w:rPr>
        <w:rFonts w:ascii="Times" w:hAnsi="Times" w:hint="default"/>
      </w:rPr>
    </w:lvl>
    <w:lvl w:ilvl="7" w:tplc="D6168856" w:tentative="1">
      <w:start w:val="1"/>
      <w:numFmt w:val="bullet"/>
      <w:lvlText w:val="•"/>
      <w:lvlJc w:val="left"/>
      <w:pPr>
        <w:tabs>
          <w:tab w:val="num" w:pos="5760"/>
        </w:tabs>
        <w:ind w:left="5760" w:hanging="360"/>
      </w:pPr>
      <w:rPr>
        <w:rFonts w:ascii="Times" w:hAnsi="Times" w:hint="default"/>
      </w:rPr>
    </w:lvl>
    <w:lvl w:ilvl="8" w:tplc="AF7235BC" w:tentative="1">
      <w:start w:val="1"/>
      <w:numFmt w:val="bullet"/>
      <w:lvlText w:val="•"/>
      <w:lvlJc w:val="left"/>
      <w:pPr>
        <w:tabs>
          <w:tab w:val="num" w:pos="6480"/>
        </w:tabs>
        <w:ind w:left="6480" w:hanging="360"/>
      </w:pPr>
      <w:rPr>
        <w:rFonts w:ascii="Times" w:hAnsi="Times" w:hint="default"/>
      </w:rPr>
    </w:lvl>
  </w:abstractNum>
  <w:abstractNum w:abstractNumId="23">
    <w:nsid w:val="2ECE4B70"/>
    <w:multiLevelType w:val="hybridMultilevel"/>
    <w:tmpl w:val="BD04D0AC"/>
    <w:lvl w:ilvl="0" w:tplc="EB9ED054">
      <w:start w:val="1"/>
      <w:numFmt w:val="bullet"/>
      <w:lvlText w:val="•"/>
      <w:lvlJc w:val="left"/>
      <w:pPr>
        <w:tabs>
          <w:tab w:val="num" w:pos="720"/>
        </w:tabs>
        <w:ind w:left="720" w:hanging="360"/>
      </w:pPr>
      <w:rPr>
        <w:rFonts w:ascii="Arial" w:hAnsi="Arial" w:hint="default"/>
      </w:rPr>
    </w:lvl>
    <w:lvl w:ilvl="1" w:tplc="C930BF2A" w:tentative="1">
      <w:start w:val="1"/>
      <w:numFmt w:val="bullet"/>
      <w:lvlText w:val="•"/>
      <w:lvlJc w:val="left"/>
      <w:pPr>
        <w:tabs>
          <w:tab w:val="num" w:pos="1440"/>
        </w:tabs>
        <w:ind w:left="1440" w:hanging="360"/>
      </w:pPr>
      <w:rPr>
        <w:rFonts w:ascii="Arial" w:hAnsi="Arial" w:hint="default"/>
      </w:rPr>
    </w:lvl>
    <w:lvl w:ilvl="2" w:tplc="38882694" w:tentative="1">
      <w:start w:val="1"/>
      <w:numFmt w:val="bullet"/>
      <w:lvlText w:val="•"/>
      <w:lvlJc w:val="left"/>
      <w:pPr>
        <w:tabs>
          <w:tab w:val="num" w:pos="2160"/>
        </w:tabs>
        <w:ind w:left="2160" w:hanging="360"/>
      </w:pPr>
      <w:rPr>
        <w:rFonts w:ascii="Arial" w:hAnsi="Arial" w:hint="default"/>
      </w:rPr>
    </w:lvl>
    <w:lvl w:ilvl="3" w:tplc="6B700FCA" w:tentative="1">
      <w:start w:val="1"/>
      <w:numFmt w:val="bullet"/>
      <w:lvlText w:val="•"/>
      <w:lvlJc w:val="left"/>
      <w:pPr>
        <w:tabs>
          <w:tab w:val="num" w:pos="2880"/>
        </w:tabs>
        <w:ind w:left="2880" w:hanging="360"/>
      </w:pPr>
      <w:rPr>
        <w:rFonts w:ascii="Arial" w:hAnsi="Arial" w:hint="default"/>
      </w:rPr>
    </w:lvl>
    <w:lvl w:ilvl="4" w:tplc="1EB45190" w:tentative="1">
      <w:start w:val="1"/>
      <w:numFmt w:val="bullet"/>
      <w:lvlText w:val="•"/>
      <w:lvlJc w:val="left"/>
      <w:pPr>
        <w:tabs>
          <w:tab w:val="num" w:pos="3600"/>
        </w:tabs>
        <w:ind w:left="3600" w:hanging="360"/>
      </w:pPr>
      <w:rPr>
        <w:rFonts w:ascii="Arial" w:hAnsi="Arial" w:hint="default"/>
      </w:rPr>
    </w:lvl>
    <w:lvl w:ilvl="5" w:tplc="910CEC54" w:tentative="1">
      <w:start w:val="1"/>
      <w:numFmt w:val="bullet"/>
      <w:lvlText w:val="•"/>
      <w:lvlJc w:val="left"/>
      <w:pPr>
        <w:tabs>
          <w:tab w:val="num" w:pos="4320"/>
        </w:tabs>
        <w:ind w:left="4320" w:hanging="360"/>
      </w:pPr>
      <w:rPr>
        <w:rFonts w:ascii="Arial" w:hAnsi="Arial" w:hint="default"/>
      </w:rPr>
    </w:lvl>
    <w:lvl w:ilvl="6" w:tplc="F3F6AE5C" w:tentative="1">
      <w:start w:val="1"/>
      <w:numFmt w:val="bullet"/>
      <w:lvlText w:val="•"/>
      <w:lvlJc w:val="left"/>
      <w:pPr>
        <w:tabs>
          <w:tab w:val="num" w:pos="5040"/>
        </w:tabs>
        <w:ind w:left="5040" w:hanging="360"/>
      </w:pPr>
      <w:rPr>
        <w:rFonts w:ascii="Arial" w:hAnsi="Arial" w:hint="default"/>
      </w:rPr>
    </w:lvl>
    <w:lvl w:ilvl="7" w:tplc="72EA1092" w:tentative="1">
      <w:start w:val="1"/>
      <w:numFmt w:val="bullet"/>
      <w:lvlText w:val="•"/>
      <w:lvlJc w:val="left"/>
      <w:pPr>
        <w:tabs>
          <w:tab w:val="num" w:pos="5760"/>
        </w:tabs>
        <w:ind w:left="5760" w:hanging="360"/>
      </w:pPr>
      <w:rPr>
        <w:rFonts w:ascii="Arial" w:hAnsi="Arial" w:hint="default"/>
      </w:rPr>
    </w:lvl>
    <w:lvl w:ilvl="8" w:tplc="27E62C9A" w:tentative="1">
      <w:start w:val="1"/>
      <w:numFmt w:val="bullet"/>
      <w:lvlText w:val="•"/>
      <w:lvlJc w:val="left"/>
      <w:pPr>
        <w:tabs>
          <w:tab w:val="num" w:pos="6480"/>
        </w:tabs>
        <w:ind w:left="6480" w:hanging="360"/>
      </w:pPr>
      <w:rPr>
        <w:rFonts w:ascii="Arial" w:hAnsi="Arial" w:hint="default"/>
      </w:rPr>
    </w:lvl>
  </w:abstractNum>
  <w:abstractNum w:abstractNumId="24">
    <w:nsid w:val="2EEA0EAE"/>
    <w:multiLevelType w:val="hybridMultilevel"/>
    <w:tmpl w:val="98FEF708"/>
    <w:lvl w:ilvl="0" w:tplc="70C23152">
      <w:start w:val="1"/>
      <w:numFmt w:val="bullet"/>
      <w:lvlText w:val="•"/>
      <w:lvlJc w:val="left"/>
      <w:pPr>
        <w:tabs>
          <w:tab w:val="num" w:pos="720"/>
        </w:tabs>
        <w:ind w:left="720" w:hanging="360"/>
      </w:pPr>
      <w:rPr>
        <w:rFonts w:ascii="Times" w:hAnsi="Times" w:hint="default"/>
      </w:rPr>
    </w:lvl>
    <w:lvl w:ilvl="1" w:tplc="6C3EF66E" w:tentative="1">
      <w:start w:val="1"/>
      <w:numFmt w:val="bullet"/>
      <w:lvlText w:val="•"/>
      <w:lvlJc w:val="left"/>
      <w:pPr>
        <w:tabs>
          <w:tab w:val="num" w:pos="1440"/>
        </w:tabs>
        <w:ind w:left="1440" w:hanging="360"/>
      </w:pPr>
      <w:rPr>
        <w:rFonts w:ascii="Times" w:hAnsi="Times" w:hint="default"/>
      </w:rPr>
    </w:lvl>
    <w:lvl w:ilvl="2" w:tplc="715A225E" w:tentative="1">
      <w:start w:val="1"/>
      <w:numFmt w:val="bullet"/>
      <w:lvlText w:val="•"/>
      <w:lvlJc w:val="left"/>
      <w:pPr>
        <w:tabs>
          <w:tab w:val="num" w:pos="2160"/>
        </w:tabs>
        <w:ind w:left="2160" w:hanging="360"/>
      </w:pPr>
      <w:rPr>
        <w:rFonts w:ascii="Times" w:hAnsi="Times" w:hint="default"/>
      </w:rPr>
    </w:lvl>
    <w:lvl w:ilvl="3" w:tplc="DC0C630C" w:tentative="1">
      <w:start w:val="1"/>
      <w:numFmt w:val="bullet"/>
      <w:lvlText w:val="•"/>
      <w:lvlJc w:val="left"/>
      <w:pPr>
        <w:tabs>
          <w:tab w:val="num" w:pos="2880"/>
        </w:tabs>
        <w:ind w:left="2880" w:hanging="360"/>
      </w:pPr>
      <w:rPr>
        <w:rFonts w:ascii="Times" w:hAnsi="Times" w:hint="default"/>
      </w:rPr>
    </w:lvl>
    <w:lvl w:ilvl="4" w:tplc="1906613A" w:tentative="1">
      <w:start w:val="1"/>
      <w:numFmt w:val="bullet"/>
      <w:lvlText w:val="•"/>
      <w:lvlJc w:val="left"/>
      <w:pPr>
        <w:tabs>
          <w:tab w:val="num" w:pos="3600"/>
        </w:tabs>
        <w:ind w:left="3600" w:hanging="360"/>
      </w:pPr>
      <w:rPr>
        <w:rFonts w:ascii="Times" w:hAnsi="Times" w:hint="default"/>
      </w:rPr>
    </w:lvl>
    <w:lvl w:ilvl="5" w:tplc="5EB82786" w:tentative="1">
      <w:start w:val="1"/>
      <w:numFmt w:val="bullet"/>
      <w:lvlText w:val="•"/>
      <w:lvlJc w:val="left"/>
      <w:pPr>
        <w:tabs>
          <w:tab w:val="num" w:pos="4320"/>
        </w:tabs>
        <w:ind w:left="4320" w:hanging="360"/>
      </w:pPr>
      <w:rPr>
        <w:rFonts w:ascii="Times" w:hAnsi="Times" w:hint="default"/>
      </w:rPr>
    </w:lvl>
    <w:lvl w:ilvl="6" w:tplc="ADDEB8DC" w:tentative="1">
      <w:start w:val="1"/>
      <w:numFmt w:val="bullet"/>
      <w:lvlText w:val="•"/>
      <w:lvlJc w:val="left"/>
      <w:pPr>
        <w:tabs>
          <w:tab w:val="num" w:pos="5040"/>
        </w:tabs>
        <w:ind w:left="5040" w:hanging="360"/>
      </w:pPr>
      <w:rPr>
        <w:rFonts w:ascii="Times" w:hAnsi="Times" w:hint="default"/>
      </w:rPr>
    </w:lvl>
    <w:lvl w:ilvl="7" w:tplc="5F9EBE06" w:tentative="1">
      <w:start w:val="1"/>
      <w:numFmt w:val="bullet"/>
      <w:lvlText w:val="•"/>
      <w:lvlJc w:val="left"/>
      <w:pPr>
        <w:tabs>
          <w:tab w:val="num" w:pos="5760"/>
        </w:tabs>
        <w:ind w:left="5760" w:hanging="360"/>
      </w:pPr>
      <w:rPr>
        <w:rFonts w:ascii="Times" w:hAnsi="Times" w:hint="default"/>
      </w:rPr>
    </w:lvl>
    <w:lvl w:ilvl="8" w:tplc="8FF40240" w:tentative="1">
      <w:start w:val="1"/>
      <w:numFmt w:val="bullet"/>
      <w:lvlText w:val="•"/>
      <w:lvlJc w:val="left"/>
      <w:pPr>
        <w:tabs>
          <w:tab w:val="num" w:pos="6480"/>
        </w:tabs>
        <w:ind w:left="6480" w:hanging="360"/>
      </w:pPr>
      <w:rPr>
        <w:rFonts w:ascii="Times" w:hAnsi="Times" w:hint="default"/>
      </w:rPr>
    </w:lvl>
  </w:abstractNum>
  <w:abstractNum w:abstractNumId="25">
    <w:nsid w:val="34D92135"/>
    <w:multiLevelType w:val="hybridMultilevel"/>
    <w:tmpl w:val="59B29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2E47FA"/>
    <w:multiLevelType w:val="hybridMultilevel"/>
    <w:tmpl w:val="87C03F48"/>
    <w:lvl w:ilvl="0" w:tplc="17126860">
      <w:start w:val="4"/>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6DF353A"/>
    <w:multiLevelType w:val="hybridMultilevel"/>
    <w:tmpl w:val="540269C8"/>
    <w:lvl w:ilvl="0" w:tplc="A0A8DD5E">
      <w:start w:val="1"/>
      <w:numFmt w:val="bullet"/>
      <w:lvlText w:val="•"/>
      <w:lvlJc w:val="left"/>
      <w:pPr>
        <w:tabs>
          <w:tab w:val="num" w:pos="720"/>
        </w:tabs>
        <w:ind w:left="720" w:hanging="360"/>
      </w:pPr>
      <w:rPr>
        <w:rFonts w:ascii="Times" w:hAnsi="Times" w:hint="default"/>
      </w:rPr>
    </w:lvl>
    <w:lvl w:ilvl="1" w:tplc="E0E41A54" w:tentative="1">
      <w:start w:val="1"/>
      <w:numFmt w:val="bullet"/>
      <w:lvlText w:val="•"/>
      <w:lvlJc w:val="left"/>
      <w:pPr>
        <w:tabs>
          <w:tab w:val="num" w:pos="1440"/>
        </w:tabs>
        <w:ind w:left="1440" w:hanging="360"/>
      </w:pPr>
      <w:rPr>
        <w:rFonts w:ascii="Times" w:hAnsi="Times" w:hint="default"/>
      </w:rPr>
    </w:lvl>
    <w:lvl w:ilvl="2" w:tplc="6FC430A8" w:tentative="1">
      <w:start w:val="1"/>
      <w:numFmt w:val="bullet"/>
      <w:lvlText w:val="•"/>
      <w:lvlJc w:val="left"/>
      <w:pPr>
        <w:tabs>
          <w:tab w:val="num" w:pos="2160"/>
        </w:tabs>
        <w:ind w:left="2160" w:hanging="360"/>
      </w:pPr>
      <w:rPr>
        <w:rFonts w:ascii="Times" w:hAnsi="Times" w:hint="default"/>
      </w:rPr>
    </w:lvl>
    <w:lvl w:ilvl="3" w:tplc="E6341E28" w:tentative="1">
      <w:start w:val="1"/>
      <w:numFmt w:val="bullet"/>
      <w:lvlText w:val="•"/>
      <w:lvlJc w:val="left"/>
      <w:pPr>
        <w:tabs>
          <w:tab w:val="num" w:pos="2880"/>
        </w:tabs>
        <w:ind w:left="2880" w:hanging="360"/>
      </w:pPr>
      <w:rPr>
        <w:rFonts w:ascii="Times" w:hAnsi="Times" w:hint="default"/>
      </w:rPr>
    </w:lvl>
    <w:lvl w:ilvl="4" w:tplc="400C7E72" w:tentative="1">
      <w:start w:val="1"/>
      <w:numFmt w:val="bullet"/>
      <w:lvlText w:val="•"/>
      <w:lvlJc w:val="left"/>
      <w:pPr>
        <w:tabs>
          <w:tab w:val="num" w:pos="3600"/>
        </w:tabs>
        <w:ind w:left="3600" w:hanging="360"/>
      </w:pPr>
      <w:rPr>
        <w:rFonts w:ascii="Times" w:hAnsi="Times" w:hint="default"/>
      </w:rPr>
    </w:lvl>
    <w:lvl w:ilvl="5" w:tplc="826C12DC" w:tentative="1">
      <w:start w:val="1"/>
      <w:numFmt w:val="bullet"/>
      <w:lvlText w:val="•"/>
      <w:lvlJc w:val="left"/>
      <w:pPr>
        <w:tabs>
          <w:tab w:val="num" w:pos="4320"/>
        </w:tabs>
        <w:ind w:left="4320" w:hanging="360"/>
      </w:pPr>
      <w:rPr>
        <w:rFonts w:ascii="Times" w:hAnsi="Times" w:hint="default"/>
      </w:rPr>
    </w:lvl>
    <w:lvl w:ilvl="6" w:tplc="EC2AB220" w:tentative="1">
      <w:start w:val="1"/>
      <w:numFmt w:val="bullet"/>
      <w:lvlText w:val="•"/>
      <w:lvlJc w:val="left"/>
      <w:pPr>
        <w:tabs>
          <w:tab w:val="num" w:pos="5040"/>
        </w:tabs>
        <w:ind w:left="5040" w:hanging="360"/>
      </w:pPr>
      <w:rPr>
        <w:rFonts w:ascii="Times" w:hAnsi="Times" w:hint="default"/>
      </w:rPr>
    </w:lvl>
    <w:lvl w:ilvl="7" w:tplc="074687A4" w:tentative="1">
      <w:start w:val="1"/>
      <w:numFmt w:val="bullet"/>
      <w:lvlText w:val="•"/>
      <w:lvlJc w:val="left"/>
      <w:pPr>
        <w:tabs>
          <w:tab w:val="num" w:pos="5760"/>
        </w:tabs>
        <w:ind w:left="5760" w:hanging="360"/>
      </w:pPr>
      <w:rPr>
        <w:rFonts w:ascii="Times" w:hAnsi="Times" w:hint="default"/>
      </w:rPr>
    </w:lvl>
    <w:lvl w:ilvl="8" w:tplc="0E9CB22E" w:tentative="1">
      <w:start w:val="1"/>
      <w:numFmt w:val="bullet"/>
      <w:lvlText w:val="•"/>
      <w:lvlJc w:val="left"/>
      <w:pPr>
        <w:tabs>
          <w:tab w:val="num" w:pos="6480"/>
        </w:tabs>
        <w:ind w:left="6480" w:hanging="360"/>
      </w:pPr>
      <w:rPr>
        <w:rFonts w:ascii="Times" w:hAnsi="Times" w:hint="default"/>
      </w:rPr>
    </w:lvl>
  </w:abstractNum>
  <w:abstractNum w:abstractNumId="28">
    <w:nsid w:val="373F384C"/>
    <w:multiLevelType w:val="hybridMultilevel"/>
    <w:tmpl w:val="261E9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9095080"/>
    <w:multiLevelType w:val="hybridMultilevel"/>
    <w:tmpl w:val="188AC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76E11A5"/>
    <w:multiLevelType w:val="hybridMultilevel"/>
    <w:tmpl w:val="35126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B472AED"/>
    <w:multiLevelType w:val="hybridMultilevel"/>
    <w:tmpl w:val="F086FFF2"/>
    <w:lvl w:ilvl="0" w:tplc="AEFEE50A">
      <w:start w:val="1"/>
      <w:numFmt w:val="bullet"/>
      <w:lvlText w:val="•"/>
      <w:lvlJc w:val="left"/>
      <w:pPr>
        <w:tabs>
          <w:tab w:val="num" w:pos="720"/>
        </w:tabs>
        <w:ind w:left="720" w:hanging="360"/>
      </w:pPr>
      <w:rPr>
        <w:rFonts w:ascii="Arial" w:hAnsi="Arial" w:hint="default"/>
      </w:rPr>
    </w:lvl>
    <w:lvl w:ilvl="1" w:tplc="5C940D70" w:tentative="1">
      <w:start w:val="1"/>
      <w:numFmt w:val="bullet"/>
      <w:lvlText w:val="•"/>
      <w:lvlJc w:val="left"/>
      <w:pPr>
        <w:tabs>
          <w:tab w:val="num" w:pos="1440"/>
        </w:tabs>
        <w:ind w:left="1440" w:hanging="360"/>
      </w:pPr>
      <w:rPr>
        <w:rFonts w:ascii="Arial" w:hAnsi="Arial" w:hint="default"/>
      </w:rPr>
    </w:lvl>
    <w:lvl w:ilvl="2" w:tplc="FFE4975A" w:tentative="1">
      <w:start w:val="1"/>
      <w:numFmt w:val="bullet"/>
      <w:lvlText w:val="•"/>
      <w:lvlJc w:val="left"/>
      <w:pPr>
        <w:tabs>
          <w:tab w:val="num" w:pos="2160"/>
        </w:tabs>
        <w:ind w:left="2160" w:hanging="360"/>
      </w:pPr>
      <w:rPr>
        <w:rFonts w:ascii="Arial" w:hAnsi="Arial" w:hint="default"/>
      </w:rPr>
    </w:lvl>
    <w:lvl w:ilvl="3" w:tplc="EAAC5DE2" w:tentative="1">
      <w:start w:val="1"/>
      <w:numFmt w:val="bullet"/>
      <w:lvlText w:val="•"/>
      <w:lvlJc w:val="left"/>
      <w:pPr>
        <w:tabs>
          <w:tab w:val="num" w:pos="2880"/>
        </w:tabs>
        <w:ind w:left="2880" w:hanging="360"/>
      </w:pPr>
      <w:rPr>
        <w:rFonts w:ascii="Arial" w:hAnsi="Arial" w:hint="default"/>
      </w:rPr>
    </w:lvl>
    <w:lvl w:ilvl="4" w:tplc="0A385242" w:tentative="1">
      <w:start w:val="1"/>
      <w:numFmt w:val="bullet"/>
      <w:lvlText w:val="•"/>
      <w:lvlJc w:val="left"/>
      <w:pPr>
        <w:tabs>
          <w:tab w:val="num" w:pos="3600"/>
        </w:tabs>
        <w:ind w:left="3600" w:hanging="360"/>
      </w:pPr>
      <w:rPr>
        <w:rFonts w:ascii="Arial" w:hAnsi="Arial" w:hint="default"/>
      </w:rPr>
    </w:lvl>
    <w:lvl w:ilvl="5" w:tplc="059CB4D6" w:tentative="1">
      <w:start w:val="1"/>
      <w:numFmt w:val="bullet"/>
      <w:lvlText w:val="•"/>
      <w:lvlJc w:val="left"/>
      <w:pPr>
        <w:tabs>
          <w:tab w:val="num" w:pos="4320"/>
        </w:tabs>
        <w:ind w:left="4320" w:hanging="360"/>
      </w:pPr>
      <w:rPr>
        <w:rFonts w:ascii="Arial" w:hAnsi="Arial" w:hint="default"/>
      </w:rPr>
    </w:lvl>
    <w:lvl w:ilvl="6" w:tplc="04A205E0" w:tentative="1">
      <w:start w:val="1"/>
      <w:numFmt w:val="bullet"/>
      <w:lvlText w:val="•"/>
      <w:lvlJc w:val="left"/>
      <w:pPr>
        <w:tabs>
          <w:tab w:val="num" w:pos="5040"/>
        </w:tabs>
        <w:ind w:left="5040" w:hanging="360"/>
      </w:pPr>
      <w:rPr>
        <w:rFonts w:ascii="Arial" w:hAnsi="Arial" w:hint="default"/>
      </w:rPr>
    </w:lvl>
    <w:lvl w:ilvl="7" w:tplc="AF20EC04" w:tentative="1">
      <w:start w:val="1"/>
      <w:numFmt w:val="bullet"/>
      <w:lvlText w:val="•"/>
      <w:lvlJc w:val="left"/>
      <w:pPr>
        <w:tabs>
          <w:tab w:val="num" w:pos="5760"/>
        </w:tabs>
        <w:ind w:left="5760" w:hanging="360"/>
      </w:pPr>
      <w:rPr>
        <w:rFonts w:ascii="Arial" w:hAnsi="Arial" w:hint="default"/>
      </w:rPr>
    </w:lvl>
    <w:lvl w:ilvl="8" w:tplc="D4B6C2B4" w:tentative="1">
      <w:start w:val="1"/>
      <w:numFmt w:val="bullet"/>
      <w:lvlText w:val="•"/>
      <w:lvlJc w:val="left"/>
      <w:pPr>
        <w:tabs>
          <w:tab w:val="num" w:pos="6480"/>
        </w:tabs>
        <w:ind w:left="6480" w:hanging="360"/>
      </w:pPr>
      <w:rPr>
        <w:rFonts w:ascii="Arial" w:hAnsi="Arial" w:hint="default"/>
      </w:rPr>
    </w:lvl>
  </w:abstractNum>
  <w:abstractNum w:abstractNumId="32">
    <w:nsid w:val="519F7A15"/>
    <w:multiLevelType w:val="hybridMultilevel"/>
    <w:tmpl w:val="D0C24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727018"/>
    <w:multiLevelType w:val="hybridMultilevel"/>
    <w:tmpl w:val="4920A134"/>
    <w:lvl w:ilvl="0" w:tplc="EC22861E">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203B82"/>
    <w:multiLevelType w:val="hybridMultilevel"/>
    <w:tmpl w:val="38B4DDC0"/>
    <w:lvl w:ilvl="0" w:tplc="98B4B524">
      <w:start w:val="1"/>
      <w:numFmt w:val="bullet"/>
      <w:lvlText w:val="•"/>
      <w:lvlJc w:val="left"/>
      <w:pPr>
        <w:tabs>
          <w:tab w:val="num" w:pos="720"/>
        </w:tabs>
        <w:ind w:left="720" w:hanging="360"/>
      </w:pPr>
      <w:rPr>
        <w:rFonts w:ascii="Times" w:hAnsi="Times" w:hint="default"/>
      </w:rPr>
    </w:lvl>
    <w:lvl w:ilvl="1" w:tplc="C658A52A">
      <w:numFmt w:val="bullet"/>
      <w:lvlText w:val="–"/>
      <w:lvlJc w:val="left"/>
      <w:pPr>
        <w:tabs>
          <w:tab w:val="num" w:pos="1440"/>
        </w:tabs>
        <w:ind w:left="1440" w:hanging="360"/>
      </w:pPr>
      <w:rPr>
        <w:rFonts w:ascii="Times" w:hAnsi="Times" w:hint="default"/>
      </w:rPr>
    </w:lvl>
    <w:lvl w:ilvl="2" w:tplc="DAEE935E" w:tentative="1">
      <w:start w:val="1"/>
      <w:numFmt w:val="bullet"/>
      <w:lvlText w:val="•"/>
      <w:lvlJc w:val="left"/>
      <w:pPr>
        <w:tabs>
          <w:tab w:val="num" w:pos="2160"/>
        </w:tabs>
        <w:ind w:left="2160" w:hanging="360"/>
      </w:pPr>
      <w:rPr>
        <w:rFonts w:ascii="Times" w:hAnsi="Times" w:hint="default"/>
      </w:rPr>
    </w:lvl>
    <w:lvl w:ilvl="3" w:tplc="0AF0DB3C" w:tentative="1">
      <w:start w:val="1"/>
      <w:numFmt w:val="bullet"/>
      <w:lvlText w:val="•"/>
      <w:lvlJc w:val="left"/>
      <w:pPr>
        <w:tabs>
          <w:tab w:val="num" w:pos="2880"/>
        </w:tabs>
        <w:ind w:left="2880" w:hanging="360"/>
      </w:pPr>
      <w:rPr>
        <w:rFonts w:ascii="Times" w:hAnsi="Times" w:hint="default"/>
      </w:rPr>
    </w:lvl>
    <w:lvl w:ilvl="4" w:tplc="2488D174" w:tentative="1">
      <w:start w:val="1"/>
      <w:numFmt w:val="bullet"/>
      <w:lvlText w:val="•"/>
      <w:lvlJc w:val="left"/>
      <w:pPr>
        <w:tabs>
          <w:tab w:val="num" w:pos="3600"/>
        </w:tabs>
        <w:ind w:left="3600" w:hanging="360"/>
      </w:pPr>
      <w:rPr>
        <w:rFonts w:ascii="Times" w:hAnsi="Times" w:hint="default"/>
      </w:rPr>
    </w:lvl>
    <w:lvl w:ilvl="5" w:tplc="E4D41FEC" w:tentative="1">
      <w:start w:val="1"/>
      <w:numFmt w:val="bullet"/>
      <w:lvlText w:val="•"/>
      <w:lvlJc w:val="left"/>
      <w:pPr>
        <w:tabs>
          <w:tab w:val="num" w:pos="4320"/>
        </w:tabs>
        <w:ind w:left="4320" w:hanging="360"/>
      </w:pPr>
      <w:rPr>
        <w:rFonts w:ascii="Times" w:hAnsi="Times" w:hint="default"/>
      </w:rPr>
    </w:lvl>
    <w:lvl w:ilvl="6" w:tplc="063434FA" w:tentative="1">
      <w:start w:val="1"/>
      <w:numFmt w:val="bullet"/>
      <w:lvlText w:val="•"/>
      <w:lvlJc w:val="left"/>
      <w:pPr>
        <w:tabs>
          <w:tab w:val="num" w:pos="5040"/>
        </w:tabs>
        <w:ind w:left="5040" w:hanging="360"/>
      </w:pPr>
      <w:rPr>
        <w:rFonts w:ascii="Times" w:hAnsi="Times" w:hint="default"/>
      </w:rPr>
    </w:lvl>
    <w:lvl w:ilvl="7" w:tplc="CBE21080" w:tentative="1">
      <w:start w:val="1"/>
      <w:numFmt w:val="bullet"/>
      <w:lvlText w:val="•"/>
      <w:lvlJc w:val="left"/>
      <w:pPr>
        <w:tabs>
          <w:tab w:val="num" w:pos="5760"/>
        </w:tabs>
        <w:ind w:left="5760" w:hanging="360"/>
      </w:pPr>
      <w:rPr>
        <w:rFonts w:ascii="Times" w:hAnsi="Times" w:hint="default"/>
      </w:rPr>
    </w:lvl>
    <w:lvl w:ilvl="8" w:tplc="80548628" w:tentative="1">
      <w:start w:val="1"/>
      <w:numFmt w:val="bullet"/>
      <w:lvlText w:val="•"/>
      <w:lvlJc w:val="left"/>
      <w:pPr>
        <w:tabs>
          <w:tab w:val="num" w:pos="6480"/>
        </w:tabs>
        <w:ind w:left="6480" w:hanging="360"/>
      </w:pPr>
      <w:rPr>
        <w:rFonts w:ascii="Times" w:hAnsi="Times" w:hint="default"/>
      </w:rPr>
    </w:lvl>
  </w:abstractNum>
  <w:abstractNum w:abstractNumId="35">
    <w:nsid w:val="5D222099"/>
    <w:multiLevelType w:val="hybridMultilevel"/>
    <w:tmpl w:val="A3326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1C2634"/>
    <w:multiLevelType w:val="hybridMultilevel"/>
    <w:tmpl w:val="996E7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7E22BB"/>
    <w:multiLevelType w:val="hybridMultilevel"/>
    <w:tmpl w:val="1C80B71A"/>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38">
    <w:nsid w:val="7C3D0249"/>
    <w:multiLevelType w:val="hybridMultilevel"/>
    <w:tmpl w:val="8D626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17"/>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25"/>
  </w:num>
  <w:num w:numId="15">
    <w:abstractNumId w:val="19"/>
  </w:num>
  <w:num w:numId="16">
    <w:abstractNumId w:val="34"/>
  </w:num>
  <w:num w:numId="17">
    <w:abstractNumId w:val="24"/>
  </w:num>
  <w:num w:numId="18">
    <w:abstractNumId w:val="16"/>
  </w:num>
  <w:num w:numId="19">
    <w:abstractNumId w:val="21"/>
  </w:num>
  <w:num w:numId="20">
    <w:abstractNumId w:val="14"/>
  </w:num>
  <w:num w:numId="21">
    <w:abstractNumId w:val="20"/>
  </w:num>
  <w:num w:numId="22">
    <w:abstractNumId w:val="27"/>
  </w:num>
  <w:num w:numId="23">
    <w:abstractNumId w:val="23"/>
  </w:num>
  <w:num w:numId="24">
    <w:abstractNumId w:val="31"/>
  </w:num>
  <w:num w:numId="25">
    <w:abstractNumId w:val="22"/>
  </w:num>
  <w:num w:numId="26">
    <w:abstractNumId w:val="30"/>
  </w:num>
  <w:num w:numId="27">
    <w:abstractNumId w:val="35"/>
  </w:num>
  <w:num w:numId="28">
    <w:abstractNumId w:val="11"/>
  </w:num>
  <w:num w:numId="29">
    <w:abstractNumId w:val="28"/>
  </w:num>
  <w:num w:numId="30">
    <w:abstractNumId w:val="36"/>
  </w:num>
  <w:num w:numId="31">
    <w:abstractNumId w:val="32"/>
  </w:num>
  <w:num w:numId="32">
    <w:abstractNumId w:val="18"/>
  </w:num>
  <w:num w:numId="33">
    <w:abstractNumId w:val="29"/>
  </w:num>
  <w:num w:numId="34">
    <w:abstractNumId w:val="38"/>
  </w:num>
  <w:num w:numId="35">
    <w:abstractNumId w:val="37"/>
  </w:num>
  <w:num w:numId="36">
    <w:abstractNumId w:val="15"/>
  </w:num>
  <w:num w:numId="37">
    <w:abstractNumId w:val="26"/>
  </w:num>
  <w:num w:numId="38">
    <w:abstractNumId w:val="13"/>
  </w:num>
  <w:num w:numId="39">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hideSpellingErrors/>
  <w:hideGrammaticalErrors/>
  <w:activeWritingStyle w:appName="MSWord" w:lang="en-US" w:vendorID="64" w:dllVersion="131078" w:nlCheck="1" w:checkStyle="0"/>
  <w:activeWritingStyle w:appName="MSWord" w:lang="en-US" w:vendorID="64" w:dllVersion="4096" w:nlCheck="1" w:checkStyle="0"/>
  <w:activeWritingStyle w:appName="MSWord" w:lang="en-GB" w:vendorID="64" w:dllVersion="4096"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CC7"/>
    <w:rsid w:val="00002A39"/>
    <w:rsid w:val="000036CE"/>
    <w:rsid w:val="00013889"/>
    <w:rsid w:val="00017775"/>
    <w:rsid w:val="00030496"/>
    <w:rsid w:val="000357B3"/>
    <w:rsid w:val="000419C6"/>
    <w:rsid w:val="00053101"/>
    <w:rsid w:val="000536A2"/>
    <w:rsid w:val="00087128"/>
    <w:rsid w:val="00092B2D"/>
    <w:rsid w:val="0009513B"/>
    <w:rsid w:val="00095A8B"/>
    <w:rsid w:val="000A1660"/>
    <w:rsid w:val="000B3D0A"/>
    <w:rsid w:val="000B47BF"/>
    <w:rsid w:val="000B5F85"/>
    <w:rsid w:val="000C0CC8"/>
    <w:rsid w:val="000C72E5"/>
    <w:rsid w:val="00100DAC"/>
    <w:rsid w:val="00173517"/>
    <w:rsid w:val="001745B8"/>
    <w:rsid w:val="001748EF"/>
    <w:rsid w:val="00194343"/>
    <w:rsid w:val="001C600B"/>
    <w:rsid w:val="001D245A"/>
    <w:rsid w:val="001D37F7"/>
    <w:rsid w:val="00203883"/>
    <w:rsid w:val="00210DDC"/>
    <w:rsid w:val="002260EC"/>
    <w:rsid w:val="002275CB"/>
    <w:rsid w:val="00256E72"/>
    <w:rsid w:val="00284955"/>
    <w:rsid w:val="0028586F"/>
    <w:rsid w:val="00290BF9"/>
    <w:rsid w:val="00294AA3"/>
    <w:rsid w:val="002962D1"/>
    <w:rsid w:val="002A6DB1"/>
    <w:rsid w:val="002B6E14"/>
    <w:rsid w:val="002B7736"/>
    <w:rsid w:val="002B7DAA"/>
    <w:rsid w:val="002D2EC0"/>
    <w:rsid w:val="002F01A7"/>
    <w:rsid w:val="002F6098"/>
    <w:rsid w:val="003046E4"/>
    <w:rsid w:val="0031065A"/>
    <w:rsid w:val="00324BAD"/>
    <w:rsid w:val="003359CE"/>
    <w:rsid w:val="0034186D"/>
    <w:rsid w:val="00343AFC"/>
    <w:rsid w:val="0035735A"/>
    <w:rsid w:val="00362FBA"/>
    <w:rsid w:val="00366649"/>
    <w:rsid w:val="0037064F"/>
    <w:rsid w:val="00385B49"/>
    <w:rsid w:val="0038603B"/>
    <w:rsid w:val="00395308"/>
    <w:rsid w:val="003A1138"/>
    <w:rsid w:val="003C26AF"/>
    <w:rsid w:val="003D7499"/>
    <w:rsid w:val="003E5FEE"/>
    <w:rsid w:val="003E7F9F"/>
    <w:rsid w:val="003F4C53"/>
    <w:rsid w:val="00401A51"/>
    <w:rsid w:val="00424007"/>
    <w:rsid w:val="0042767C"/>
    <w:rsid w:val="004427E4"/>
    <w:rsid w:val="00451405"/>
    <w:rsid w:val="00451C74"/>
    <w:rsid w:val="00464890"/>
    <w:rsid w:val="00467287"/>
    <w:rsid w:val="00473AB1"/>
    <w:rsid w:val="004A15DF"/>
    <w:rsid w:val="004A7315"/>
    <w:rsid w:val="004D0B04"/>
    <w:rsid w:val="004D273C"/>
    <w:rsid w:val="004E6032"/>
    <w:rsid w:val="004E6C55"/>
    <w:rsid w:val="00506C69"/>
    <w:rsid w:val="0051277C"/>
    <w:rsid w:val="00517406"/>
    <w:rsid w:val="005519DC"/>
    <w:rsid w:val="00561580"/>
    <w:rsid w:val="00582BB5"/>
    <w:rsid w:val="0058326A"/>
    <w:rsid w:val="0058543D"/>
    <w:rsid w:val="005B5C82"/>
    <w:rsid w:val="0061599A"/>
    <w:rsid w:val="0063431F"/>
    <w:rsid w:val="00635700"/>
    <w:rsid w:val="0065327B"/>
    <w:rsid w:val="0066012B"/>
    <w:rsid w:val="00660A85"/>
    <w:rsid w:val="00664A75"/>
    <w:rsid w:val="00665417"/>
    <w:rsid w:val="00671B15"/>
    <w:rsid w:val="00681D94"/>
    <w:rsid w:val="00697076"/>
    <w:rsid w:val="006B34CD"/>
    <w:rsid w:val="006B61E2"/>
    <w:rsid w:val="006E1A96"/>
    <w:rsid w:val="006E51C5"/>
    <w:rsid w:val="006F00EB"/>
    <w:rsid w:val="006F595D"/>
    <w:rsid w:val="00701AC3"/>
    <w:rsid w:val="0073019A"/>
    <w:rsid w:val="007421EA"/>
    <w:rsid w:val="00747F6A"/>
    <w:rsid w:val="00763A9B"/>
    <w:rsid w:val="00783316"/>
    <w:rsid w:val="007947E7"/>
    <w:rsid w:val="007C02A2"/>
    <w:rsid w:val="007D0491"/>
    <w:rsid w:val="007D083E"/>
    <w:rsid w:val="007E1B64"/>
    <w:rsid w:val="007F66CB"/>
    <w:rsid w:val="00800403"/>
    <w:rsid w:val="008017B4"/>
    <w:rsid w:val="00804FD5"/>
    <w:rsid w:val="0082630D"/>
    <w:rsid w:val="00843667"/>
    <w:rsid w:val="008457D8"/>
    <w:rsid w:val="00870866"/>
    <w:rsid w:val="00880DB9"/>
    <w:rsid w:val="00890CD1"/>
    <w:rsid w:val="008C7567"/>
    <w:rsid w:val="008D4664"/>
    <w:rsid w:val="008D63F5"/>
    <w:rsid w:val="008E1BD0"/>
    <w:rsid w:val="008E37CC"/>
    <w:rsid w:val="00916CAD"/>
    <w:rsid w:val="009324DF"/>
    <w:rsid w:val="00947441"/>
    <w:rsid w:val="00953ED1"/>
    <w:rsid w:val="009644BA"/>
    <w:rsid w:val="00983D55"/>
    <w:rsid w:val="009840A4"/>
    <w:rsid w:val="009A4B3D"/>
    <w:rsid w:val="009B221C"/>
    <w:rsid w:val="009D5C0B"/>
    <w:rsid w:val="009D7457"/>
    <w:rsid w:val="009D76C8"/>
    <w:rsid w:val="009E2779"/>
    <w:rsid w:val="009F002A"/>
    <w:rsid w:val="00A0004C"/>
    <w:rsid w:val="00A05DF5"/>
    <w:rsid w:val="00A14FAE"/>
    <w:rsid w:val="00A2008A"/>
    <w:rsid w:val="00A37580"/>
    <w:rsid w:val="00A43AEA"/>
    <w:rsid w:val="00A51D66"/>
    <w:rsid w:val="00A56D7C"/>
    <w:rsid w:val="00A822BD"/>
    <w:rsid w:val="00A84713"/>
    <w:rsid w:val="00A90A1A"/>
    <w:rsid w:val="00A95AA7"/>
    <w:rsid w:val="00AB2405"/>
    <w:rsid w:val="00AB26B5"/>
    <w:rsid w:val="00AC4E82"/>
    <w:rsid w:val="00AE62BF"/>
    <w:rsid w:val="00AF334F"/>
    <w:rsid w:val="00B13EDC"/>
    <w:rsid w:val="00B20244"/>
    <w:rsid w:val="00B2145F"/>
    <w:rsid w:val="00B336E7"/>
    <w:rsid w:val="00B46E0D"/>
    <w:rsid w:val="00B6412F"/>
    <w:rsid w:val="00B65B0E"/>
    <w:rsid w:val="00B722AF"/>
    <w:rsid w:val="00B755E9"/>
    <w:rsid w:val="00B767D8"/>
    <w:rsid w:val="00BA2D59"/>
    <w:rsid w:val="00BA6C69"/>
    <w:rsid w:val="00BB20A0"/>
    <w:rsid w:val="00BB376F"/>
    <w:rsid w:val="00BB7A08"/>
    <w:rsid w:val="00BC7431"/>
    <w:rsid w:val="00BE1C08"/>
    <w:rsid w:val="00BF2C1C"/>
    <w:rsid w:val="00BF324B"/>
    <w:rsid w:val="00BF4673"/>
    <w:rsid w:val="00C06465"/>
    <w:rsid w:val="00C1235C"/>
    <w:rsid w:val="00C14CC7"/>
    <w:rsid w:val="00C27B8C"/>
    <w:rsid w:val="00C37927"/>
    <w:rsid w:val="00C43612"/>
    <w:rsid w:val="00C46900"/>
    <w:rsid w:val="00C50A27"/>
    <w:rsid w:val="00C56103"/>
    <w:rsid w:val="00C86500"/>
    <w:rsid w:val="00C86C09"/>
    <w:rsid w:val="00CA783B"/>
    <w:rsid w:val="00CA7CCD"/>
    <w:rsid w:val="00CB1EF3"/>
    <w:rsid w:val="00CB6899"/>
    <w:rsid w:val="00CB68C2"/>
    <w:rsid w:val="00CC13B6"/>
    <w:rsid w:val="00CC627D"/>
    <w:rsid w:val="00CE5AA8"/>
    <w:rsid w:val="00D02335"/>
    <w:rsid w:val="00D036E4"/>
    <w:rsid w:val="00D22BD4"/>
    <w:rsid w:val="00D24595"/>
    <w:rsid w:val="00D406AA"/>
    <w:rsid w:val="00D50212"/>
    <w:rsid w:val="00D53BB5"/>
    <w:rsid w:val="00D71C0D"/>
    <w:rsid w:val="00D81EEB"/>
    <w:rsid w:val="00D90745"/>
    <w:rsid w:val="00D93A0B"/>
    <w:rsid w:val="00D94A1A"/>
    <w:rsid w:val="00DA7F51"/>
    <w:rsid w:val="00DB0E07"/>
    <w:rsid w:val="00DD435A"/>
    <w:rsid w:val="00DD5E27"/>
    <w:rsid w:val="00DD77E3"/>
    <w:rsid w:val="00DE055F"/>
    <w:rsid w:val="00E22746"/>
    <w:rsid w:val="00E47681"/>
    <w:rsid w:val="00E547D5"/>
    <w:rsid w:val="00E56313"/>
    <w:rsid w:val="00E62719"/>
    <w:rsid w:val="00E67B6B"/>
    <w:rsid w:val="00E720F4"/>
    <w:rsid w:val="00EA23BE"/>
    <w:rsid w:val="00EA52AE"/>
    <w:rsid w:val="00EC7FF6"/>
    <w:rsid w:val="00EF7970"/>
    <w:rsid w:val="00F06168"/>
    <w:rsid w:val="00F45551"/>
    <w:rsid w:val="00F56198"/>
    <w:rsid w:val="00F82382"/>
    <w:rsid w:val="00F8396A"/>
    <w:rsid w:val="00F96D44"/>
    <w:rsid w:val="00FA5123"/>
    <w:rsid w:val="00FC1D6D"/>
    <w:rsid w:val="00FD1D1E"/>
    <w:rsid w:val="00FD1D96"/>
    <w:rsid w:val="00FE5B87"/>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56313"/>
    <w:pPr>
      <w:spacing w:after="200"/>
    </w:pPr>
    <w:rPr>
      <w:rFonts w:ascii="Arial" w:hAnsi="Arial" w:cs="Arial"/>
      <w:spacing w:val="-4"/>
      <w:szCs w:val="24"/>
      <w:lang w:val="en-US" w:eastAsia="en-US"/>
    </w:rPr>
  </w:style>
  <w:style w:type="paragraph" w:styleId="Heading1">
    <w:name w:val="heading 1"/>
    <w:basedOn w:val="Normal"/>
    <w:next w:val="Normal"/>
    <w:link w:val="Heading1Char"/>
    <w:uiPriority w:val="9"/>
    <w:qFormat/>
    <w:rsid w:val="00E56313"/>
    <w:pPr>
      <w:keepNext/>
      <w:keepLines/>
      <w:spacing w:before="480"/>
      <w:outlineLvl w:val="0"/>
    </w:pPr>
    <w:rPr>
      <w:rFonts w:eastAsia="MS Gothic" w:cs="Times New Roman"/>
      <w:b/>
      <w:bCs/>
      <w:sz w:val="36"/>
      <w:szCs w:val="32"/>
    </w:rPr>
  </w:style>
  <w:style w:type="paragraph" w:styleId="Heading2">
    <w:name w:val="heading 2"/>
    <w:basedOn w:val="Normal"/>
    <w:next w:val="Normal"/>
    <w:link w:val="Heading2Char"/>
    <w:uiPriority w:val="9"/>
    <w:qFormat/>
    <w:rsid w:val="006F595D"/>
    <w:pPr>
      <w:keepNext/>
      <w:keepLines/>
      <w:spacing w:before="200"/>
      <w:outlineLvl w:val="1"/>
    </w:pPr>
    <w:rPr>
      <w:rFonts w:eastAsia="MS Gothic" w:cs="Times New Roman"/>
      <w:b/>
      <w:bCs/>
      <w:sz w:val="32"/>
      <w:szCs w:val="26"/>
    </w:rPr>
  </w:style>
  <w:style w:type="paragraph" w:styleId="Heading3">
    <w:name w:val="heading 3"/>
    <w:basedOn w:val="Normal"/>
    <w:next w:val="Normal"/>
    <w:link w:val="Heading3Char"/>
    <w:uiPriority w:val="9"/>
    <w:qFormat/>
    <w:rsid w:val="00916CAD"/>
    <w:pPr>
      <w:keepNext/>
      <w:keepLines/>
      <w:spacing w:before="200"/>
      <w:outlineLvl w:val="2"/>
    </w:pPr>
    <w:rPr>
      <w:rFonts w:eastAsia="MS Gothic"/>
      <w:b/>
      <w:bCs/>
      <w:sz w:val="28"/>
    </w:rPr>
  </w:style>
  <w:style w:type="paragraph" w:styleId="Heading4">
    <w:name w:val="heading 4"/>
    <w:basedOn w:val="Normal"/>
    <w:next w:val="Normal"/>
    <w:link w:val="Heading4Char"/>
    <w:uiPriority w:val="9"/>
    <w:qFormat/>
    <w:rsid w:val="00D93A0B"/>
    <w:pPr>
      <w:keepNext/>
      <w:keepLines/>
      <w:spacing w:before="200"/>
      <w:outlineLvl w:val="3"/>
    </w:pPr>
    <w:rPr>
      <w:rFonts w:eastAsia="MS Gothic"/>
      <w:b/>
      <w:bCs/>
      <w:iCs/>
      <w:sz w:val="24"/>
    </w:rPr>
  </w:style>
  <w:style w:type="paragraph" w:styleId="Heading5">
    <w:name w:val="heading 5"/>
    <w:basedOn w:val="Normal"/>
    <w:next w:val="Normal"/>
    <w:link w:val="Heading5Char"/>
    <w:uiPriority w:val="9"/>
    <w:qFormat/>
    <w:rsid w:val="00E56313"/>
    <w:pPr>
      <w:spacing w:before="240" w:after="60"/>
      <w:outlineLvl w:val="4"/>
    </w:pPr>
    <w:rPr>
      <w:rFonts w:cs="Times New Roman"/>
      <w:b/>
      <w:bCs/>
      <w:iCs/>
      <w:sz w:val="22"/>
      <w:szCs w:val="26"/>
    </w:rPr>
  </w:style>
  <w:style w:type="paragraph" w:styleId="Heading6">
    <w:name w:val="heading 6"/>
    <w:basedOn w:val="Normal"/>
    <w:next w:val="Normal"/>
    <w:link w:val="Heading6Char"/>
    <w:uiPriority w:val="9"/>
    <w:qFormat/>
    <w:rsid w:val="00E56313"/>
    <w:pPr>
      <w:spacing w:before="240" w:after="60"/>
      <w:outlineLvl w:val="5"/>
    </w:pPr>
    <w:rPr>
      <w:rFonts w:eastAsia="Times New Roman" w:cs="Times New Roman"/>
      <w:b/>
      <w:bCs/>
      <w:sz w:val="18"/>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6313"/>
    <w:rPr>
      <w:rFonts w:ascii="Arial" w:eastAsia="MS Gothic" w:hAnsi="Arial"/>
      <w:b/>
      <w:bCs/>
      <w:spacing w:val="-4"/>
      <w:sz w:val="36"/>
      <w:szCs w:val="32"/>
    </w:rPr>
  </w:style>
  <w:style w:type="character" w:customStyle="1" w:styleId="Heading2Char">
    <w:name w:val="Heading 2 Char"/>
    <w:link w:val="Heading2"/>
    <w:uiPriority w:val="9"/>
    <w:rsid w:val="006F595D"/>
    <w:rPr>
      <w:rFonts w:ascii="Arial" w:eastAsia="MS Gothic" w:hAnsi="Arial" w:cs="Times New Roman"/>
      <w:b/>
      <w:bCs/>
      <w:sz w:val="32"/>
      <w:szCs w:val="26"/>
    </w:rPr>
  </w:style>
  <w:style w:type="character" w:customStyle="1" w:styleId="Heading3Char">
    <w:name w:val="Heading 3 Char"/>
    <w:link w:val="Heading3"/>
    <w:uiPriority w:val="9"/>
    <w:rsid w:val="00916CAD"/>
    <w:rPr>
      <w:rFonts w:ascii="Arial" w:eastAsia="MS Gothic" w:hAnsi="Arial"/>
      <w:b/>
      <w:bCs/>
      <w:sz w:val="28"/>
      <w:szCs w:val="24"/>
      <w:lang w:val="en-US"/>
    </w:rPr>
  </w:style>
  <w:style w:type="character" w:customStyle="1" w:styleId="Heading4Char">
    <w:name w:val="Heading 4 Char"/>
    <w:link w:val="Heading4"/>
    <w:uiPriority w:val="9"/>
    <w:rsid w:val="00D93A0B"/>
    <w:rPr>
      <w:rFonts w:ascii="Arial" w:eastAsia="MS Gothic" w:hAnsi="Arial"/>
      <w:b/>
      <w:bCs/>
      <w:iCs/>
      <w:sz w:val="24"/>
      <w:szCs w:val="24"/>
    </w:rPr>
  </w:style>
  <w:style w:type="character" w:customStyle="1" w:styleId="Heading5Char">
    <w:name w:val="Heading 5 Char"/>
    <w:link w:val="Heading5"/>
    <w:uiPriority w:val="9"/>
    <w:rsid w:val="00E56313"/>
    <w:rPr>
      <w:rFonts w:ascii="Arial" w:hAnsi="Arial"/>
      <w:b/>
      <w:bCs/>
      <w:iCs/>
      <w:spacing w:val="-4"/>
      <w:sz w:val="22"/>
      <w:szCs w:val="26"/>
    </w:rPr>
  </w:style>
  <w:style w:type="paragraph" w:customStyle="1" w:styleId="p1">
    <w:name w:val="p1"/>
    <w:basedOn w:val="Normal"/>
    <w:rsid w:val="0028586F"/>
    <w:pPr>
      <w:spacing w:after="86" w:line="420" w:lineRule="atLeast"/>
    </w:pPr>
    <w:rPr>
      <w:rFonts w:ascii="VIC" w:hAnsi="VIC" w:cs="Times New Roman"/>
      <w:spacing w:val="0"/>
      <w:sz w:val="42"/>
      <w:szCs w:val="42"/>
      <w:lang w:val="en-GB" w:eastAsia="en-GB"/>
    </w:rPr>
  </w:style>
  <w:style w:type="paragraph" w:styleId="Title">
    <w:name w:val="Title"/>
    <w:basedOn w:val="Normal"/>
    <w:next w:val="Normal"/>
    <w:link w:val="TitleChar"/>
    <w:uiPriority w:val="10"/>
    <w:qFormat/>
    <w:rsid w:val="00E56313"/>
    <w:pPr>
      <w:pBdr>
        <w:bottom w:val="single" w:sz="8" w:space="4" w:color="4F81BD"/>
      </w:pBdr>
      <w:spacing w:after="300"/>
      <w:contextualSpacing/>
    </w:pPr>
    <w:rPr>
      <w:rFonts w:eastAsia="MS Gothic"/>
      <w:b/>
      <w:spacing w:val="5"/>
      <w:kern w:val="28"/>
      <w:sz w:val="52"/>
      <w:szCs w:val="52"/>
    </w:rPr>
  </w:style>
  <w:style w:type="character" w:customStyle="1" w:styleId="TitleChar">
    <w:name w:val="Title Char"/>
    <w:link w:val="Title"/>
    <w:uiPriority w:val="10"/>
    <w:rsid w:val="00E56313"/>
    <w:rPr>
      <w:rFonts w:ascii="Arial" w:eastAsia="MS Gothic" w:hAnsi="Arial" w:cs="Arial"/>
      <w:b/>
      <w:spacing w:val="5"/>
      <w:kern w:val="28"/>
      <w:sz w:val="52"/>
      <w:szCs w:val="52"/>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Normal"/>
    <w:qFormat/>
    <w:rsid w:val="00763A9B"/>
    <w:pPr>
      <w:numPr>
        <w:numId w:val="1"/>
      </w:numPr>
      <w:spacing w:after="120"/>
    </w:pPr>
  </w:style>
  <w:style w:type="table" w:styleId="TableGrid">
    <w:name w:val="Table Grid"/>
    <w:basedOn w:val="TableNormal"/>
    <w:uiPriority w:val="59"/>
    <w:rsid w:val="00845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
    <w:basedOn w:val="Normal"/>
    <w:qFormat/>
    <w:rsid w:val="003E5FEE"/>
  </w:style>
  <w:style w:type="paragraph" w:customStyle="1" w:styleId="TableHeading">
    <w:name w:val="Table Heading"/>
    <w:basedOn w:val="Normal"/>
    <w:qFormat/>
    <w:rsid w:val="003E5FEE"/>
    <w:rPr>
      <w:b/>
    </w:rPr>
  </w:style>
  <w:style w:type="paragraph" w:styleId="BalloonText">
    <w:name w:val="Balloon Text"/>
    <w:basedOn w:val="Normal"/>
    <w:link w:val="BalloonTextChar"/>
    <w:uiPriority w:val="99"/>
    <w:semiHidden/>
    <w:unhideWhenUsed/>
    <w:rsid w:val="00E47681"/>
    <w:rPr>
      <w:rFonts w:ascii="Lucida Grande" w:hAnsi="Lucida Grande" w:cs="Lucida Grande"/>
      <w:sz w:val="18"/>
      <w:szCs w:val="18"/>
    </w:rPr>
  </w:style>
  <w:style w:type="character" w:customStyle="1" w:styleId="BalloonTextChar">
    <w:name w:val="Balloon Text Char"/>
    <w:link w:val="BalloonText"/>
    <w:uiPriority w:val="99"/>
    <w:semiHidden/>
    <w:rsid w:val="00E47681"/>
    <w:rPr>
      <w:rFonts w:ascii="Lucida Grande" w:hAnsi="Lucida Grande" w:cs="Lucida Grande"/>
      <w:sz w:val="18"/>
      <w:szCs w:val="18"/>
      <w:lang w:val="en-US"/>
    </w:rPr>
  </w:style>
  <w:style w:type="character" w:styleId="Hyperlink">
    <w:name w:val="Hyperlink"/>
    <w:uiPriority w:val="99"/>
    <w:unhideWhenUsed/>
    <w:rsid w:val="00E56313"/>
    <w:rPr>
      <w:rFonts w:ascii="Arial" w:hAnsi="Arial"/>
      <w:color w:val="0000FF"/>
      <w:u w:val="single"/>
    </w:rPr>
  </w:style>
  <w:style w:type="paragraph" w:customStyle="1" w:styleId="TOCHeading">
    <w:name w:val="TOC Heading"/>
    <w:basedOn w:val="Heading1"/>
    <w:next w:val="Normal"/>
    <w:uiPriority w:val="39"/>
    <w:unhideWhenUsed/>
    <w:qFormat/>
    <w:rsid w:val="00E56313"/>
    <w:pPr>
      <w:spacing w:after="0" w:line="276" w:lineRule="auto"/>
      <w:outlineLvl w:val="9"/>
    </w:pPr>
    <w:rPr>
      <w:color w:val="365F91"/>
      <w:sz w:val="28"/>
      <w:szCs w:val="28"/>
    </w:rPr>
  </w:style>
  <w:style w:type="paragraph" w:styleId="FootnoteText">
    <w:name w:val="footnote text"/>
    <w:basedOn w:val="Normal"/>
    <w:link w:val="FootnoteTextChar"/>
    <w:uiPriority w:val="99"/>
    <w:unhideWhenUsed/>
    <w:rsid w:val="00A43AEA"/>
    <w:rPr>
      <w:sz w:val="16"/>
    </w:rPr>
  </w:style>
  <w:style w:type="character" w:customStyle="1" w:styleId="FootnoteTextChar">
    <w:name w:val="Footnote Text Char"/>
    <w:link w:val="FootnoteText"/>
    <w:uiPriority w:val="99"/>
    <w:rsid w:val="00A43AEA"/>
    <w:rPr>
      <w:rFonts w:ascii="Arial" w:hAnsi="Arial"/>
      <w:sz w:val="16"/>
      <w:szCs w:val="24"/>
      <w:lang w:val="en-US"/>
    </w:rPr>
  </w:style>
  <w:style w:type="paragraph" w:customStyle="1" w:styleId="TableBullet">
    <w:name w:val="Table Bullet"/>
    <w:basedOn w:val="TableCopy"/>
    <w:qFormat/>
    <w:rsid w:val="007E1B64"/>
    <w:pPr>
      <w:numPr>
        <w:numId w:val="32"/>
      </w:numPr>
      <w:spacing w:after="120"/>
      <w:ind w:left="346" w:hanging="346"/>
    </w:pPr>
  </w:style>
  <w:style w:type="character" w:styleId="PageNumber">
    <w:name w:val="page number"/>
    <w:uiPriority w:val="99"/>
    <w:semiHidden/>
    <w:unhideWhenUsed/>
    <w:rsid w:val="0065327B"/>
  </w:style>
  <w:style w:type="paragraph" w:styleId="TOC1">
    <w:name w:val="toc 1"/>
    <w:basedOn w:val="Normal"/>
    <w:next w:val="Normal"/>
    <w:autoRedefine/>
    <w:uiPriority w:val="39"/>
    <w:unhideWhenUsed/>
    <w:rsid w:val="00A37580"/>
    <w:pPr>
      <w:spacing w:before="120" w:after="0"/>
    </w:pPr>
    <w:rPr>
      <w:b/>
    </w:rPr>
  </w:style>
  <w:style w:type="paragraph" w:styleId="TOC2">
    <w:name w:val="toc 2"/>
    <w:basedOn w:val="Normal"/>
    <w:next w:val="Normal"/>
    <w:autoRedefine/>
    <w:uiPriority w:val="39"/>
    <w:unhideWhenUsed/>
    <w:rsid w:val="00A37580"/>
    <w:pPr>
      <w:spacing w:after="0"/>
      <w:ind w:left="200"/>
    </w:pPr>
    <w:rPr>
      <w:szCs w:val="22"/>
    </w:rPr>
  </w:style>
  <w:style w:type="paragraph" w:styleId="TOC4">
    <w:name w:val="toc 4"/>
    <w:basedOn w:val="Normal"/>
    <w:next w:val="Normal"/>
    <w:autoRedefine/>
    <w:uiPriority w:val="39"/>
    <w:unhideWhenUsed/>
    <w:rsid w:val="0065327B"/>
    <w:pPr>
      <w:spacing w:after="0"/>
      <w:ind w:left="600"/>
    </w:pPr>
    <w:rPr>
      <w:rFonts w:ascii="Cambria" w:hAnsi="Cambria"/>
      <w:szCs w:val="20"/>
    </w:rPr>
  </w:style>
  <w:style w:type="paragraph" w:styleId="TOC5">
    <w:name w:val="toc 5"/>
    <w:basedOn w:val="Normal"/>
    <w:next w:val="Normal"/>
    <w:autoRedefine/>
    <w:uiPriority w:val="39"/>
    <w:unhideWhenUsed/>
    <w:rsid w:val="0065327B"/>
    <w:pPr>
      <w:spacing w:after="0"/>
      <w:ind w:left="800"/>
    </w:pPr>
    <w:rPr>
      <w:rFonts w:ascii="Cambria" w:hAnsi="Cambria"/>
      <w:szCs w:val="20"/>
    </w:rPr>
  </w:style>
  <w:style w:type="paragraph" w:styleId="TOC6">
    <w:name w:val="toc 6"/>
    <w:basedOn w:val="Normal"/>
    <w:next w:val="Normal"/>
    <w:autoRedefine/>
    <w:uiPriority w:val="39"/>
    <w:unhideWhenUsed/>
    <w:rsid w:val="0065327B"/>
    <w:pPr>
      <w:spacing w:after="0"/>
      <w:ind w:left="1000"/>
    </w:pPr>
    <w:rPr>
      <w:rFonts w:ascii="Cambria" w:hAnsi="Cambria"/>
      <w:szCs w:val="20"/>
    </w:rPr>
  </w:style>
  <w:style w:type="paragraph" w:styleId="TOC7">
    <w:name w:val="toc 7"/>
    <w:basedOn w:val="Normal"/>
    <w:next w:val="Normal"/>
    <w:autoRedefine/>
    <w:uiPriority w:val="39"/>
    <w:unhideWhenUsed/>
    <w:rsid w:val="0065327B"/>
    <w:pPr>
      <w:spacing w:after="0"/>
      <w:ind w:left="1200"/>
    </w:pPr>
    <w:rPr>
      <w:rFonts w:ascii="Cambria" w:hAnsi="Cambria"/>
      <w:szCs w:val="20"/>
    </w:rPr>
  </w:style>
  <w:style w:type="paragraph" w:styleId="TOC8">
    <w:name w:val="toc 8"/>
    <w:basedOn w:val="Normal"/>
    <w:next w:val="Normal"/>
    <w:autoRedefine/>
    <w:uiPriority w:val="39"/>
    <w:unhideWhenUsed/>
    <w:rsid w:val="0065327B"/>
    <w:pPr>
      <w:spacing w:after="0"/>
      <w:ind w:left="1400"/>
    </w:pPr>
    <w:rPr>
      <w:rFonts w:ascii="Cambria" w:hAnsi="Cambria"/>
      <w:szCs w:val="20"/>
    </w:rPr>
  </w:style>
  <w:style w:type="paragraph" w:styleId="TOC9">
    <w:name w:val="toc 9"/>
    <w:basedOn w:val="Normal"/>
    <w:next w:val="Normal"/>
    <w:autoRedefine/>
    <w:uiPriority w:val="39"/>
    <w:unhideWhenUsed/>
    <w:rsid w:val="0065327B"/>
    <w:pPr>
      <w:spacing w:after="0"/>
      <w:ind w:left="1600"/>
    </w:pPr>
    <w:rPr>
      <w:rFonts w:ascii="Cambria" w:hAnsi="Cambria"/>
      <w:szCs w:val="20"/>
    </w:rPr>
  </w:style>
  <w:style w:type="paragraph" w:styleId="Header">
    <w:name w:val="header"/>
    <w:basedOn w:val="Normal"/>
    <w:link w:val="HeaderChar"/>
    <w:uiPriority w:val="99"/>
    <w:unhideWhenUsed/>
    <w:rsid w:val="007D0491"/>
    <w:pPr>
      <w:tabs>
        <w:tab w:val="center" w:pos="4320"/>
        <w:tab w:val="right" w:pos="8640"/>
      </w:tabs>
    </w:pPr>
  </w:style>
  <w:style w:type="character" w:customStyle="1" w:styleId="HeaderChar">
    <w:name w:val="Header Char"/>
    <w:link w:val="Header"/>
    <w:uiPriority w:val="99"/>
    <w:rsid w:val="007D0491"/>
    <w:rPr>
      <w:rFonts w:ascii="Arial" w:hAnsi="Arial"/>
      <w:szCs w:val="24"/>
      <w:lang w:val="en-US"/>
    </w:rPr>
  </w:style>
  <w:style w:type="paragraph" w:styleId="Footer">
    <w:name w:val="footer"/>
    <w:basedOn w:val="Normal"/>
    <w:link w:val="FooterChar"/>
    <w:uiPriority w:val="99"/>
    <w:unhideWhenUsed/>
    <w:rsid w:val="00BB7A08"/>
    <w:pPr>
      <w:tabs>
        <w:tab w:val="center" w:pos="4320"/>
        <w:tab w:val="right" w:pos="8640"/>
      </w:tabs>
    </w:pPr>
    <w:rPr>
      <w:sz w:val="16"/>
    </w:rPr>
  </w:style>
  <w:style w:type="character" w:customStyle="1" w:styleId="FooterChar">
    <w:name w:val="Footer Char"/>
    <w:link w:val="Footer"/>
    <w:uiPriority w:val="99"/>
    <w:rsid w:val="00BB7A08"/>
    <w:rPr>
      <w:rFonts w:ascii="Arial" w:hAnsi="Arial"/>
      <w:sz w:val="16"/>
      <w:szCs w:val="24"/>
    </w:r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BodyText">
    <w:name w:val="Body Text"/>
    <w:basedOn w:val="Normal"/>
    <w:link w:val="BodyTextChar"/>
    <w:uiPriority w:val="99"/>
    <w:semiHidden/>
    <w:unhideWhenUsed/>
    <w:rsid w:val="0061599A"/>
    <w:pPr>
      <w:spacing w:after="120"/>
    </w:pPr>
  </w:style>
  <w:style w:type="character" w:customStyle="1" w:styleId="BodyTextChar">
    <w:name w:val="Body Text Char"/>
    <w:link w:val="BodyText"/>
    <w:uiPriority w:val="99"/>
    <w:semiHidden/>
    <w:rsid w:val="0061599A"/>
    <w:rPr>
      <w:rFonts w:ascii="Tahoma" w:hAnsi="Tahoma"/>
      <w:szCs w:val="24"/>
      <w:lang w:val="en-US"/>
    </w:rPr>
  </w:style>
  <w:style w:type="character" w:styleId="FootnoteReference">
    <w:name w:val="footnote reference"/>
    <w:uiPriority w:val="99"/>
    <w:unhideWhenUsed/>
    <w:rsid w:val="00E56313"/>
    <w:rPr>
      <w:rFonts w:ascii="Arial" w:hAnsi="Arial"/>
      <w:vertAlign w:val="superscript"/>
    </w:rPr>
  </w:style>
  <w:style w:type="character" w:styleId="Strong">
    <w:name w:val="Strong"/>
    <w:uiPriority w:val="22"/>
    <w:qFormat/>
    <w:rsid w:val="00E56313"/>
    <w:rPr>
      <w:rFonts w:ascii="Arial" w:hAnsi="Arial"/>
      <w:b/>
      <w:bCs/>
    </w:rPr>
  </w:style>
  <w:style w:type="paragraph" w:styleId="Subtitle">
    <w:name w:val="Subtitle"/>
    <w:basedOn w:val="Normal"/>
    <w:next w:val="Normal"/>
    <w:link w:val="SubtitleChar"/>
    <w:uiPriority w:val="11"/>
    <w:qFormat/>
    <w:rsid w:val="00E56313"/>
    <w:pPr>
      <w:spacing w:after="60"/>
      <w:jc w:val="center"/>
      <w:outlineLvl w:val="1"/>
    </w:pPr>
    <w:rPr>
      <w:rFonts w:eastAsia="Times New Roman" w:cs="Times New Roman"/>
      <w:sz w:val="24"/>
    </w:rPr>
  </w:style>
  <w:style w:type="character" w:customStyle="1" w:styleId="SubtitleChar">
    <w:name w:val="Subtitle Char"/>
    <w:link w:val="Subtitle"/>
    <w:uiPriority w:val="11"/>
    <w:rsid w:val="00E56313"/>
    <w:rPr>
      <w:rFonts w:ascii="Arial" w:eastAsia="Times New Roman" w:hAnsi="Arial" w:cs="Times New Roman"/>
      <w:spacing w:val="-4"/>
      <w:sz w:val="24"/>
      <w:szCs w:val="24"/>
    </w:rPr>
  </w:style>
  <w:style w:type="character" w:styleId="Emphasis">
    <w:name w:val="Emphasis"/>
    <w:uiPriority w:val="20"/>
    <w:qFormat/>
    <w:rsid w:val="00E56313"/>
    <w:rPr>
      <w:rFonts w:ascii="Arial" w:hAnsi="Arial"/>
      <w:i/>
      <w:iCs/>
    </w:rPr>
  </w:style>
  <w:style w:type="character" w:customStyle="1" w:styleId="SubtleEmphasis">
    <w:name w:val="Subtle Emphasis"/>
    <w:uiPriority w:val="19"/>
    <w:qFormat/>
    <w:rsid w:val="00E56313"/>
    <w:rPr>
      <w:rFonts w:ascii="Arial" w:hAnsi="Arial"/>
      <w:i/>
      <w:iCs/>
      <w:color w:val="404040"/>
    </w:rPr>
  </w:style>
  <w:style w:type="character" w:customStyle="1" w:styleId="IntenseEmphasis">
    <w:name w:val="Intense Emphasis"/>
    <w:uiPriority w:val="21"/>
    <w:qFormat/>
    <w:rsid w:val="00E56313"/>
    <w:rPr>
      <w:rFonts w:ascii="Arial" w:hAnsi="Arial"/>
      <w:i/>
      <w:iCs/>
      <w:color w:val="5B9BD5"/>
    </w:rPr>
  </w:style>
  <w:style w:type="character" w:customStyle="1" w:styleId="SubtleReference">
    <w:name w:val="Subtle Reference"/>
    <w:uiPriority w:val="31"/>
    <w:qFormat/>
    <w:rsid w:val="00E56313"/>
    <w:rPr>
      <w:rFonts w:ascii="Arial" w:hAnsi="Arial"/>
      <w:smallCaps/>
      <w:color w:val="5A5A5A"/>
    </w:rPr>
  </w:style>
  <w:style w:type="character" w:customStyle="1" w:styleId="IntenseReference">
    <w:name w:val="Intense Reference"/>
    <w:uiPriority w:val="32"/>
    <w:qFormat/>
    <w:rsid w:val="00E56313"/>
    <w:rPr>
      <w:rFonts w:ascii="Arial" w:hAnsi="Arial"/>
      <w:b/>
      <w:bCs/>
      <w:smallCaps/>
      <w:color w:val="5B9BD5"/>
      <w:spacing w:val="5"/>
    </w:rPr>
  </w:style>
  <w:style w:type="character" w:customStyle="1" w:styleId="BookTitle">
    <w:name w:val="Book Title"/>
    <w:uiPriority w:val="33"/>
    <w:qFormat/>
    <w:rsid w:val="00E56313"/>
    <w:rPr>
      <w:rFonts w:ascii="Arial" w:hAnsi="Arial"/>
      <w:b/>
      <w:bCs/>
      <w:i/>
      <w:iCs/>
      <w:spacing w:val="5"/>
    </w:rPr>
  </w:style>
  <w:style w:type="character" w:customStyle="1" w:styleId="Heading6Char">
    <w:name w:val="Heading 6 Char"/>
    <w:link w:val="Heading6"/>
    <w:uiPriority w:val="9"/>
    <w:semiHidden/>
    <w:rsid w:val="00E56313"/>
    <w:rPr>
      <w:rFonts w:ascii="Arial" w:eastAsia="Times New Roman" w:hAnsi="Arial" w:cs="Times New Roman"/>
      <w:b/>
      <w:bCs/>
      <w:spacing w:val="-4"/>
      <w:sz w:val="18"/>
      <w:szCs w:val="22"/>
    </w:rPr>
  </w:style>
  <w:style w:type="character" w:customStyle="1" w:styleId="s1">
    <w:name w:val="s1"/>
    <w:rsid w:val="0028586F"/>
    <w:rPr>
      <w:spacing w:val="-8"/>
    </w:rPr>
  </w:style>
  <w:style w:type="character" w:customStyle="1" w:styleId="apple-converted-space">
    <w:name w:val="apple-converted-space"/>
    <w:rsid w:val="0028586F"/>
  </w:style>
  <w:style w:type="paragraph" w:customStyle="1" w:styleId="p2">
    <w:name w:val="p2"/>
    <w:basedOn w:val="Normal"/>
    <w:rsid w:val="0028586F"/>
    <w:pPr>
      <w:spacing w:after="86" w:line="165" w:lineRule="atLeast"/>
    </w:pPr>
    <w:rPr>
      <w:rFonts w:ascii="VIC Light" w:hAnsi="VIC Light" w:cs="Times New Roman"/>
      <w:spacing w:val="0"/>
      <w:sz w:val="14"/>
      <w:szCs w:val="14"/>
      <w:lang w:val="en-GB" w:eastAsia="en-GB"/>
    </w:rPr>
  </w:style>
  <w:style w:type="paragraph" w:customStyle="1" w:styleId="p3">
    <w:name w:val="p3"/>
    <w:basedOn w:val="Normal"/>
    <w:rsid w:val="0028586F"/>
    <w:pPr>
      <w:spacing w:after="86" w:line="165" w:lineRule="atLeast"/>
      <w:ind w:left="128" w:hanging="128"/>
    </w:pPr>
    <w:rPr>
      <w:rFonts w:ascii="VIC Light" w:hAnsi="VIC Light" w:cs="Times New Roman"/>
      <w:spacing w:val="0"/>
      <w:sz w:val="14"/>
      <w:szCs w:val="14"/>
      <w:lang w:val="en-GB" w:eastAsia="en-GB"/>
    </w:rPr>
  </w:style>
  <w:style w:type="paragraph" w:customStyle="1" w:styleId="p4">
    <w:name w:val="p4"/>
    <w:basedOn w:val="Normal"/>
    <w:rsid w:val="0028586F"/>
    <w:pPr>
      <w:spacing w:after="170" w:line="165" w:lineRule="atLeast"/>
      <w:ind w:left="128" w:hanging="128"/>
    </w:pPr>
    <w:rPr>
      <w:rFonts w:ascii="VIC Light" w:hAnsi="VIC Light" w:cs="Times New Roman"/>
      <w:spacing w:val="0"/>
      <w:sz w:val="14"/>
      <w:szCs w:val="14"/>
      <w:lang w:val="en-GB" w:eastAsia="en-GB"/>
    </w:rPr>
  </w:style>
  <w:style w:type="paragraph" w:customStyle="1" w:styleId="p5">
    <w:name w:val="p5"/>
    <w:basedOn w:val="Normal"/>
    <w:rsid w:val="0028586F"/>
    <w:pPr>
      <w:spacing w:before="128" w:after="86" w:line="225" w:lineRule="atLeast"/>
    </w:pPr>
    <w:rPr>
      <w:rFonts w:ascii="VIC" w:hAnsi="VIC" w:cs="Times New Roman"/>
      <w:color w:val="64ACE5"/>
      <w:spacing w:val="0"/>
      <w:szCs w:val="20"/>
      <w:lang w:val="en-GB" w:eastAsia="en-GB"/>
    </w:rPr>
  </w:style>
  <w:style w:type="paragraph" w:customStyle="1" w:styleId="p6">
    <w:name w:val="p6"/>
    <w:basedOn w:val="Normal"/>
    <w:rsid w:val="0028586F"/>
    <w:pPr>
      <w:spacing w:after="86" w:line="165" w:lineRule="atLeast"/>
    </w:pPr>
    <w:rPr>
      <w:rFonts w:ascii="VIC" w:hAnsi="VIC" w:cs="Times New Roman"/>
      <w:color w:val="414141"/>
      <w:spacing w:val="0"/>
      <w:sz w:val="14"/>
      <w:szCs w:val="14"/>
      <w:lang w:val="en-GB" w:eastAsia="en-GB"/>
    </w:rPr>
  </w:style>
  <w:style w:type="paragraph" w:customStyle="1" w:styleId="p7">
    <w:name w:val="p7"/>
    <w:basedOn w:val="Normal"/>
    <w:rsid w:val="0028586F"/>
    <w:pPr>
      <w:spacing w:after="86" w:line="165" w:lineRule="atLeast"/>
    </w:pPr>
    <w:rPr>
      <w:rFonts w:ascii="VIC" w:hAnsi="VIC" w:cs="Times New Roman"/>
      <w:color w:val="64ACE5"/>
      <w:spacing w:val="0"/>
      <w:sz w:val="14"/>
      <w:szCs w:val="14"/>
      <w:lang w:val="en-GB" w:eastAsia="en-GB"/>
    </w:rPr>
  </w:style>
  <w:style w:type="paragraph" w:customStyle="1" w:styleId="p8">
    <w:name w:val="p8"/>
    <w:basedOn w:val="Normal"/>
    <w:rsid w:val="0028586F"/>
    <w:pPr>
      <w:spacing w:after="86" w:line="165" w:lineRule="atLeast"/>
    </w:pPr>
    <w:rPr>
      <w:rFonts w:ascii="VIC" w:hAnsi="VIC" w:cs="Times New Roman"/>
      <w:spacing w:val="0"/>
      <w:sz w:val="14"/>
      <w:szCs w:val="14"/>
      <w:lang w:val="en-GB" w:eastAsia="en-GB"/>
    </w:rPr>
  </w:style>
  <w:style w:type="paragraph" w:customStyle="1" w:styleId="p9">
    <w:name w:val="p9"/>
    <w:basedOn w:val="Normal"/>
    <w:rsid w:val="0028586F"/>
    <w:pPr>
      <w:spacing w:after="86" w:line="165" w:lineRule="atLeast"/>
    </w:pPr>
    <w:rPr>
      <w:rFonts w:ascii="VIC Light" w:hAnsi="VIC Light" w:cs="Times New Roman"/>
      <w:spacing w:val="0"/>
      <w:sz w:val="14"/>
      <w:szCs w:val="14"/>
      <w:lang w:val="en-GB" w:eastAsia="en-GB"/>
    </w:rPr>
  </w:style>
  <w:style w:type="paragraph" w:customStyle="1" w:styleId="p10">
    <w:name w:val="p10"/>
    <w:basedOn w:val="Normal"/>
    <w:rsid w:val="0028586F"/>
    <w:pPr>
      <w:spacing w:before="86" w:after="86" w:line="165" w:lineRule="atLeast"/>
    </w:pPr>
    <w:rPr>
      <w:rFonts w:ascii="VIC" w:hAnsi="VIC" w:cs="Times New Roman"/>
      <w:spacing w:val="0"/>
      <w:sz w:val="14"/>
      <w:szCs w:val="14"/>
      <w:lang w:val="en-GB" w:eastAsia="en-GB"/>
    </w:rPr>
  </w:style>
  <w:style w:type="paragraph" w:customStyle="1" w:styleId="p11">
    <w:name w:val="p11"/>
    <w:basedOn w:val="Normal"/>
    <w:rsid w:val="0028586F"/>
    <w:pPr>
      <w:spacing w:before="86" w:after="86" w:line="165" w:lineRule="atLeast"/>
    </w:pPr>
    <w:rPr>
      <w:rFonts w:ascii="VIC" w:hAnsi="VIC" w:cs="Times New Roman"/>
      <w:spacing w:val="0"/>
      <w:sz w:val="14"/>
      <w:szCs w:val="14"/>
      <w:lang w:val="en-GB" w:eastAsia="en-GB"/>
    </w:rPr>
  </w:style>
  <w:style w:type="paragraph" w:customStyle="1" w:styleId="p12">
    <w:name w:val="p12"/>
    <w:basedOn w:val="Normal"/>
    <w:rsid w:val="0028586F"/>
    <w:pPr>
      <w:spacing w:after="86" w:line="165" w:lineRule="atLeast"/>
      <w:ind w:left="170" w:hanging="170"/>
    </w:pPr>
    <w:rPr>
      <w:rFonts w:ascii="VIC" w:hAnsi="VIC" w:cs="Times New Roman"/>
      <w:spacing w:val="0"/>
      <w:sz w:val="14"/>
      <w:szCs w:val="14"/>
      <w:lang w:val="en-GB" w:eastAsia="en-GB"/>
    </w:rPr>
  </w:style>
  <w:style w:type="paragraph" w:customStyle="1" w:styleId="p13">
    <w:name w:val="p13"/>
    <w:basedOn w:val="Normal"/>
    <w:rsid w:val="0028586F"/>
    <w:pPr>
      <w:spacing w:after="170" w:line="165" w:lineRule="atLeast"/>
      <w:ind w:left="170" w:hanging="170"/>
    </w:pPr>
    <w:rPr>
      <w:rFonts w:ascii="VIC" w:hAnsi="VIC" w:cs="Times New Roman"/>
      <w:spacing w:val="0"/>
      <w:sz w:val="14"/>
      <w:szCs w:val="14"/>
      <w:lang w:val="en-GB" w:eastAsia="en-GB"/>
    </w:rPr>
  </w:style>
  <w:style w:type="paragraph" w:customStyle="1" w:styleId="p14">
    <w:name w:val="p14"/>
    <w:basedOn w:val="Normal"/>
    <w:rsid w:val="0028586F"/>
    <w:pPr>
      <w:spacing w:before="128" w:after="86" w:line="225" w:lineRule="atLeast"/>
    </w:pPr>
    <w:rPr>
      <w:rFonts w:ascii="VIC" w:hAnsi="VIC" w:cs="Times New Roman"/>
      <w:color w:val="64ACE5"/>
      <w:spacing w:val="0"/>
      <w:szCs w:val="20"/>
      <w:lang w:val="en-GB" w:eastAsia="en-GB"/>
    </w:rPr>
  </w:style>
  <w:style w:type="paragraph" w:customStyle="1" w:styleId="p15">
    <w:name w:val="p15"/>
    <w:basedOn w:val="Normal"/>
    <w:rsid w:val="0028586F"/>
    <w:pPr>
      <w:spacing w:before="128" w:after="213" w:line="180" w:lineRule="atLeast"/>
    </w:pPr>
    <w:rPr>
      <w:rFonts w:ascii="VIC" w:hAnsi="VIC" w:cs="Times New Roman"/>
      <w:color w:val="64ACE5"/>
      <w:spacing w:val="0"/>
      <w:sz w:val="15"/>
      <w:szCs w:val="15"/>
      <w:lang w:val="en-GB" w:eastAsia="en-GB"/>
    </w:rPr>
  </w:style>
  <w:style w:type="paragraph" w:customStyle="1" w:styleId="p16">
    <w:name w:val="p16"/>
    <w:basedOn w:val="Normal"/>
    <w:rsid w:val="0028586F"/>
    <w:pPr>
      <w:spacing w:after="86" w:line="165" w:lineRule="atLeast"/>
    </w:pPr>
    <w:rPr>
      <w:rFonts w:ascii="VIC" w:hAnsi="VIC" w:cs="Times New Roman"/>
      <w:color w:val="414141"/>
      <w:spacing w:val="0"/>
      <w:sz w:val="14"/>
      <w:szCs w:val="14"/>
      <w:lang w:val="en-GB" w:eastAsia="en-GB"/>
    </w:rPr>
  </w:style>
  <w:style w:type="character" w:customStyle="1" w:styleId="s2">
    <w:name w:val="s2"/>
    <w:rsid w:val="0028586F"/>
    <w:rPr>
      <w:rFonts w:ascii="VIC" w:hAnsi="VIC" w:hint="default"/>
      <w:sz w:val="14"/>
      <w:szCs w:val="14"/>
    </w:rPr>
  </w:style>
  <w:style w:type="character" w:customStyle="1" w:styleId="apple-tab-span">
    <w:name w:val="apple-tab-span"/>
    <w:rsid w:val="0028586F"/>
  </w:style>
  <w:style w:type="paragraph" w:styleId="TOC3">
    <w:name w:val="toc 3"/>
    <w:basedOn w:val="Normal"/>
    <w:next w:val="Normal"/>
    <w:autoRedefine/>
    <w:uiPriority w:val="39"/>
    <w:unhideWhenUsed/>
    <w:rsid w:val="00467287"/>
    <w:pPr>
      <w:ind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56313"/>
    <w:pPr>
      <w:spacing w:after="200"/>
    </w:pPr>
    <w:rPr>
      <w:rFonts w:ascii="Arial" w:hAnsi="Arial" w:cs="Arial"/>
      <w:spacing w:val="-4"/>
      <w:szCs w:val="24"/>
      <w:lang w:val="en-US" w:eastAsia="en-US"/>
    </w:rPr>
  </w:style>
  <w:style w:type="paragraph" w:styleId="Heading1">
    <w:name w:val="heading 1"/>
    <w:basedOn w:val="Normal"/>
    <w:next w:val="Normal"/>
    <w:link w:val="Heading1Char"/>
    <w:uiPriority w:val="9"/>
    <w:qFormat/>
    <w:rsid w:val="00E56313"/>
    <w:pPr>
      <w:keepNext/>
      <w:keepLines/>
      <w:spacing w:before="480"/>
      <w:outlineLvl w:val="0"/>
    </w:pPr>
    <w:rPr>
      <w:rFonts w:eastAsia="MS Gothic" w:cs="Times New Roman"/>
      <w:b/>
      <w:bCs/>
      <w:sz w:val="36"/>
      <w:szCs w:val="32"/>
    </w:rPr>
  </w:style>
  <w:style w:type="paragraph" w:styleId="Heading2">
    <w:name w:val="heading 2"/>
    <w:basedOn w:val="Normal"/>
    <w:next w:val="Normal"/>
    <w:link w:val="Heading2Char"/>
    <w:uiPriority w:val="9"/>
    <w:qFormat/>
    <w:rsid w:val="006F595D"/>
    <w:pPr>
      <w:keepNext/>
      <w:keepLines/>
      <w:spacing w:before="200"/>
      <w:outlineLvl w:val="1"/>
    </w:pPr>
    <w:rPr>
      <w:rFonts w:eastAsia="MS Gothic" w:cs="Times New Roman"/>
      <w:b/>
      <w:bCs/>
      <w:sz w:val="32"/>
      <w:szCs w:val="26"/>
    </w:rPr>
  </w:style>
  <w:style w:type="paragraph" w:styleId="Heading3">
    <w:name w:val="heading 3"/>
    <w:basedOn w:val="Normal"/>
    <w:next w:val="Normal"/>
    <w:link w:val="Heading3Char"/>
    <w:uiPriority w:val="9"/>
    <w:qFormat/>
    <w:rsid w:val="00916CAD"/>
    <w:pPr>
      <w:keepNext/>
      <w:keepLines/>
      <w:spacing w:before="200"/>
      <w:outlineLvl w:val="2"/>
    </w:pPr>
    <w:rPr>
      <w:rFonts w:eastAsia="MS Gothic"/>
      <w:b/>
      <w:bCs/>
      <w:sz w:val="28"/>
    </w:rPr>
  </w:style>
  <w:style w:type="paragraph" w:styleId="Heading4">
    <w:name w:val="heading 4"/>
    <w:basedOn w:val="Normal"/>
    <w:next w:val="Normal"/>
    <w:link w:val="Heading4Char"/>
    <w:uiPriority w:val="9"/>
    <w:qFormat/>
    <w:rsid w:val="00D93A0B"/>
    <w:pPr>
      <w:keepNext/>
      <w:keepLines/>
      <w:spacing w:before="200"/>
      <w:outlineLvl w:val="3"/>
    </w:pPr>
    <w:rPr>
      <w:rFonts w:eastAsia="MS Gothic"/>
      <w:b/>
      <w:bCs/>
      <w:iCs/>
      <w:sz w:val="24"/>
    </w:rPr>
  </w:style>
  <w:style w:type="paragraph" w:styleId="Heading5">
    <w:name w:val="heading 5"/>
    <w:basedOn w:val="Normal"/>
    <w:next w:val="Normal"/>
    <w:link w:val="Heading5Char"/>
    <w:uiPriority w:val="9"/>
    <w:qFormat/>
    <w:rsid w:val="00E56313"/>
    <w:pPr>
      <w:spacing w:before="240" w:after="60"/>
      <w:outlineLvl w:val="4"/>
    </w:pPr>
    <w:rPr>
      <w:rFonts w:cs="Times New Roman"/>
      <w:b/>
      <w:bCs/>
      <w:iCs/>
      <w:sz w:val="22"/>
      <w:szCs w:val="26"/>
    </w:rPr>
  </w:style>
  <w:style w:type="paragraph" w:styleId="Heading6">
    <w:name w:val="heading 6"/>
    <w:basedOn w:val="Normal"/>
    <w:next w:val="Normal"/>
    <w:link w:val="Heading6Char"/>
    <w:uiPriority w:val="9"/>
    <w:qFormat/>
    <w:rsid w:val="00E56313"/>
    <w:pPr>
      <w:spacing w:before="240" w:after="60"/>
      <w:outlineLvl w:val="5"/>
    </w:pPr>
    <w:rPr>
      <w:rFonts w:eastAsia="Times New Roman" w:cs="Times New Roman"/>
      <w:b/>
      <w:bCs/>
      <w:sz w:val="18"/>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6313"/>
    <w:rPr>
      <w:rFonts w:ascii="Arial" w:eastAsia="MS Gothic" w:hAnsi="Arial"/>
      <w:b/>
      <w:bCs/>
      <w:spacing w:val="-4"/>
      <w:sz w:val="36"/>
      <w:szCs w:val="32"/>
    </w:rPr>
  </w:style>
  <w:style w:type="character" w:customStyle="1" w:styleId="Heading2Char">
    <w:name w:val="Heading 2 Char"/>
    <w:link w:val="Heading2"/>
    <w:uiPriority w:val="9"/>
    <w:rsid w:val="006F595D"/>
    <w:rPr>
      <w:rFonts w:ascii="Arial" w:eastAsia="MS Gothic" w:hAnsi="Arial" w:cs="Times New Roman"/>
      <w:b/>
      <w:bCs/>
      <w:sz w:val="32"/>
      <w:szCs w:val="26"/>
    </w:rPr>
  </w:style>
  <w:style w:type="character" w:customStyle="1" w:styleId="Heading3Char">
    <w:name w:val="Heading 3 Char"/>
    <w:link w:val="Heading3"/>
    <w:uiPriority w:val="9"/>
    <w:rsid w:val="00916CAD"/>
    <w:rPr>
      <w:rFonts w:ascii="Arial" w:eastAsia="MS Gothic" w:hAnsi="Arial"/>
      <w:b/>
      <w:bCs/>
      <w:sz w:val="28"/>
      <w:szCs w:val="24"/>
      <w:lang w:val="en-US"/>
    </w:rPr>
  </w:style>
  <w:style w:type="character" w:customStyle="1" w:styleId="Heading4Char">
    <w:name w:val="Heading 4 Char"/>
    <w:link w:val="Heading4"/>
    <w:uiPriority w:val="9"/>
    <w:rsid w:val="00D93A0B"/>
    <w:rPr>
      <w:rFonts w:ascii="Arial" w:eastAsia="MS Gothic" w:hAnsi="Arial"/>
      <w:b/>
      <w:bCs/>
      <w:iCs/>
      <w:sz w:val="24"/>
      <w:szCs w:val="24"/>
    </w:rPr>
  </w:style>
  <w:style w:type="character" w:customStyle="1" w:styleId="Heading5Char">
    <w:name w:val="Heading 5 Char"/>
    <w:link w:val="Heading5"/>
    <w:uiPriority w:val="9"/>
    <w:rsid w:val="00E56313"/>
    <w:rPr>
      <w:rFonts w:ascii="Arial" w:hAnsi="Arial"/>
      <w:b/>
      <w:bCs/>
      <w:iCs/>
      <w:spacing w:val="-4"/>
      <w:sz w:val="22"/>
      <w:szCs w:val="26"/>
    </w:rPr>
  </w:style>
  <w:style w:type="paragraph" w:customStyle="1" w:styleId="p1">
    <w:name w:val="p1"/>
    <w:basedOn w:val="Normal"/>
    <w:rsid w:val="0028586F"/>
    <w:pPr>
      <w:spacing w:after="86" w:line="420" w:lineRule="atLeast"/>
    </w:pPr>
    <w:rPr>
      <w:rFonts w:ascii="VIC" w:hAnsi="VIC" w:cs="Times New Roman"/>
      <w:spacing w:val="0"/>
      <w:sz w:val="42"/>
      <w:szCs w:val="42"/>
      <w:lang w:val="en-GB" w:eastAsia="en-GB"/>
    </w:rPr>
  </w:style>
  <w:style w:type="paragraph" w:styleId="Title">
    <w:name w:val="Title"/>
    <w:basedOn w:val="Normal"/>
    <w:next w:val="Normal"/>
    <w:link w:val="TitleChar"/>
    <w:uiPriority w:val="10"/>
    <w:qFormat/>
    <w:rsid w:val="00E56313"/>
    <w:pPr>
      <w:pBdr>
        <w:bottom w:val="single" w:sz="8" w:space="4" w:color="4F81BD"/>
      </w:pBdr>
      <w:spacing w:after="300"/>
      <w:contextualSpacing/>
    </w:pPr>
    <w:rPr>
      <w:rFonts w:eastAsia="MS Gothic"/>
      <w:b/>
      <w:spacing w:val="5"/>
      <w:kern w:val="28"/>
      <w:sz w:val="52"/>
      <w:szCs w:val="52"/>
    </w:rPr>
  </w:style>
  <w:style w:type="character" w:customStyle="1" w:styleId="TitleChar">
    <w:name w:val="Title Char"/>
    <w:link w:val="Title"/>
    <w:uiPriority w:val="10"/>
    <w:rsid w:val="00E56313"/>
    <w:rPr>
      <w:rFonts w:ascii="Arial" w:eastAsia="MS Gothic" w:hAnsi="Arial" w:cs="Arial"/>
      <w:b/>
      <w:spacing w:val="5"/>
      <w:kern w:val="28"/>
      <w:sz w:val="52"/>
      <w:szCs w:val="52"/>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Normal"/>
    <w:qFormat/>
    <w:rsid w:val="00763A9B"/>
    <w:pPr>
      <w:numPr>
        <w:numId w:val="1"/>
      </w:numPr>
      <w:spacing w:after="120"/>
    </w:pPr>
  </w:style>
  <w:style w:type="table" w:styleId="TableGrid">
    <w:name w:val="Table Grid"/>
    <w:basedOn w:val="TableNormal"/>
    <w:uiPriority w:val="59"/>
    <w:rsid w:val="00845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
    <w:basedOn w:val="Normal"/>
    <w:qFormat/>
    <w:rsid w:val="003E5FEE"/>
  </w:style>
  <w:style w:type="paragraph" w:customStyle="1" w:styleId="TableHeading">
    <w:name w:val="Table Heading"/>
    <w:basedOn w:val="Normal"/>
    <w:qFormat/>
    <w:rsid w:val="003E5FEE"/>
    <w:rPr>
      <w:b/>
    </w:rPr>
  </w:style>
  <w:style w:type="paragraph" w:styleId="BalloonText">
    <w:name w:val="Balloon Text"/>
    <w:basedOn w:val="Normal"/>
    <w:link w:val="BalloonTextChar"/>
    <w:uiPriority w:val="99"/>
    <w:semiHidden/>
    <w:unhideWhenUsed/>
    <w:rsid w:val="00E47681"/>
    <w:rPr>
      <w:rFonts w:ascii="Lucida Grande" w:hAnsi="Lucida Grande" w:cs="Lucida Grande"/>
      <w:sz w:val="18"/>
      <w:szCs w:val="18"/>
    </w:rPr>
  </w:style>
  <w:style w:type="character" w:customStyle="1" w:styleId="BalloonTextChar">
    <w:name w:val="Balloon Text Char"/>
    <w:link w:val="BalloonText"/>
    <w:uiPriority w:val="99"/>
    <w:semiHidden/>
    <w:rsid w:val="00E47681"/>
    <w:rPr>
      <w:rFonts w:ascii="Lucida Grande" w:hAnsi="Lucida Grande" w:cs="Lucida Grande"/>
      <w:sz w:val="18"/>
      <w:szCs w:val="18"/>
      <w:lang w:val="en-US"/>
    </w:rPr>
  </w:style>
  <w:style w:type="character" w:styleId="Hyperlink">
    <w:name w:val="Hyperlink"/>
    <w:uiPriority w:val="99"/>
    <w:unhideWhenUsed/>
    <w:rsid w:val="00E56313"/>
    <w:rPr>
      <w:rFonts w:ascii="Arial" w:hAnsi="Arial"/>
      <w:color w:val="0000FF"/>
      <w:u w:val="single"/>
    </w:rPr>
  </w:style>
  <w:style w:type="paragraph" w:customStyle="1" w:styleId="TOCHeading">
    <w:name w:val="TOC Heading"/>
    <w:basedOn w:val="Heading1"/>
    <w:next w:val="Normal"/>
    <w:uiPriority w:val="39"/>
    <w:unhideWhenUsed/>
    <w:qFormat/>
    <w:rsid w:val="00E56313"/>
    <w:pPr>
      <w:spacing w:after="0" w:line="276" w:lineRule="auto"/>
      <w:outlineLvl w:val="9"/>
    </w:pPr>
    <w:rPr>
      <w:color w:val="365F91"/>
      <w:sz w:val="28"/>
      <w:szCs w:val="28"/>
    </w:rPr>
  </w:style>
  <w:style w:type="paragraph" w:styleId="FootnoteText">
    <w:name w:val="footnote text"/>
    <w:basedOn w:val="Normal"/>
    <w:link w:val="FootnoteTextChar"/>
    <w:uiPriority w:val="99"/>
    <w:unhideWhenUsed/>
    <w:rsid w:val="00A43AEA"/>
    <w:rPr>
      <w:sz w:val="16"/>
    </w:rPr>
  </w:style>
  <w:style w:type="character" w:customStyle="1" w:styleId="FootnoteTextChar">
    <w:name w:val="Footnote Text Char"/>
    <w:link w:val="FootnoteText"/>
    <w:uiPriority w:val="99"/>
    <w:rsid w:val="00A43AEA"/>
    <w:rPr>
      <w:rFonts w:ascii="Arial" w:hAnsi="Arial"/>
      <w:sz w:val="16"/>
      <w:szCs w:val="24"/>
      <w:lang w:val="en-US"/>
    </w:rPr>
  </w:style>
  <w:style w:type="paragraph" w:customStyle="1" w:styleId="TableBullet">
    <w:name w:val="Table Bullet"/>
    <w:basedOn w:val="TableCopy"/>
    <w:qFormat/>
    <w:rsid w:val="007E1B64"/>
    <w:pPr>
      <w:numPr>
        <w:numId w:val="32"/>
      </w:numPr>
      <w:spacing w:after="120"/>
      <w:ind w:left="346" w:hanging="346"/>
    </w:pPr>
  </w:style>
  <w:style w:type="character" w:styleId="PageNumber">
    <w:name w:val="page number"/>
    <w:uiPriority w:val="99"/>
    <w:semiHidden/>
    <w:unhideWhenUsed/>
    <w:rsid w:val="0065327B"/>
  </w:style>
  <w:style w:type="paragraph" w:styleId="TOC1">
    <w:name w:val="toc 1"/>
    <w:basedOn w:val="Normal"/>
    <w:next w:val="Normal"/>
    <w:autoRedefine/>
    <w:uiPriority w:val="39"/>
    <w:unhideWhenUsed/>
    <w:rsid w:val="00A37580"/>
    <w:pPr>
      <w:spacing w:before="120" w:after="0"/>
    </w:pPr>
    <w:rPr>
      <w:b/>
    </w:rPr>
  </w:style>
  <w:style w:type="paragraph" w:styleId="TOC2">
    <w:name w:val="toc 2"/>
    <w:basedOn w:val="Normal"/>
    <w:next w:val="Normal"/>
    <w:autoRedefine/>
    <w:uiPriority w:val="39"/>
    <w:unhideWhenUsed/>
    <w:rsid w:val="00A37580"/>
    <w:pPr>
      <w:spacing w:after="0"/>
      <w:ind w:left="200"/>
    </w:pPr>
    <w:rPr>
      <w:szCs w:val="22"/>
    </w:rPr>
  </w:style>
  <w:style w:type="paragraph" w:styleId="TOC4">
    <w:name w:val="toc 4"/>
    <w:basedOn w:val="Normal"/>
    <w:next w:val="Normal"/>
    <w:autoRedefine/>
    <w:uiPriority w:val="39"/>
    <w:unhideWhenUsed/>
    <w:rsid w:val="0065327B"/>
    <w:pPr>
      <w:spacing w:after="0"/>
      <w:ind w:left="600"/>
    </w:pPr>
    <w:rPr>
      <w:rFonts w:ascii="Cambria" w:hAnsi="Cambria"/>
      <w:szCs w:val="20"/>
    </w:rPr>
  </w:style>
  <w:style w:type="paragraph" w:styleId="TOC5">
    <w:name w:val="toc 5"/>
    <w:basedOn w:val="Normal"/>
    <w:next w:val="Normal"/>
    <w:autoRedefine/>
    <w:uiPriority w:val="39"/>
    <w:unhideWhenUsed/>
    <w:rsid w:val="0065327B"/>
    <w:pPr>
      <w:spacing w:after="0"/>
      <w:ind w:left="800"/>
    </w:pPr>
    <w:rPr>
      <w:rFonts w:ascii="Cambria" w:hAnsi="Cambria"/>
      <w:szCs w:val="20"/>
    </w:rPr>
  </w:style>
  <w:style w:type="paragraph" w:styleId="TOC6">
    <w:name w:val="toc 6"/>
    <w:basedOn w:val="Normal"/>
    <w:next w:val="Normal"/>
    <w:autoRedefine/>
    <w:uiPriority w:val="39"/>
    <w:unhideWhenUsed/>
    <w:rsid w:val="0065327B"/>
    <w:pPr>
      <w:spacing w:after="0"/>
      <w:ind w:left="1000"/>
    </w:pPr>
    <w:rPr>
      <w:rFonts w:ascii="Cambria" w:hAnsi="Cambria"/>
      <w:szCs w:val="20"/>
    </w:rPr>
  </w:style>
  <w:style w:type="paragraph" w:styleId="TOC7">
    <w:name w:val="toc 7"/>
    <w:basedOn w:val="Normal"/>
    <w:next w:val="Normal"/>
    <w:autoRedefine/>
    <w:uiPriority w:val="39"/>
    <w:unhideWhenUsed/>
    <w:rsid w:val="0065327B"/>
    <w:pPr>
      <w:spacing w:after="0"/>
      <w:ind w:left="1200"/>
    </w:pPr>
    <w:rPr>
      <w:rFonts w:ascii="Cambria" w:hAnsi="Cambria"/>
      <w:szCs w:val="20"/>
    </w:rPr>
  </w:style>
  <w:style w:type="paragraph" w:styleId="TOC8">
    <w:name w:val="toc 8"/>
    <w:basedOn w:val="Normal"/>
    <w:next w:val="Normal"/>
    <w:autoRedefine/>
    <w:uiPriority w:val="39"/>
    <w:unhideWhenUsed/>
    <w:rsid w:val="0065327B"/>
    <w:pPr>
      <w:spacing w:after="0"/>
      <w:ind w:left="1400"/>
    </w:pPr>
    <w:rPr>
      <w:rFonts w:ascii="Cambria" w:hAnsi="Cambria"/>
      <w:szCs w:val="20"/>
    </w:rPr>
  </w:style>
  <w:style w:type="paragraph" w:styleId="TOC9">
    <w:name w:val="toc 9"/>
    <w:basedOn w:val="Normal"/>
    <w:next w:val="Normal"/>
    <w:autoRedefine/>
    <w:uiPriority w:val="39"/>
    <w:unhideWhenUsed/>
    <w:rsid w:val="0065327B"/>
    <w:pPr>
      <w:spacing w:after="0"/>
      <w:ind w:left="1600"/>
    </w:pPr>
    <w:rPr>
      <w:rFonts w:ascii="Cambria" w:hAnsi="Cambria"/>
      <w:szCs w:val="20"/>
    </w:rPr>
  </w:style>
  <w:style w:type="paragraph" w:styleId="Header">
    <w:name w:val="header"/>
    <w:basedOn w:val="Normal"/>
    <w:link w:val="HeaderChar"/>
    <w:uiPriority w:val="99"/>
    <w:unhideWhenUsed/>
    <w:rsid w:val="007D0491"/>
    <w:pPr>
      <w:tabs>
        <w:tab w:val="center" w:pos="4320"/>
        <w:tab w:val="right" w:pos="8640"/>
      </w:tabs>
    </w:pPr>
  </w:style>
  <w:style w:type="character" w:customStyle="1" w:styleId="HeaderChar">
    <w:name w:val="Header Char"/>
    <w:link w:val="Header"/>
    <w:uiPriority w:val="99"/>
    <w:rsid w:val="007D0491"/>
    <w:rPr>
      <w:rFonts w:ascii="Arial" w:hAnsi="Arial"/>
      <w:szCs w:val="24"/>
      <w:lang w:val="en-US"/>
    </w:rPr>
  </w:style>
  <w:style w:type="paragraph" w:styleId="Footer">
    <w:name w:val="footer"/>
    <w:basedOn w:val="Normal"/>
    <w:link w:val="FooterChar"/>
    <w:uiPriority w:val="99"/>
    <w:unhideWhenUsed/>
    <w:rsid w:val="00BB7A08"/>
    <w:pPr>
      <w:tabs>
        <w:tab w:val="center" w:pos="4320"/>
        <w:tab w:val="right" w:pos="8640"/>
      </w:tabs>
    </w:pPr>
    <w:rPr>
      <w:sz w:val="16"/>
    </w:rPr>
  </w:style>
  <w:style w:type="character" w:customStyle="1" w:styleId="FooterChar">
    <w:name w:val="Footer Char"/>
    <w:link w:val="Footer"/>
    <w:uiPriority w:val="99"/>
    <w:rsid w:val="00BB7A08"/>
    <w:rPr>
      <w:rFonts w:ascii="Arial" w:hAnsi="Arial"/>
      <w:sz w:val="16"/>
      <w:szCs w:val="24"/>
    </w:r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BodyText">
    <w:name w:val="Body Text"/>
    <w:basedOn w:val="Normal"/>
    <w:link w:val="BodyTextChar"/>
    <w:uiPriority w:val="99"/>
    <w:semiHidden/>
    <w:unhideWhenUsed/>
    <w:rsid w:val="0061599A"/>
    <w:pPr>
      <w:spacing w:after="120"/>
    </w:pPr>
  </w:style>
  <w:style w:type="character" w:customStyle="1" w:styleId="BodyTextChar">
    <w:name w:val="Body Text Char"/>
    <w:link w:val="BodyText"/>
    <w:uiPriority w:val="99"/>
    <w:semiHidden/>
    <w:rsid w:val="0061599A"/>
    <w:rPr>
      <w:rFonts w:ascii="Tahoma" w:hAnsi="Tahoma"/>
      <w:szCs w:val="24"/>
      <w:lang w:val="en-US"/>
    </w:rPr>
  </w:style>
  <w:style w:type="character" w:styleId="FootnoteReference">
    <w:name w:val="footnote reference"/>
    <w:uiPriority w:val="99"/>
    <w:unhideWhenUsed/>
    <w:rsid w:val="00E56313"/>
    <w:rPr>
      <w:rFonts w:ascii="Arial" w:hAnsi="Arial"/>
      <w:vertAlign w:val="superscript"/>
    </w:rPr>
  </w:style>
  <w:style w:type="character" w:styleId="Strong">
    <w:name w:val="Strong"/>
    <w:uiPriority w:val="22"/>
    <w:qFormat/>
    <w:rsid w:val="00E56313"/>
    <w:rPr>
      <w:rFonts w:ascii="Arial" w:hAnsi="Arial"/>
      <w:b/>
      <w:bCs/>
    </w:rPr>
  </w:style>
  <w:style w:type="paragraph" w:styleId="Subtitle">
    <w:name w:val="Subtitle"/>
    <w:basedOn w:val="Normal"/>
    <w:next w:val="Normal"/>
    <w:link w:val="SubtitleChar"/>
    <w:uiPriority w:val="11"/>
    <w:qFormat/>
    <w:rsid w:val="00E56313"/>
    <w:pPr>
      <w:spacing w:after="60"/>
      <w:jc w:val="center"/>
      <w:outlineLvl w:val="1"/>
    </w:pPr>
    <w:rPr>
      <w:rFonts w:eastAsia="Times New Roman" w:cs="Times New Roman"/>
      <w:sz w:val="24"/>
    </w:rPr>
  </w:style>
  <w:style w:type="character" w:customStyle="1" w:styleId="SubtitleChar">
    <w:name w:val="Subtitle Char"/>
    <w:link w:val="Subtitle"/>
    <w:uiPriority w:val="11"/>
    <w:rsid w:val="00E56313"/>
    <w:rPr>
      <w:rFonts w:ascii="Arial" w:eastAsia="Times New Roman" w:hAnsi="Arial" w:cs="Times New Roman"/>
      <w:spacing w:val="-4"/>
      <w:sz w:val="24"/>
      <w:szCs w:val="24"/>
    </w:rPr>
  </w:style>
  <w:style w:type="character" w:styleId="Emphasis">
    <w:name w:val="Emphasis"/>
    <w:uiPriority w:val="20"/>
    <w:qFormat/>
    <w:rsid w:val="00E56313"/>
    <w:rPr>
      <w:rFonts w:ascii="Arial" w:hAnsi="Arial"/>
      <w:i/>
      <w:iCs/>
    </w:rPr>
  </w:style>
  <w:style w:type="character" w:customStyle="1" w:styleId="SubtleEmphasis">
    <w:name w:val="Subtle Emphasis"/>
    <w:uiPriority w:val="19"/>
    <w:qFormat/>
    <w:rsid w:val="00E56313"/>
    <w:rPr>
      <w:rFonts w:ascii="Arial" w:hAnsi="Arial"/>
      <w:i/>
      <w:iCs/>
      <w:color w:val="404040"/>
    </w:rPr>
  </w:style>
  <w:style w:type="character" w:customStyle="1" w:styleId="IntenseEmphasis">
    <w:name w:val="Intense Emphasis"/>
    <w:uiPriority w:val="21"/>
    <w:qFormat/>
    <w:rsid w:val="00E56313"/>
    <w:rPr>
      <w:rFonts w:ascii="Arial" w:hAnsi="Arial"/>
      <w:i/>
      <w:iCs/>
      <w:color w:val="5B9BD5"/>
    </w:rPr>
  </w:style>
  <w:style w:type="character" w:customStyle="1" w:styleId="SubtleReference">
    <w:name w:val="Subtle Reference"/>
    <w:uiPriority w:val="31"/>
    <w:qFormat/>
    <w:rsid w:val="00E56313"/>
    <w:rPr>
      <w:rFonts w:ascii="Arial" w:hAnsi="Arial"/>
      <w:smallCaps/>
      <w:color w:val="5A5A5A"/>
    </w:rPr>
  </w:style>
  <w:style w:type="character" w:customStyle="1" w:styleId="IntenseReference">
    <w:name w:val="Intense Reference"/>
    <w:uiPriority w:val="32"/>
    <w:qFormat/>
    <w:rsid w:val="00E56313"/>
    <w:rPr>
      <w:rFonts w:ascii="Arial" w:hAnsi="Arial"/>
      <w:b/>
      <w:bCs/>
      <w:smallCaps/>
      <w:color w:val="5B9BD5"/>
      <w:spacing w:val="5"/>
    </w:rPr>
  </w:style>
  <w:style w:type="character" w:customStyle="1" w:styleId="BookTitle">
    <w:name w:val="Book Title"/>
    <w:uiPriority w:val="33"/>
    <w:qFormat/>
    <w:rsid w:val="00E56313"/>
    <w:rPr>
      <w:rFonts w:ascii="Arial" w:hAnsi="Arial"/>
      <w:b/>
      <w:bCs/>
      <w:i/>
      <w:iCs/>
      <w:spacing w:val="5"/>
    </w:rPr>
  </w:style>
  <w:style w:type="character" w:customStyle="1" w:styleId="Heading6Char">
    <w:name w:val="Heading 6 Char"/>
    <w:link w:val="Heading6"/>
    <w:uiPriority w:val="9"/>
    <w:semiHidden/>
    <w:rsid w:val="00E56313"/>
    <w:rPr>
      <w:rFonts w:ascii="Arial" w:eastAsia="Times New Roman" w:hAnsi="Arial" w:cs="Times New Roman"/>
      <w:b/>
      <w:bCs/>
      <w:spacing w:val="-4"/>
      <w:sz w:val="18"/>
      <w:szCs w:val="22"/>
    </w:rPr>
  </w:style>
  <w:style w:type="character" w:customStyle="1" w:styleId="s1">
    <w:name w:val="s1"/>
    <w:rsid w:val="0028586F"/>
    <w:rPr>
      <w:spacing w:val="-8"/>
    </w:rPr>
  </w:style>
  <w:style w:type="character" w:customStyle="1" w:styleId="apple-converted-space">
    <w:name w:val="apple-converted-space"/>
    <w:rsid w:val="0028586F"/>
  </w:style>
  <w:style w:type="paragraph" w:customStyle="1" w:styleId="p2">
    <w:name w:val="p2"/>
    <w:basedOn w:val="Normal"/>
    <w:rsid w:val="0028586F"/>
    <w:pPr>
      <w:spacing w:after="86" w:line="165" w:lineRule="atLeast"/>
    </w:pPr>
    <w:rPr>
      <w:rFonts w:ascii="VIC Light" w:hAnsi="VIC Light" w:cs="Times New Roman"/>
      <w:spacing w:val="0"/>
      <w:sz w:val="14"/>
      <w:szCs w:val="14"/>
      <w:lang w:val="en-GB" w:eastAsia="en-GB"/>
    </w:rPr>
  </w:style>
  <w:style w:type="paragraph" w:customStyle="1" w:styleId="p3">
    <w:name w:val="p3"/>
    <w:basedOn w:val="Normal"/>
    <w:rsid w:val="0028586F"/>
    <w:pPr>
      <w:spacing w:after="86" w:line="165" w:lineRule="atLeast"/>
      <w:ind w:left="128" w:hanging="128"/>
    </w:pPr>
    <w:rPr>
      <w:rFonts w:ascii="VIC Light" w:hAnsi="VIC Light" w:cs="Times New Roman"/>
      <w:spacing w:val="0"/>
      <w:sz w:val="14"/>
      <w:szCs w:val="14"/>
      <w:lang w:val="en-GB" w:eastAsia="en-GB"/>
    </w:rPr>
  </w:style>
  <w:style w:type="paragraph" w:customStyle="1" w:styleId="p4">
    <w:name w:val="p4"/>
    <w:basedOn w:val="Normal"/>
    <w:rsid w:val="0028586F"/>
    <w:pPr>
      <w:spacing w:after="170" w:line="165" w:lineRule="atLeast"/>
      <w:ind w:left="128" w:hanging="128"/>
    </w:pPr>
    <w:rPr>
      <w:rFonts w:ascii="VIC Light" w:hAnsi="VIC Light" w:cs="Times New Roman"/>
      <w:spacing w:val="0"/>
      <w:sz w:val="14"/>
      <w:szCs w:val="14"/>
      <w:lang w:val="en-GB" w:eastAsia="en-GB"/>
    </w:rPr>
  </w:style>
  <w:style w:type="paragraph" w:customStyle="1" w:styleId="p5">
    <w:name w:val="p5"/>
    <w:basedOn w:val="Normal"/>
    <w:rsid w:val="0028586F"/>
    <w:pPr>
      <w:spacing w:before="128" w:after="86" w:line="225" w:lineRule="atLeast"/>
    </w:pPr>
    <w:rPr>
      <w:rFonts w:ascii="VIC" w:hAnsi="VIC" w:cs="Times New Roman"/>
      <w:color w:val="64ACE5"/>
      <w:spacing w:val="0"/>
      <w:szCs w:val="20"/>
      <w:lang w:val="en-GB" w:eastAsia="en-GB"/>
    </w:rPr>
  </w:style>
  <w:style w:type="paragraph" w:customStyle="1" w:styleId="p6">
    <w:name w:val="p6"/>
    <w:basedOn w:val="Normal"/>
    <w:rsid w:val="0028586F"/>
    <w:pPr>
      <w:spacing w:after="86" w:line="165" w:lineRule="atLeast"/>
    </w:pPr>
    <w:rPr>
      <w:rFonts w:ascii="VIC" w:hAnsi="VIC" w:cs="Times New Roman"/>
      <w:color w:val="414141"/>
      <w:spacing w:val="0"/>
      <w:sz w:val="14"/>
      <w:szCs w:val="14"/>
      <w:lang w:val="en-GB" w:eastAsia="en-GB"/>
    </w:rPr>
  </w:style>
  <w:style w:type="paragraph" w:customStyle="1" w:styleId="p7">
    <w:name w:val="p7"/>
    <w:basedOn w:val="Normal"/>
    <w:rsid w:val="0028586F"/>
    <w:pPr>
      <w:spacing w:after="86" w:line="165" w:lineRule="atLeast"/>
    </w:pPr>
    <w:rPr>
      <w:rFonts w:ascii="VIC" w:hAnsi="VIC" w:cs="Times New Roman"/>
      <w:color w:val="64ACE5"/>
      <w:spacing w:val="0"/>
      <w:sz w:val="14"/>
      <w:szCs w:val="14"/>
      <w:lang w:val="en-GB" w:eastAsia="en-GB"/>
    </w:rPr>
  </w:style>
  <w:style w:type="paragraph" w:customStyle="1" w:styleId="p8">
    <w:name w:val="p8"/>
    <w:basedOn w:val="Normal"/>
    <w:rsid w:val="0028586F"/>
    <w:pPr>
      <w:spacing w:after="86" w:line="165" w:lineRule="atLeast"/>
    </w:pPr>
    <w:rPr>
      <w:rFonts w:ascii="VIC" w:hAnsi="VIC" w:cs="Times New Roman"/>
      <w:spacing w:val="0"/>
      <w:sz w:val="14"/>
      <w:szCs w:val="14"/>
      <w:lang w:val="en-GB" w:eastAsia="en-GB"/>
    </w:rPr>
  </w:style>
  <w:style w:type="paragraph" w:customStyle="1" w:styleId="p9">
    <w:name w:val="p9"/>
    <w:basedOn w:val="Normal"/>
    <w:rsid w:val="0028586F"/>
    <w:pPr>
      <w:spacing w:after="86" w:line="165" w:lineRule="atLeast"/>
    </w:pPr>
    <w:rPr>
      <w:rFonts w:ascii="VIC Light" w:hAnsi="VIC Light" w:cs="Times New Roman"/>
      <w:spacing w:val="0"/>
      <w:sz w:val="14"/>
      <w:szCs w:val="14"/>
      <w:lang w:val="en-GB" w:eastAsia="en-GB"/>
    </w:rPr>
  </w:style>
  <w:style w:type="paragraph" w:customStyle="1" w:styleId="p10">
    <w:name w:val="p10"/>
    <w:basedOn w:val="Normal"/>
    <w:rsid w:val="0028586F"/>
    <w:pPr>
      <w:spacing w:before="86" w:after="86" w:line="165" w:lineRule="atLeast"/>
    </w:pPr>
    <w:rPr>
      <w:rFonts w:ascii="VIC" w:hAnsi="VIC" w:cs="Times New Roman"/>
      <w:spacing w:val="0"/>
      <w:sz w:val="14"/>
      <w:szCs w:val="14"/>
      <w:lang w:val="en-GB" w:eastAsia="en-GB"/>
    </w:rPr>
  </w:style>
  <w:style w:type="paragraph" w:customStyle="1" w:styleId="p11">
    <w:name w:val="p11"/>
    <w:basedOn w:val="Normal"/>
    <w:rsid w:val="0028586F"/>
    <w:pPr>
      <w:spacing w:before="86" w:after="86" w:line="165" w:lineRule="atLeast"/>
    </w:pPr>
    <w:rPr>
      <w:rFonts w:ascii="VIC" w:hAnsi="VIC" w:cs="Times New Roman"/>
      <w:spacing w:val="0"/>
      <w:sz w:val="14"/>
      <w:szCs w:val="14"/>
      <w:lang w:val="en-GB" w:eastAsia="en-GB"/>
    </w:rPr>
  </w:style>
  <w:style w:type="paragraph" w:customStyle="1" w:styleId="p12">
    <w:name w:val="p12"/>
    <w:basedOn w:val="Normal"/>
    <w:rsid w:val="0028586F"/>
    <w:pPr>
      <w:spacing w:after="86" w:line="165" w:lineRule="atLeast"/>
      <w:ind w:left="170" w:hanging="170"/>
    </w:pPr>
    <w:rPr>
      <w:rFonts w:ascii="VIC" w:hAnsi="VIC" w:cs="Times New Roman"/>
      <w:spacing w:val="0"/>
      <w:sz w:val="14"/>
      <w:szCs w:val="14"/>
      <w:lang w:val="en-GB" w:eastAsia="en-GB"/>
    </w:rPr>
  </w:style>
  <w:style w:type="paragraph" w:customStyle="1" w:styleId="p13">
    <w:name w:val="p13"/>
    <w:basedOn w:val="Normal"/>
    <w:rsid w:val="0028586F"/>
    <w:pPr>
      <w:spacing w:after="170" w:line="165" w:lineRule="atLeast"/>
      <w:ind w:left="170" w:hanging="170"/>
    </w:pPr>
    <w:rPr>
      <w:rFonts w:ascii="VIC" w:hAnsi="VIC" w:cs="Times New Roman"/>
      <w:spacing w:val="0"/>
      <w:sz w:val="14"/>
      <w:szCs w:val="14"/>
      <w:lang w:val="en-GB" w:eastAsia="en-GB"/>
    </w:rPr>
  </w:style>
  <w:style w:type="paragraph" w:customStyle="1" w:styleId="p14">
    <w:name w:val="p14"/>
    <w:basedOn w:val="Normal"/>
    <w:rsid w:val="0028586F"/>
    <w:pPr>
      <w:spacing w:before="128" w:after="86" w:line="225" w:lineRule="atLeast"/>
    </w:pPr>
    <w:rPr>
      <w:rFonts w:ascii="VIC" w:hAnsi="VIC" w:cs="Times New Roman"/>
      <w:color w:val="64ACE5"/>
      <w:spacing w:val="0"/>
      <w:szCs w:val="20"/>
      <w:lang w:val="en-GB" w:eastAsia="en-GB"/>
    </w:rPr>
  </w:style>
  <w:style w:type="paragraph" w:customStyle="1" w:styleId="p15">
    <w:name w:val="p15"/>
    <w:basedOn w:val="Normal"/>
    <w:rsid w:val="0028586F"/>
    <w:pPr>
      <w:spacing w:before="128" w:after="213" w:line="180" w:lineRule="atLeast"/>
    </w:pPr>
    <w:rPr>
      <w:rFonts w:ascii="VIC" w:hAnsi="VIC" w:cs="Times New Roman"/>
      <w:color w:val="64ACE5"/>
      <w:spacing w:val="0"/>
      <w:sz w:val="15"/>
      <w:szCs w:val="15"/>
      <w:lang w:val="en-GB" w:eastAsia="en-GB"/>
    </w:rPr>
  </w:style>
  <w:style w:type="paragraph" w:customStyle="1" w:styleId="p16">
    <w:name w:val="p16"/>
    <w:basedOn w:val="Normal"/>
    <w:rsid w:val="0028586F"/>
    <w:pPr>
      <w:spacing w:after="86" w:line="165" w:lineRule="atLeast"/>
    </w:pPr>
    <w:rPr>
      <w:rFonts w:ascii="VIC" w:hAnsi="VIC" w:cs="Times New Roman"/>
      <w:color w:val="414141"/>
      <w:spacing w:val="0"/>
      <w:sz w:val="14"/>
      <w:szCs w:val="14"/>
      <w:lang w:val="en-GB" w:eastAsia="en-GB"/>
    </w:rPr>
  </w:style>
  <w:style w:type="character" w:customStyle="1" w:styleId="s2">
    <w:name w:val="s2"/>
    <w:rsid w:val="0028586F"/>
    <w:rPr>
      <w:rFonts w:ascii="VIC" w:hAnsi="VIC" w:hint="default"/>
      <w:sz w:val="14"/>
      <w:szCs w:val="14"/>
    </w:rPr>
  </w:style>
  <w:style w:type="character" w:customStyle="1" w:styleId="apple-tab-span">
    <w:name w:val="apple-tab-span"/>
    <w:rsid w:val="0028586F"/>
  </w:style>
  <w:style w:type="paragraph" w:styleId="TOC3">
    <w:name w:val="toc 3"/>
    <w:basedOn w:val="Normal"/>
    <w:next w:val="Normal"/>
    <w:autoRedefine/>
    <w:uiPriority w:val="39"/>
    <w:unhideWhenUsed/>
    <w:rsid w:val="00467287"/>
    <w:pPr>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87228">
      <w:bodyDiv w:val="1"/>
      <w:marLeft w:val="0"/>
      <w:marRight w:val="0"/>
      <w:marTop w:val="0"/>
      <w:marBottom w:val="0"/>
      <w:divBdr>
        <w:top w:val="none" w:sz="0" w:space="0" w:color="auto"/>
        <w:left w:val="none" w:sz="0" w:space="0" w:color="auto"/>
        <w:bottom w:val="none" w:sz="0" w:space="0" w:color="auto"/>
        <w:right w:val="none" w:sz="0" w:space="0" w:color="auto"/>
      </w:divBdr>
    </w:div>
    <w:div w:id="70154430">
      <w:bodyDiv w:val="1"/>
      <w:marLeft w:val="0"/>
      <w:marRight w:val="0"/>
      <w:marTop w:val="0"/>
      <w:marBottom w:val="0"/>
      <w:divBdr>
        <w:top w:val="none" w:sz="0" w:space="0" w:color="auto"/>
        <w:left w:val="none" w:sz="0" w:space="0" w:color="auto"/>
        <w:bottom w:val="none" w:sz="0" w:space="0" w:color="auto"/>
        <w:right w:val="none" w:sz="0" w:space="0" w:color="auto"/>
      </w:divBdr>
    </w:div>
    <w:div w:id="95760725">
      <w:bodyDiv w:val="1"/>
      <w:marLeft w:val="0"/>
      <w:marRight w:val="0"/>
      <w:marTop w:val="0"/>
      <w:marBottom w:val="0"/>
      <w:divBdr>
        <w:top w:val="none" w:sz="0" w:space="0" w:color="auto"/>
        <w:left w:val="none" w:sz="0" w:space="0" w:color="auto"/>
        <w:bottom w:val="none" w:sz="0" w:space="0" w:color="auto"/>
        <w:right w:val="none" w:sz="0" w:space="0" w:color="auto"/>
      </w:divBdr>
    </w:div>
    <w:div w:id="98917552">
      <w:bodyDiv w:val="1"/>
      <w:marLeft w:val="0"/>
      <w:marRight w:val="0"/>
      <w:marTop w:val="0"/>
      <w:marBottom w:val="0"/>
      <w:divBdr>
        <w:top w:val="none" w:sz="0" w:space="0" w:color="auto"/>
        <w:left w:val="none" w:sz="0" w:space="0" w:color="auto"/>
        <w:bottom w:val="none" w:sz="0" w:space="0" w:color="auto"/>
        <w:right w:val="none" w:sz="0" w:space="0" w:color="auto"/>
      </w:divBdr>
    </w:div>
    <w:div w:id="103423604">
      <w:bodyDiv w:val="1"/>
      <w:marLeft w:val="0"/>
      <w:marRight w:val="0"/>
      <w:marTop w:val="0"/>
      <w:marBottom w:val="0"/>
      <w:divBdr>
        <w:top w:val="none" w:sz="0" w:space="0" w:color="auto"/>
        <w:left w:val="none" w:sz="0" w:space="0" w:color="auto"/>
        <w:bottom w:val="none" w:sz="0" w:space="0" w:color="auto"/>
        <w:right w:val="none" w:sz="0" w:space="0" w:color="auto"/>
      </w:divBdr>
    </w:div>
    <w:div w:id="115367405">
      <w:bodyDiv w:val="1"/>
      <w:marLeft w:val="0"/>
      <w:marRight w:val="0"/>
      <w:marTop w:val="0"/>
      <w:marBottom w:val="0"/>
      <w:divBdr>
        <w:top w:val="none" w:sz="0" w:space="0" w:color="auto"/>
        <w:left w:val="none" w:sz="0" w:space="0" w:color="auto"/>
        <w:bottom w:val="none" w:sz="0" w:space="0" w:color="auto"/>
        <w:right w:val="none" w:sz="0" w:space="0" w:color="auto"/>
      </w:divBdr>
    </w:div>
    <w:div w:id="233052582">
      <w:bodyDiv w:val="1"/>
      <w:marLeft w:val="0"/>
      <w:marRight w:val="0"/>
      <w:marTop w:val="0"/>
      <w:marBottom w:val="0"/>
      <w:divBdr>
        <w:top w:val="none" w:sz="0" w:space="0" w:color="auto"/>
        <w:left w:val="none" w:sz="0" w:space="0" w:color="auto"/>
        <w:bottom w:val="none" w:sz="0" w:space="0" w:color="auto"/>
        <w:right w:val="none" w:sz="0" w:space="0" w:color="auto"/>
      </w:divBdr>
    </w:div>
    <w:div w:id="233274303">
      <w:bodyDiv w:val="1"/>
      <w:marLeft w:val="0"/>
      <w:marRight w:val="0"/>
      <w:marTop w:val="0"/>
      <w:marBottom w:val="0"/>
      <w:divBdr>
        <w:top w:val="none" w:sz="0" w:space="0" w:color="auto"/>
        <w:left w:val="none" w:sz="0" w:space="0" w:color="auto"/>
        <w:bottom w:val="none" w:sz="0" w:space="0" w:color="auto"/>
        <w:right w:val="none" w:sz="0" w:space="0" w:color="auto"/>
      </w:divBdr>
    </w:div>
    <w:div w:id="301615400">
      <w:bodyDiv w:val="1"/>
      <w:marLeft w:val="0"/>
      <w:marRight w:val="0"/>
      <w:marTop w:val="0"/>
      <w:marBottom w:val="0"/>
      <w:divBdr>
        <w:top w:val="none" w:sz="0" w:space="0" w:color="auto"/>
        <w:left w:val="none" w:sz="0" w:space="0" w:color="auto"/>
        <w:bottom w:val="none" w:sz="0" w:space="0" w:color="auto"/>
        <w:right w:val="none" w:sz="0" w:space="0" w:color="auto"/>
      </w:divBdr>
    </w:div>
    <w:div w:id="306323064">
      <w:bodyDiv w:val="1"/>
      <w:marLeft w:val="0"/>
      <w:marRight w:val="0"/>
      <w:marTop w:val="0"/>
      <w:marBottom w:val="0"/>
      <w:divBdr>
        <w:top w:val="none" w:sz="0" w:space="0" w:color="auto"/>
        <w:left w:val="none" w:sz="0" w:space="0" w:color="auto"/>
        <w:bottom w:val="none" w:sz="0" w:space="0" w:color="auto"/>
        <w:right w:val="none" w:sz="0" w:space="0" w:color="auto"/>
      </w:divBdr>
    </w:div>
    <w:div w:id="381054267">
      <w:bodyDiv w:val="1"/>
      <w:marLeft w:val="0"/>
      <w:marRight w:val="0"/>
      <w:marTop w:val="0"/>
      <w:marBottom w:val="0"/>
      <w:divBdr>
        <w:top w:val="none" w:sz="0" w:space="0" w:color="auto"/>
        <w:left w:val="none" w:sz="0" w:space="0" w:color="auto"/>
        <w:bottom w:val="none" w:sz="0" w:space="0" w:color="auto"/>
        <w:right w:val="none" w:sz="0" w:space="0" w:color="auto"/>
      </w:divBdr>
    </w:div>
    <w:div w:id="388192269">
      <w:bodyDiv w:val="1"/>
      <w:marLeft w:val="0"/>
      <w:marRight w:val="0"/>
      <w:marTop w:val="0"/>
      <w:marBottom w:val="0"/>
      <w:divBdr>
        <w:top w:val="none" w:sz="0" w:space="0" w:color="auto"/>
        <w:left w:val="none" w:sz="0" w:space="0" w:color="auto"/>
        <w:bottom w:val="none" w:sz="0" w:space="0" w:color="auto"/>
        <w:right w:val="none" w:sz="0" w:space="0" w:color="auto"/>
      </w:divBdr>
    </w:div>
    <w:div w:id="443383544">
      <w:bodyDiv w:val="1"/>
      <w:marLeft w:val="0"/>
      <w:marRight w:val="0"/>
      <w:marTop w:val="0"/>
      <w:marBottom w:val="0"/>
      <w:divBdr>
        <w:top w:val="none" w:sz="0" w:space="0" w:color="auto"/>
        <w:left w:val="none" w:sz="0" w:space="0" w:color="auto"/>
        <w:bottom w:val="none" w:sz="0" w:space="0" w:color="auto"/>
        <w:right w:val="none" w:sz="0" w:space="0" w:color="auto"/>
      </w:divBdr>
    </w:div>
    <w:div w:id="453644020">
      <w:bodyDiv w:val="1"/>
      <w:marLeft w:val="0"/>
      <w:marRight w:val="0"/>
      <w:marTop w:val="0"/>
      <w:marBottom w:val="0"/>
      <w:divBdr>
        <w:top w:val="none" w:sz="0" w:space="0" w:color="auto"/>
        <w:left w:val="none" w:sz="0" w:space="0" w:color="auto"/>
        <w:bottom w:val="none" w:sz="0" w:space="0" w:color="auto"/>
        <w:right w:val="none" w:sz="0" w:space="0" w:color="auto"/>
      </w:divBdr>
    </w:div>
    <w:div w:id="521482170">
      <w:bodyDiv w:val="1"/>
      <w:marLeft w:val="0"/>
      <w:marRight w:val="0"/>
      <w:marTop w:val="0"/>
      <w:marBottom w:val="0"/>
      <w:divBdr>
        <w:top w:val="none" w:sz="0" w:space="0" w:color="auto"/>
        <w:left w:val="none" w:sz="0" w:space="0" w:color="auto"/>
        <w:bottom w:val="none" w:sz="0" w:space="0" w:color="auto"/>
        <w:right w:val="none" w:sz="0" w:space="0" w:color="auto"/>
      </w:divBdr>
      <w:divsChild>
        <w:div w:id="77021845">
          <w:marLeft w:val="547"/>
          <w:marRight w:val="0"/>
          <w:marTop w:val="120"/>
          <w:marBottom w:val="0"/>
          <w:divBdr>
            <w:top w:val="none" w:sz="0" w:space="0" w:color="auto"/>
            <w:left w:val="none" w:sz="0" w:space="0" w:color="auto"/>
            <w:bottom w:val="none" w:sz="0" w:space="0" w:color="auto"/>
            <w:right w:val="none" w:sz="0" w:space="0" w:color="auto"/>
          </w:divBdr>
        </w:div>
        <w:div w:id="196042767">
          <w:marLeft w:val="1166"/>
          <w:marRight w:val="0"/>
          <w:marTop w:val="252"/>
          <w:marBottom w:val="0"/>
          <w:divBdr>
            <w:top w:val="none" w:sz="0" w:space="0" w:color="auto"/>
            <w:left w:val="none" w:sz="0" w:space="0" w:color="auto"/>
            <w:bottom w:val="none" w:sz="0" w:space="0" w:color="auto"/>
            <w:right w:val="none" w:sz="0" w:space="0" w:color="auto"/>
          </w:divBdr>
        </w:div>
        <w:div w:id="203835603">
          <w:marLeft w:val="547"/>
          <w:marRight w:val="0"/>
          <w:marTop w:val="134"/>
          <w:marBottom w:val="0"/>
          <w:divBdr>
            <w:top w:val="none" w:sz="0" w:space="0" w:color="auto"/>
            <w:left w:val="none" w:sz="0" w:space="0" w:color="auto"/>
            <w:bottom w:val="none" w:sz="0" w:space="0" w:color="auto"/>
            <w:right w:val="none" w:sz="0" w:space="0" w:color="auto"/>
          </w:divBdr>
        </w:div>
        <w:div w:id="206993194">
          <w:marLeft w:val="547"/>
          <w:marRight w:val="0"/>
          <w:marTop w:val="300"/>
          <w:marBottom w:val="0"/>
          <w:divBdr>
            <w:top w:val="none" w:sz="0" w:space="0" w:color="auto"/>
            <w:left w:val="none" w:sz="0" w:space="0" w:color="auto"/>
            <w:bottom w:val="none" w:sz="0" w:space="0" w:color="auto"/>
            <w:right w:val="none" w:sz="0" w:space="0" w:color="auto"/>
          </w:divBdr>
        </w:div>
        <w:div w:id="409084634">
          <w:marLeft w:val="547"/>
          <w:marRight w:val="0"/>
          <w:marTop w:val="120"/>
          <w:marBottom w:val="0"/>
          <w:divBdr>
            <w:top w:val="none" w:sz="0" w:space="0" w:color="auto"/>
            <w:left w:val="none" w:sz="0" w:space="0" w:color="auto"/>
            <w:bottom w:val="none" w:sz="0" w:space="0" w:color="auto"/>
            <w:right w:val="none" w:sz="0" w:space="0" w:color="auto"/>
          </w:divBdr>
        </w:div>
        <w:div w:id="561913708">
          <w:marLeft w:val="547"/>
          <w:marRight w:val="0"/>
          <w:marTop w:val="300"/>
          <w:marBottom w:val="0"/>
          <w:divBdr>
            <w:top w:val="none" w:sz="0" w:space="0" w:color="auto"/>
            <w:left w:val="none" w:sz="0" w:space="0" w:color="auto"/>
            <w:bottom w:val="none" w:sz="0" w:space="0" w:color="auto"/>
            <w:right w:val="none" w:sz="0" w:space="0" w:color="auto"/>
          </w:divBdr>
        </w:div>
        <w:div w:id="628977356">
          <w:marLeft w:val="547"/>
          <w:marRight w:val="0"/>
          <w:marTop w:val="300"/>
          <w:marBottom w:val="0"/>
          <w:divBdr>
            <w:top w:val="none" w:sz="0" w:space="0" w:color="auto"/>
            <w:left w:val="none" w:sz="0" w:space="0" w:color="auto"/>
            <w:bottom w:val="none" w:sz="0" w:space="0" w:color="auto"/>
            <w:right w:val="none" w:sz="0" w:space="0" w:color="auto"/>
          </w:divBdr>
        </w:div>
        <w:div w:id="647708009">
          <w:marLeft w:val="547"/>
          <w:marRight w:val="0"/>
          <w:marTop w:val="300"/>
          <w:marBottom w:val="0"/>
          <w:divBdr>
            <w:top w:val="none" w:sz="0" w:space="0" w:color="auto"/>
            <w:left w:val="none" w:sz="0" w:space="0" w:color="auto"/>
            <w:bottom w:val="none" w:sz="0" w:space="0" w:color="auto"/>
            <w:right w:val="none" w:sz="0" w:space="0" w:color="auto"/>
          </w:divBdr>
        </w:div>
        <w:div w:id="698509658">
          <w:marLeft w:val="547"/>
          <w:marRight w:val="0"/>
          <w:marTop w:val="300"/>
          <w:marBottom w:val="0"/>
          <w:divBdr>
            <w:top w:val="none" w:sz="0" w:space="0" w:color="auto"/>
            <w:left w:val="none" w:sz="0" w:space="0" w:color="auto"/>
            <w:bottom w:val="none" w:sz="0" w:space="0" w:color="auto"/>
            <w:right w:val="none" w:sz="0" w:space="0" w:color="auto"/>
          </w:divBdr>
        </w:div>
        <w:div w:id="718362254">
          <w:marLeft w:val="547"/>
          <w:marRight w:val="0"/>
          <w:marTop w:val="120"/>
          <w:marBottom w:val="0"/>
          <w:divBdr>
            <w:top w:val="none" w:sz="0" w:space="0" w:color="auto"/>
            <w:left w:val="none" w:sz="0" w:space="0" w:color="auto"/>
            <w:bottom w:val="none" w:sz="0" w:space="0" w:color="auto"/>
            <w:right w:val="none" w:sz="0" w:space="0" w:color="auto"/>
          </w:divBdr>
        </w:div>
        <w:div w:id="724524322">
          <w:marLeft w:val="547"/>
          <w:marRight w:val="0"/>
          <w:marTop w:val="300"/>
          <w:marBottom w:val="0"/>
          <w:divBdr>
            <w:top w:val="none" w:sz="0" w:space="0" w:color="auto"/>
            <w:left w:val="none" w:sz="0" w:space="0" w:color="auto"/>
            <w:bottom w:val="none" w:sz="0" w:space="0" w:color="auto"/>
            <w:right w:val="none" w:sz="0" w:space="0" w:color="auto"/>
          </w:divBdr>
        </w:div>
        <w:div w:id="860052576">
          <w:marLeft w:val="1166"/>
          <w:marRight w:val="0"/>
          <w:marTop w:val="252"/>
          <w:marBottom w:val="0"/>
          <w:divBdr>
            <w:top w:val="none" w:sz="0" w:space="0" w:color="auto"/>
            <w:left w:val="none" w:sz="0" w:space="0" w:color="auto"/>
            <w:bottom w:val="none" w:sz="0" w:space="0" w:color="auto"/>
            <w:right w:val="none" w:sz="0" w:space="0" w:color="auto"/>
          </w:divBdr>
        </w:div>
        <w:div w:id="869148766">
          <w:marLeft w:val="547"/>
          <w:marRight w:val="0"/>
          <w:marTop w:val="300"/>
          <w:marBottom w:val="0"/>
          <w:divBdr>
            <w:top w:val="none" w:sz="0" w:space="0" w:color="auto"/>
            <w:left w:val="none" w:sz="0" w:space="0" w:color="auto"/>
            <w:bottom w:val="none" w:sz="0" w:space="0" w:color="auto"/>
            <w:right w:val="none" w:sz="0" w:space="0" w:color="auto"/>
          </w:divBdr>
        </w:div>
        <w:div w:id="899706260">
          <w:marLeft w:val="547"/>
          <w:marRight w:val="0"/>
          <w:marTop w:val="300"/>
          <w:marBottom w:val="0"/>
          <w:divBdr>
            <w:top w:val="none" w:sz="0" w:space="0" w:color="auto"/>
            <w:left w:val="none" w:sz="0" w:space="0" w:color="auto"/>
            <w:bottom w:val="none" w:sz="0" w:space="0" w:color="auto"/>
            <w:right w:val="none" w:sz="0" w:space="0" w:color="auto"/>
          </w:divBdr>
        </w:div>
        <w:div w:id="926382462">
          <w:marLeft w:val="1166"/>
          <w:marRight w:val="0"/>
          <w:marTop w:val="252"/>
          <w:marBottom w:val="0"/>
          <w:divBdr>
            <w:top w:val="none" w:sz="0" w:space="0" w:color="auto"/>
            <w:left w:val="none" w:sz="0" w:space="0" w:color="auto"/>
            <w:bottom w:val="none" w:sz="0" w:space="0" w:color="auto"/>
            <w:right w:val="none" w:sz="0" w:space="0" w:color="auto"/>
          </w:divBdr>
        </w:div>
        <w:div w:id="958874305">
          <w:marLeft w:val="547"/>
          <w:marRight w:val="0"/>
          <w:marTop w:val="300"/>
          <w:marBottom w:val="0"/>
          <w:divBdr>
            <w:top w:val="none" w:sz="0" w:space="0" w:color="auto"/>
            <w:left w:val="none" w:sz="0" w:space="0" w:color="auto"/>
            <w:bottom w:val="none" w:sz="0" w:space="0" w:color="auto"/>
            <w:right w:val="none" w:sz="0" w:space="0" w:color="auto"/>
          </w:divBdr>
        </w:div>
        <w:div w:id="1001547530">
          <w:marLeft w:val="547"/>
          <w:marRight w:val="0"/>
          <w:marTop w:val="134"/>
          <w:marBottom w:val="0"/>
          <w:divBdr>
            <w:top w:val="none" w:sz="0" w:space="0" w:color="auto"/>
            <w:left w:val="none" w:sz="0" w:space="0" w:color="auto"/>
            <w:bottom w:val="none" w:sz="0" w:space="0" w:color="auto"/>
            <w:right w:val="none" w:sz="0" w:space="0" w:color="auto"/>
          </w:divBdr>
        </w:div>
        <w:div w:id="1044401519">
          <w:marLeft w:val="547"/>
          <w:marRight w:val="0"/>
          <w:marTop w:val="300"/>
          <w:marBottom w:val="0"/>
          <w:divBdr>
            <w:top w:val="none" w:sz="0" w:space="0" w:color="auto"/>
            <w:left w:val="none" w:sz="0" w:space="0" w:color="auto"/>
            <w:bottom w:val="none" w:sz="0" w:space="0" w:color="auto"/>
            <w:right w:val="none" w:sz="0" w:space="0" w:color="auto"/>
          </w:divBdr>
        </w:div>
        <w:div w:id="1046174849">
          <w:marLeft w:val="547"/>
          <w:marRight w:val="0"/>
          <w:marTop w:val="300"/>
          <w:marBottom w:val="0"/>
          <w:divBdr>
            <w:top w:val="none" w:sz="0" w:space="0" w:color="auto"/>
            <w:left w:val="none" w:sz="0" w:space="0" w:color="auto"/>
            <w:bottom w:val="none" w:sz="0" w:space="0" w:color="auto"/>
            <w:right w:val="none" w:sz="0" w:space="0" w:color="auto"/>
          </w:divBdr>
        </w:div>
        <w:div w:id="1052073694">
          <w:marLeft w:val="547"/>
          <w:marRight w:val="0"/>
          <w:marTop w:val="120"/>
          <w:marBottom w:val="0"/>
          <w:divBdr>
            <w:top w:val="none" w:sz="0" w:space="0" w:color="auto"/>
            <w:left w:val="none" w:sz="0" w:space="0" w:color="auto"/>
            <w:bottom w:val="none" w:sz="0" w:space="0" w:color="auto"/>
            <w:right w:val="none" w:sz="0" w:space="0" w:color="auto"/>
          </w:divBdr>
        </w:div>
        <w:div w:id="1055664410">
          <w:marLeft w:val="1166"/>
          <w:marRight w:val="0"/>
          <w:marTop w:val="252"/>
          <w:marBottom w:val="0"/>
          <w:divBdr>
            <w:top w:val="none" w:sz="0" w:space="0" w:color="auto"/>
            <w:left w:val="none" w:sz="0" w:space="0" w:color="auto"/>
            <w:bottom w:val="none" w:sz="0" w:space="0" w:color="auto"/>
            <w:right w:val="none" w:sz="0" w:space="0" w:color="auto"/>
          </w:divBdr>
        </w:div>
        <w:div w:id="1072195618">
          <w:marLeft w:val="547"/>
          <w:marRight w:val="0"/>
          <w:marTop w:val="115"/>
          <w:marBottom w:val="0"/>
          <w:divBdr>
            <w:top w:val="none" w:sz="0" w:space="0" w:color="auto"/>
            <w:left w:val="none" w:sz="0" w:space="0" w:color="auto"/>
            <w:bottom w:val="none" w:sz="0" w:space="0" w:color="auto"/>
            <w:right w:val="none" w:sz="0" w:space="0" w:color="auto"/>
          </w:divBdr>
        </w:div>
        <w:div w:id="1116485639">
          <w:marLeft w:val="547"/>
          <w:marRight w:val="0"/>
          <w:marTop w:val="300"/>
          <w:marBottom w:val="0"/>
          <w:divBdr>
            <w:top w:val="none" w:sz="0" w:space="0" w:color="auto"/>
            <w:left w:val="none" w:sz="0" w:space="0" w:color="auto"/>
            <w:bottom w:val="none" w:sz="0" w:space="0" w:color="auto"/>
            <w:right w:val="none" w:sz="0" w:space="0" w:color="auto"/>
          </w:divBdr>
        </w:div>
        <w:div w:id="1132789958">
          <w:marLeft w:val="547"/>
          <w:marRight w:val="0"/>
          <w:marTop w:val="300"/>
          <w:marBottom w:val="0"/>
          <w:divBdr>
            <w:top w:val="none" w:sz="0" w:space="0" w:color="auto"/>
            <w:left w:val="none" w:sz="0" w:space="0" w:color="auto"/>
            <w:bottom w:val="none" w:sz="0" w:space="0" w:color="auto"/>
            <w:right w:val="none" w:sz="0" w:space="0" w:color="auto"/>
          </w:divBdr>
        </w:div>
        <w:div w:id="1143234612">
          <w:marLeft w:val="547"/>
          <w:marRight w:val="0"/>
          <w:marTop w:val="115"/>
          <w:marBottom w:val="0"/>
          <w:divBdr>
            <w:top w:val="none" w:sz="0" w:space="0" w:color="auto"/>
            <w:left w:val="none" w:sz="0" w:space="0" w:color="auto"/>
            <w:bottom w:val="none" w:sz="0" w:space="0" w:color="auto"/>
            <w:right w:val="none" w:sz="0" w:space="0" w:color="auto"/>
          </w:divBdr>
        </w:div>
        <w:div w:id="1159542083">
          <w:marLeft w:val="547"/>
          <w:marRight w:val="0"/>
          <w:marTop w:val="300"/>
          <w:marBottom w:val="0"/>
          <w:divBdr>
            <w:top w:val="none" w:sz="0" w:space="0" w:color="auto"/>
            <w:left w:val="none" w:sz="0" w:space="0" w:color="auto"/>
            <w:bottom w:val="none" w:sz="0" w:space="0" w:color="auto"/>
            <w:right w:val="none" w:sz="0" w:space="0" w:color="auto"/>
          </w:divBdr>
        </w:div>
        <w:div w:id="1207183852">
          <w:marLeft w:val="547"/>
          <w:marRight w:val="0"/>
          <w:marTop w:val="134"/>
          <w:marBottom w:val="0"/>
          <w:divBdr>
            <w:top w:val="none" w:sz="0" w:space="0" w:color="auto"/>
            <w:left w:val="none" w:sz="0" w:space="0" w:color="auto"/>
            <w:bottom w:val="none" w:sz="0" w:space="0" w:color="auto"/>
            <w:right w:val="none" w:sz="0" w:space="0" w:color="auto"/>
          </w:divBdr>
        </w:div>
        <w:div w:id="1245606069">
          <w:marLeft w:val="547"/>
          <w:marRight w:val="0"/>
          <w:marTop w:val="134"/>
          <w:marBottom w:val="0"/>
          <w:divBdr>
            <w:top w:val="none" w:sz="0" w:space="0" w:color="auto"/>
            <w:left w:val="none" w:sz="0" w:space="0" w:color="auto"/>
            <w:bottom w:val="none" w:sz="0" w:space="0" w:color="auto"/>
            <w:right w:val="none" w:sz="0" w:space="0" w:color="auto"/>
          </w:divBdr>
        </w:div>
        <w:div w:id="1380665637">
          <w:marLeft w:val="547"/>
          <w:marRight w:val="0"/>
          <w:marTop w:val="134"/>
          <w:marBottom w:val="0"/>
          <w:divBdr>
            <w:top w:val="none" w:sz="0" w:space="0" w:color="auto"/>
            <w:left w:val="none" w:sz="0" w:space="0" w:color="auto"/>
            <w:bottom w:val="none" w:sz="0" w:space="0" w:color="auto"/>
            <w:right w:val="none" w:sz="0" w:space="0" w:color="auto"/>
          </w:divBdr>
        </w:div>
        <w:div w:id="1393768107">
          <w:marLeft w:val="547"/>
          <w:marRight w:val="0"/>
          <w:marTop w:val="300"/>
          <w:marBottom w:val="0"/>
          <w:divBdr>
            <w:top w:val="none" w:sz="0" w:space="0" w:color="auto"/>
            <w:left w:val="none" w:sz="0" w:space="0" w:color="auto"/>
            <w:bottom w:val="none" w:sz="0" w:space="0" w:color="auto"/>
            <w:right w:val="none" w:sz="0" w:space="0" w:color="auto"/>
          </w:divBdr>
        </w:div>
        <w:div w:id="1415280509">
          <w:marLeft w:val="547"/>
          <w:marRight w:val="0"/>
          <w:marTop w:val="300"/>
          <w:marBottom w:val="0"/>
          <w:divBdr>
            <w:top w:val="none" w:sz="0" w:space="0" w:color="auto"/>
            <w:left w:val="none" w:sz="0" w:space="0" w:color="auto"/>
            <w:bottom w:val="none" w:sz="0" w:space="0" w:color="auto"/>
            <w:right w:val="none" w:sz="0" w:space="0" w:color="auto"/>
          </w:divBdr>
        </w:div>
        <w:div w:id="1479028600">
          <w:marLeft w:val="547"/>
          <w:marRight w:val="0"/>
          <w:marTop w:val="300"/>
          <w:marBottom w:val="0"/>
          <w:divBdr>
            <w:top w:val="none" w:sz="0" w:space="0" w:color="auto"/>
            <w:left w:val="none" w:sz="0" w:space="0" w:color="auto"/>
            <w:bottom w:val="none" w:sz="0" w:space="0" w:color="auto"/>
            <w:right w:val="none" w:sz="0" w:space="0" w:color="auto"/>
          </w:divBdr>
        </w:div>
        <w:div w:id="1489401298">
          <w:marLeft w:val="547"/>
          <w:marRight w:val="0"/>
          <w:marTop w:val="300"/>
          <w:marBottom w:val="0"/>
          <w:divBdr>
            <w:top w:val="none" w:sz="0" w:space="0" w:color="auto"/>
            <w:left w:val="none" w:sz="0" w:space="0" w:color="auto"/>
            <w:bottom w:val="none" w:sz="0" w:space="0" w:color="auto"/>
            <w:right w:val="none" w:sz="0" w:space="0" w:color="auto"/>
          </w:divBdr>
        </w:div>
        <w:div w:id="1538424791">
          <w:marLeft w:val="547"/>
          <w:marRight w:val="0"/>
          <w:marTop w:val="300"/>
          <w:marBottom w:val="0"/>
          <w:divBdr>
            <w:top w:val="none" w:sz="0" w:space="0" w:color="auto"/>
            <w:left w:val="none" w:sz="0" w:space="0" w:color="auto"/>
            <w:bottom w:val="none" w:sz="0" w:space="0" w:color="auto"/>
            <w:right w:val="none" w:sz="0" w:space="0" w:color="auto"/>
          </w:divBdr>
        </w:div>
        <w:div w:id="1605385522">
          <w:marLeft w:val="1166"/>
          <w:marRight w:val="0"/>
          <w:marTop w:val="252"/>
          <w:marBottom w:val="0"/>
          <w:divBdr>
            <w:top w:val="none" w:sz="0" w:space="0" w:color="auto"/>
            <w:left w:val="none" w:sz="0" w:space="0" w:color="auto"/>
            <w:bottom w:val="none" w:sz="0" w:space="0" w:color="auto"/>
            <w:right w:val="none" w:sz="0" w:space="0" w:color="auto"/>
          </w:divBdr>
        </w:div>
        <w:div w:id="1636643699">
          <w:marLeft w:val="547"/>
          <w:marRight w:val="0"/>
          <w:marTop w:val="134"/>
          <w:marBottom w:val="0"/>
          <w:divBdr>
            <w:top w:val="none" w:sz="0" w:space="0" w:color="auto"/>
            <w:left w:val="none" w:sz="0" w:space="0" w:color="auto"/>
            <w:bottom w:val="none" w:sz="0" w:space="0" w:color="auto"/>
            <w:right w:val="none" w:sz="0" w:space="0" w:color="auto"/>
          </w:divBdr>
        </w:div>
        <w:div w:id="1662928682">
          <w:marLeft w:val="1166"/>
          <w:marRight w:val="0"/>
          <w:marTop w:val="252"/>
          <w:marBottom w:val="0"/>
          <w:divBdr>
            <w:top w:val="none" w:sz="0" w:space="0" w:color="auto"/>
            <w:left w:val="none" w:sz="0" w:space="0" w:color="auto"/>
            <w:bottom w:val="none" w:sz="0" w:space="0" w:color="auto"/>
            <w:right w:val="none" w:sz="0" w:space="0" w:color="auto"/>
          </w:divBdr>
        </w:div>
        <w:div w:id="1691032006">
          <w:marLeft w:val="547"/>
          <w:marRight w:val="0"/>
          <w:marTop w:val="300"/>
          <w:marBottom w:val="0"/>
          <w:divBdr>
            <w:top w:val="none" w:sz="0" w:space="0" w:color="auto"/>
            <w:left w:val="none" w:sz="0" w:space="0" w:color="auto"/>
            <w:bottom w:val="none" w:sz="0" w:space="0" w:color="auto"/>
            <w:right w:val="none" w:sz="0" w:space="0" w:color="auto"/>
          </w:divBdr>
        </w:div>
        <w:div w:id="1743747942">
          <w:marLeft w:val="547"/>
          <w:marRight w:val="0"/>
          <w:marTop w:val="300"/>
          <w:marBottom w:val="0"/>
          <w:divBdr>
            <w:top w:val="none" w:sz="0" w:space="0" w:color="auto"/>
            <w:left w:val="none" w:sz="0" w:space="0" w:color="auto"/>
            <w:bottom w:val="none" w:sz="0" w:space="0" w:color="auto"/>
            <w:right w:val="none" w:sz="0" w:space="0" w:color="auto"/>
          </w:divBdr>
        </w:div>
        <w:div w:id="1793163010">
          <w:marLeft w:val="1166"/>
          <w:marRight w:val="0"/>
          <w:marTop w:val="252"/>
          <w:marBottom w:val="0"/>
          <w:divBdr>
            <w:top w:val="none" w:sz="0" w:space="0" w:color="auto"/>
            <w:left w:val="none" w:sz="0" w:space="0" w:color="auto"/>
            <w:bottom w:val="none" w:sz="0" w:space="0" w:color="auto"/>
            <w:right w:val="none" w:sz="0" w:space="0" w:color="auto"/>
          </w:divBdr>
        </w:div>
        <w:div w:id="1823346981">
          <w:marLeft w:val="547"/>
          <w:marRight w:val="0"/>
          <w:marTop w:val="300"/>
          <w:marBottom w:val="0"/>
          <w:divBdr>
            <w:top w:val="none" w:sz="0" w:space="0" w:color="auto"/>
            <w:left w:val="none" w:sz="0" w:space="0" w:color="auto"/>
            <w:bottom w:val="none" w:sz="0" w:space="0" w:color="auto"/>
            <w:right w:val="none" w:sz="0" w:space="0" w:color="auto"/>
          </w:divBdr>
        </w:div>
        <w:div w:id="1879003285">
          <w:marLeft w:val="547"/>
          <w:marRight w:val="0"/>
          <w:marTop w:val="134"/>
          <w:marBottom w:val="0"/>
          <w:divBdr>
            <w:top w:val="none" w:sz="0" w:space="0" w:color="auto"/>
            <w:left w:val="none" w:sz="0" w:space="0" w:color="auto"/>
            <w:bottom w:val="none" w:sz="0" w:space="0" w:color="auto"/>
            <w:right w:val="none" w:sz="0" w:space="0" w:color="auto"/>
          </w:divBdr>
        </w:div>
        <w:div w:id="1882207572">
          <w:marLeft w:val="547"/>
          <w:marRight w:val="0"/>
          <w:marTop w:val="115"/>
          <w:marBottom w:val="0"/>
          <w:divBdr>
            <w:top w:val="none" w:sz="0" w:space="0" w:color="auto"/>
            <w:left w:val="none" w:sz="0" w:space="0" w:color="auto"/>
            <w:bottom w:val="none" w:sz="0" w:space="0" w:color="auto"/>
            <w:right w:val="none" w:sz="0" w:space="0" w:color="auto"/>
          </w:divBdr>
        </w:div>
        <w:div w:id="2044480475">
          <w:marLeft w:val="1166"/>
          <w:marRight w:val="0"/>
          <w:marTop w:val="252"/>
          <w:marBottom w:val="0"/>
          <w:divBdr>
            <w:top w:val="none" w:sz="0" w:space="0" w:color="auto"/>
            <w:left w:val="none" w:sz="0" w:space="0" w:color="auto"/>
            <w:bottom w:val="none" w:sz="0" w:space="0" w:color="auto"/>
            <w:right w:val="none" w:sz="0" w:space="0" w:color="auto"/>
          </w:divBdr>
        </w:div>
        <w:div w:id="2048211833">
          <w:marLeft w:val="1166"/>
          <w:marRight w:val="0"/>
          <w:marTop w:val="252"/>
          <w:marBottom w:val="0"/>
          <w:divBdr>
            <w:top w:val="none" w:sz="0" w:space="0" w:color="auto"/>
            <w:left w:val="none" w:sz="0" w:space="0" w:color="auto"/>
            <w:bottom w:val="none" w:sz="0" w:space="0" w:color="auto"/>
            <w:right w:val="none" w:sz="0" w:space="0" w:color="auto"/>
          </w:divBdr>
        </w:div>
        <w:div w:id="2065450558">
          <w:marLeft w:val="547"/>
          <w:marRight w:val="0"/>
          <w:marTop w:val="300"/>
          <w:marBottom w:val="0"/>
          <w:divBdr>
            <w:top w:val="none" w:sz="0" w:space="0" w:color="auto"/>
            <w:left w:val="none" w:sz="0" w:space="0" w:color="auto"/>
            <w:bottom w:val="none" w:sz="0" w:space="0" w:color="auto"/>
            <w:right w:val="none" w:sz="0" w:space="0" w:color="auto"/>
          </w:divBdr>
        </w:div>
        <w:div w:id="2103450725">
          <w:marLeft w:val="1166"/>
          <w:marRight w:val="0"/>
          <w:marTop w:val="252"/>
          <w:marBottom w:val="0"/>
          <w:divBdr>
            <w:top w:val="none" w:sz="0" w:space="0" w:color="auto"/>
            <w:left w:val="none" w:sz="0" w:space="0" w:color="auto"/>
            <w:bottom w:val="none" w:sz="0" w:space="0" w:color="auto"/>
            <w:right w:val="none" w:sz="0" w:space="0" w:color="auto"/>
          </w:divBdr>
        </w:div>
      </w:divsChild>
    </w:div>
    <w:div w:id="546769304">
      <w:bodyDiv w:val="1"/>
      <w:marLeft w:val="0"/>
      <w:marRight w:val="0"/>
      <w:marTop w:val="0"/>
      <w:marBottom w:val="0"/>
      <w:divBdr>
        <w:top w:val="none" w:sz="0" w:space="0" w:color="auto"/>
        <w:left w:val="none" w:sz="0" w:space="0" w:color="auto"/>
        <w:bottom w:val="none" w:sz="0" w:space="0" w:color="auto"/>
        <w:right w:val="none" w:sz="0" w:space="0" w:color="auto"/>
      </w:divBdr>
    </w:div>
    <w:div w:id="560332991">
      <w:bodyDiv w:val="1"/>
      <w:marLeft w:val="0"/>
      <w:marRight w:val="0"/>
      <w:marTop w:val="0"/>
      <w:marBottom w:val="0"/>
      <w:divBdr>
        <w:top w:val="none" w:sz="0" w:space="0" w:color="auto"/>
        <w:left w:val="none" w:sz="0" w:space="0" w:color="auto"/>
        <w:bottom w:val="none" w:sz="0" w:space="0" w:color="auto"/>
        <w:right w:val="none" w:sz="0" w:space="0" w:color="auto"/>
      </w:divBdr>
    </w:div>
    <w:div w:id="582032242">
      <w:bodyDiv w:val="1"/>
      <w:marLeft w:val="0"/>
      <w:marRight w:val="0"/>
      <w:marTop w:val="0"/>
      <w:marBottom w:val="0"/>
      <w:divBdr>
        <w:top w:val="none" w:sz="0" w:space="0" w:color="auto"/>
        <w:left w:val="none" w:sz="0" w:space="0" w:color="auto"/>
        <w:bottom w:val="none" w:sz="0" w:space="0" w:color="auto"/>
        <w:right w:val="none" w:sz="0" w:space="0" w:color="auto"/>
      </w:divBdr>
    </w:div>
    <w:div w:id="645940496">
      <w:bodyDiv w:val="1"/>
      <w:marLeft w:val="0"/>
      <w:marRight w:val="0"/>
      <w:marTop w:val="0"/>
      <w:marBottom w:val="0"/>
      <w:divBdr>
        <w:top w:val="none" w:sz="0" w:space="0" w:color="auto"/>
        <w:left w:val="none" w:sz="0" w:space="0" w:color="auto"/>
        <w:bottom w:val="none" w:sz="0" w:space="0" w:color="auto"/>
        <w:right w:val="none" w:sz="0" w:space="0" w:color="auto"/>
      </w:divBdr>
    </w:div>
    <w:div w:id="708267309">
      <w:bodyDiv w:val="1"/>
      <w:marLeft w:val="0"/>
      <w:marRight w:val="0"/>
      <w:marTop w:val="0"/>
      <w:marBottom w:val="0"/>
      <w:divBdr>
        <w:top w:val="none" w:sz="0" w:space="0" w:color="auto"/>
        <w:left w:val="none" w:sz="0" w:space="0" w:color="auto"/>
        <w:bottom w:val="none" w:sz="0" w:space="0" w:color="auto"/>
        <w:right w:val="none" w:sz="0" w:space="0" w:color="auto"/>
      </w:divBdr>
    </w:div>
    <w:div w:id="760638387">
      <w:bodyDiv w:val="1"/>
      <w:marLeft w:val="0"/>
      <w:marRight w:val="0"/>
      <w:marTop w:val="0"/>
      <w:marBottom w:val="0"/>
      <w:divBdr>
        <w:top w:val="none" w:sz="0" w:space="0" w:color="auto"/>
        <w:left w:val="none" w:sz="0" w:space="0" w:color="auto"/>
        <w:bottom w:val="none" w:sz="0" w:space="0" w:color="auto"/>
        <w:right w:val="none" w:sz="0" w:space="0" w:color="auto"/>
      </w:divBdr>
    </w:div>
    <w:div w:id="774904678">
      <w:bodyDiv w:val="1"/>
      <w:marLeft w:val="0"/>
      <w:marRight w:val="0"/>
      <w:marTop w:val="0"/>
      <w:marBottom w:val="0"/>
      <w:divBdr>
        <w:top w:val="none" w:sz="0" w:space="0" w:color="auto"/>
        <w:left w:val="none" w:sz="0" w:space="0" w:color="auto"/>
        <w:bottom w:val="none" w:sz="0" w:space="0" w:color="auto"/>
        <w:right w:val="none" w:sz="0" w:space="0" w:color="auto"/>
      </w:divBdr>
    </w:div>
    <w:div w:id="808977151">
      <w:bodyDiv w:val="1"/>
      <w:marLeft w:val="0"/>
      <w:marRight w:val="0"/>
      <w:marTop w:val="0"/>
      <w:marBottom w:val="0"/>
      <w:divBdr>
        <w:top w:val="none" w:sz="0" w:space="0" w:color="auto"/>
        <w:left w:val="none" w:sz="0" w:space="0" w:color="auto"/>
        <w:bottom w:val="none" w:sz="0" w:space="0" w:color="auto"/>
        <w:right w:val="none" w:sz="0" w:space="0" w:color="auto"/>
      </w:divBdr>
    </w:div>
    <w:div w:id="809326042">
      <w:bodyDiv w:val="1"/>
      <w:marLeft w:val="0"/>
      <w:marRight w:val="0"/>
      <w:marTop w:val="0"/>
      <w:marBottom w:val="0"/>
      <w:divBdr>
        <w:top w:val="none" w:sz="0" w:space="0" w:color="auto"/>
        <w:left w:val="none" w:sz="0" w:space="0" w:color="auto"/>
        <w:bottom w:val="none" w:sz="0" w:space="0" w:color="auto"/>
        <w:right w:val="none" w:sz="0" w:space="0" w:color="auto"/>
      </w:divBdr>
    </w:div>
    <w:div w:id="809858815">
      <w:bodyDiv w:val="1"/>
      <w:marLeft w:val="0"/>
      <w:marRight w:val="0"/>
      <w:marTop w:val="0"/>
      <w:marBottom w:val="0"/>
      <w:divBdr>
        <w:top w:val="none" w:sz="0" w:space="0" w:color="auto"/>
        <w:left w:val="none" w:sz="0" w:space="0" w:color="auto"/>
        <w:bottom w:val="none" w:sz="0" w:space="0" w:color="auto"/>
        <w:right w:val="none" w:sz="0" w:space="0" w:color="auto"/>
      </w:divBdr>
    </w:div>
    <w:div w:id="840195831">
      <w:bodyDiv w:val="1"/>
      <w:marLeft w:val="0"/>
      <w:marRight w:val="0"/>
      <w:marTop w:val="0"/>
      <w:marBottom w:val="0"/>
      <w:divBdr>
        <w:top w:val="none" w:sz="0" w:space="0" w:color="auto"/>
        <w:left w:val="none" w:sz="0" w:space="0" w:color="auto"/>
        <w:bottom w:val="none" w:sz="0" w:space="0" w:color="auto"/>
        <w:right w:val="none" w:sz="0" w:space="0" w:color="auto"/>
      </w:divBdr>
    </w:div>
    <w:div w:id="856039790">
      <w:bodyDiv w:val="1"/>
      <w:marLeft w:val="0"/>
      <w:marRight w:val="0"/>
      <w:marTop w:val="0"/>
      <w:marBottom w:val="0"/>
      <w:divBdr>
        <w:top w:val="none" w:sz="0" w:space="0" w:color="auto"/>
        <w:left w:val="none" w:sz="0" w:space="0" w:color="auto"/>
        <w:bottom w:val="none" w:sz="0" w:space="0" w:color="auto"/>
        <w:right w:val="none" w:sz="0" w:space="0" w:color="auto"/>
      </w:divBdr>
    </w:div>
    <w:div w:id="863980577">
      <w:bodyDiv w:val="1"/>
      <w:marLeft w:val="0"/>
      <w:marRight w:val="0"/>
      <w:marTop w:val="0"/>
      <w:marBottom w:val="0"/>
      <w:divBdr>
        <w:top w:val="none" w:sz="0" w:space="0" w:color="auto"/>
        <w:left w:val="none" w:sz="0" w:space="0" w:color="auto"/>
        <w:bottom w:val="none" w:sz="0" w:space="0" w:color="auto"/>
        <w:right w:val="none" w:sz="0" w:space="0" w:color="auto"/>
      </w:divBdr>
    </w:div>
    <w:div w:id="871842559">
      <w:bodyDiv w:val="1"/>
      <w:marLeft w:val="0"/>
      <w:marRight w:val="0"/>
      <w:marTop w:val="0"/>
      <w:marBottom w:val="0"/>
      <w:divBdr>
        <w:top w:val="none" w:sz="0" w:space="0" w:color="auto"/>
        <w:left w:val="none" w:sz="0" w:space="0" w:color="auto"/>
        <w:bottom w:val="none" w:sz="0" w:space="0" w:color="auto"/>
        <w:right w:val="none" w:sz="0" w:space="0" w:color="auto"/>
      </w:divBdr>
    </w:div>
    <w:div w:id="891355283">
      <w:bodyDiv w:val="1"/>
      <w:marLeft w:val="0"/>
      <w:marRight w:val="0"/>
      <w:marTop w:val="0"/>
      <w:marBottom w:val="0"/>
      <w:divBdr>
        <w:top w:val="none" w:sz="0" w:space="0" w:color="auto"/>
        <w:left w:val="none" w:sz="0" w:space="0" w:color="auto"/>
        <w:bottom w:val="none" w:sz="0" w:space="0" w:color="auto"/>
        <w:right w:val="none" w:sz="0" w:space="0" w:color="auto"/>
      </w:divBdr>
    </w:div>
    <w:div w:id="973753413">
      <w:bodyDiv w:val="1"/>
      <w:marLeft w:val="0"/>
      <w:marRight w:val="0"/>
      <w:marTop w:val="0"/>
      <w:marBottom w:val="0"/>
      <w:divBdr>
        <w:top w:val="none" w:sz="0" w:space="0" w:color="auto"/>
        <w:left w:val="none" w:sz="0" w:space="0" w:color="auto"/>
        <w:bottom w:val="none" w:sz="0" w:space="0" w:color="auto"/>
        <w:right w:val="none" w:sz="0" w:space="0" w:color="auto"/>
      </w:divBdr>
    </w:div>
    <w:div w:id="1053581480">
      <w:bodyDiv w:val="1"/>
      <w:marLeft w:val="0"/>
      <w:marRight w:val="0"/>
      <w:marTop w:val="0"/>
      <w:marBottom w:val="0"/>
      <w:divBdr>
        <w:top w:val="none" w:sz="0" w:space="0" w:color="auto"/>
        <w:left w:val="none" w:sz="0" w:space="0" w:color="auto"/>
        <w:bottom w:val="none" w:sz="0" w:space="0" w:color="auto"/>
        <w:right w:val="none" w:sz="0" w:space="0" w:color="auto"/>
      </w:divBdr>
    </w:div>
    <w:div w:id="1061557483">
      <w:bodyDiv w:val="1"/>
      <w:marLeft w:val="0"/>
      <w:marRight w:val="0"/>
      <w:marTop w:val="0"/>
      <w:marBottom w:val="0"/>
      <w:divBdr>
        <w:top w:val="none" w:sz="0" w:space="0" w:color="auto"/>
        <w:left w:val="none" w:sz="0" w:space="0" w:color="auto"/>
        <w:bottom w:val="none" w:sz="0" w:space="0" w:color="auto"/>
        <w:right w:val="none" w:sz="0" w:space="0" w:color="auto"/>
      </w:divBdr>
    </w:div>
    <w:div w:id="1156383571">
      <w:bodyDiv w:val="1"/>
      <w:marLeft w:val="0"/>
      <w:marRight w:val="0"/>
      <w:marTop w:val="0"/>
      <w:marBottom w:val="0"/>
      <w:divBdr>
        <w:top w:val="none" w:sz="0" w:space="0" w:color="auto"/>
        <w:left w:val="none" w:sz="0" w:space="0" w:color="auto"/>
        <w:bottom w:val="none" w:sz="0" w:space="0" w:color="auto"/>
        <w:right w:val="none" w:sz="0" w:space="0" w:color="auto"/>
      </w:divBdr>
    </w:div>
    <w:div w:id="1190991747">
      <w:bodyDiv w:val="1"/>
      <w:marLeft w:val="0"/>
      <w:marRight w:val="0"/>
      <w:marTop w:val="0"/>
      <w:marBottom w:val="0"/>
      <w:divBdr>
        <w:top w:val="none" w:sz="0" w:space="0" w:color="auto"/>
        <w:left w:val="none" w:sz="0" w:space="0" w:color="auto"/>
        <w:bottom w:val="none" w:sz="0" w:space="0" w:color="auto"/>
        <w:right w:val="none" w:sz="0" w:space="0" w:color="auto"/>
      </w:divBdr>
    </w:div>
    <w:div w:id="1222136222">
      <w:bodyDiv w:val="1"/>
      <w:marLeft w:val="0"/>
      <w:marRight w:val="0"/>
      <w:marTop w:val="0"/>
      <w:marBottom w:val="0"/>
      <w:divBdr>
        <w:top w:val="none" w:sz="0" w:space="0" w:color="auto"/>
        <w:left w:val="none" w:sz="0" w:space="0" w:color="auto"/>
        <w:bottom w:val="none" w:sz="0" w:space="0" w:color="auto"/>
        <w:right w:val="none" w:sz="0" w:space="0" w:color="auto"/>
      </w:divBdr>
    </w:div>
    <w:div w:id="1257521986">
      <w:bodyDiv w:val="1"/>
      <w:marLeft w:val="0"/>
      <w:marRight w:val="0"/>
      <w:marTop w:val="0"/>
      <w:marBottom w:val="0"/>
      <w:divBdr>
        <w:top w:val="none" w:sz="0" w:space="0" w:color="auto"/>
        <w:left w:val="none" w:sz="0" w:space="0" w:color="auto"/>
        <w:bottom w:val="none" w:sz="0" w:space="0" w:color="auto"/>
        <w:right w:val="none" w:sz="0" w:space="0" w:color="auto"/>
      </w:divBdr>
    </w:div>
    <w:div w:id="1356539356">
      <w:bodyDiv w:val="1"/>
      <w:marLeft w:val="0"/>
      <w:marRight w:val="0"/>
      <w:marTop w:val="0"/>
      <w:marBottom w:val="0"/>
      <w:divBdr>
        <w:top w:val="none" w:sz="0" w:space="0" w:color="auto"/>
        <w:left w:val="none" w:sz="0" w:space="0" w:color="auto"/>
        <w:bottom w:val="none" w:sz="0" w:space="0" w:color="auto"/>
        <w:right w:val="none" w:sz="0" w:space="0" w:color="auto"/>
      </w:divBdr>
    </w:div>
    <w:div w:id="1370766989">
      <w:bodyDiv w:val="1"/>
      <w:marLeft w:val="0"/>
      <w:marRight w:val="0"/>
      <w:marTop w:val="0"/>
      <w:marBottom w:val="0"/>
      <w:divBdr>
        <w:top w:val="none" w:sz="0" w:space="0" w:color="auto"/>
        <w:left w:val="none" w:sz="0" w:space="0" w:color="auto"/>
        <w:bottom w:val="none" w:sz="0" w:space="0" w:color="auto"/>
        <w:right w:val="none" w:sz="0" w:space="0" w:color="auto"/>
      </w:divBdr>
    </w:div>
    <w:div w:id="1426997670">
      <w:bodyDiv w:val="1"/>
      <w:marLeft w:val="0"/>
      <w:marRight w:val="0"/>
      <w:marTop w:val="0"/>
      <w:marBottom w:val="0"/>
      <w:divBdr>
        <w:top w:val="none" w:sz="0" w:space="0" w:color="auto"/>
        <w:left w:val="none" w:sz="0" w:space="0" w:color="auto"/>
        <w:bottom w:val="none" w:sz="0" w:space="0" w:color="auto"/>
        <w:right w:val="none" w:sz="0" w:space="0" w:color="auto"/>
      </w:divBdr>
    </w:div>
    <w:div w:id="1442190294">
      <w:bodyDiv w:val="1"/>
      <w:marLeft w:val="0"/>
      <w:marRight w:val="0"/>
      <w:marTop w:val="0"/>
      <w:marBottom w:val="0"/>
      <w:divBdr>
        <w:top w:val="none" w:sz="0" w:space="0" w:color="auto"/>
        <w:left w:val="none" w:sz="0" w:space="0" w:color="auto"/>
        <w:bottom w:val="none" w:sz="0" w:space="0" w:color="auto"/>
        <w:right w:val="none" w:sz="0" w:space="0" w:color="auto"/>
      </w:divBdr>
    </w:div>
    <w:div w:id="1456825694">
      <w:bodyDiv w:val="1"/>
      <w:marLeft w:val="0"/>
      <w:marRight w:val="0"/>
      <w:marTop w:val="0"/>
      <w:marBottom w:val="0"/>
      <w:divBdr>
        <w:top w:val="none" w:sz="0" w:space="0" w:color="auto"/>
        <w:left w:val="none" w:sz="0" w:space="0" w:color="auto"/>
        <w:bottom w:val="none" w:sz="0" w:space="0" w:color="auto"/>
        <w:right w:val="none" w:sz="0" w:space="0" w:color="auto"/>
      </w:divBdr>
    </w:div>
    <w:div w:id="1464228257">
      <w:bodyDiv w:val="1"/>
      <w:marLeft w:val="0"/>
      <w:marRight w:val="0"/>
      <w:marTop w:val="0"/>
      <w:marBottom w:val="0"/>
      <w:divBdr>
        <w:top w:val="none" w:sz="0" w:space="0" w:color="auto"/>
        <w:left w:val="none" w:sz="0" w:space="0" w:color="auto"/>
        <w:bottom w:val="none" w:sz="0" w:space="0" w:color="auto"/>
        <w:right w:val="none" w:sz="0" w:space="0" w:color="auto"/>
      </w:divBdr>
    </w:div>
    <w:div w:id="1464884401">
      <w:bodyDiv w:val="1"/>
      <w:marLeft w:val="0"/>
      <w:marRight w:val="0"/>
      <w:marTop w:val="0"/>
      <w:marBottom w:val="0"/>
      <w:divBdr>
        <w:top w:val="none" w:sz="0" w:space="0" w:color="auto"/>
        <w:left w:val="none" w:sz="0" w:space="0" w:color="auto"/>
        <w:bottom w:val="none" w:sz="0" w:space="0" w:color="auto"/>
        <w:right w:val="none" w:sz="0" w:space="0" w:color="auto"/>
      </w:divBdr>
    </w:div>
    <w:div w:id="1467158031">
      <w:bodyDiv w:val="1"/>
      <w:marLeft w:val="0"/>
      <w:marRight w:val="0"/>
      <w:marTop w:val="0"/>
      <w:marBottom w:val="0"/>
      <w:divBdr>
        <w:top w:val="none" w:sz="0" w:space="0" w:color="auto"/>
        <w:left w:val="none" w:sz="0" w:space="0" w:color="auto"/>
        <w:bottom w:val="none" w:sz="0" w:space="0" w:color="auto"/>
        <w:right w:val="none" w:sz="0" w:space="0" w:color="auto"/>
      </w:divBdr>
    </w:div>
    <w:div w:id="1525829514">
      <w:bodyDiv w:val="1"/>
      <w:marLeft w:val="0"/>
      <w:marRight w:val="0"/>
      <w:marTop w:val="0"/>
      <w:marBottom w:val="0"/>
      <w:divBdr>
        <w:top w:val="none" w:sz="0" w:space="0" w:color="auto"/>
        <w:left w:val="none" w:sz="0" w:space="0" w:color="auto"/>
        <w:bottom w:val="none" w:sz="0" w:space="0" w:color="auto"/>
        <w:right w:val="none" w:sz="0" w:space="0" w:color="auto"/>
      </w:divBdr>
    </w:div>
    <w:div w:id="1535771770">
      <w:bodyDiv w:val="1"/>
      <w:marLeft w:val="0"/>
      <w:marRight w:val="0"/>
      <w:marTop w:val="0"/>
      <w:marBottom w:val="0"/>
      <w:divBdr>
        <w:top w:val="none" w:sz="0" w:space="0" w:color="auto"/>
        <w:left w:val="none" w:sz="0" w:space="0" w:color="auto"/>
        <w:bottom w:val="none" w:sz="0" w:space="0" w:color="auto"/>
        <w:right w:val="none" w:sz="0" w:space="0" w:color="auto"/>
      </w:divBdr>
    </w:div>
    <w:div w:id="1592622727">
      <w:bodyDiv w:val="1"/>
      <w:marLeft w:val="0"/>
      <w:marRight w:val="0"/>
      <w:marTop w:val="0"/>
      <w:marBottom w:val="0"/>
      <w:divBdr>
        <w:top w:val="none" w:sz="0" w:space="0" w:color="auto"/>
        <w:left w:val="none" w:sz="0" w:space="0" w:color="auto"/>
        <w:bottom w:val="none" w:sz="0" w:space="0" w:color="auto"/>
        <w:right w:val="none" w:sz="0" w:space="0" w:color="auto"/>
      </w:divBdr>
    </w:div>
    <w:div w:id="1594782509">
      <w:bodyDiv w:val="1"/>
      <w:marLeft w:val="0"/>
      <w:marRight w:val="0"/>
      <w:marTop w:val="0"/>
      <w:marBottom w:val="0"/>
      <w:divBdr>
        <w:top w:val="none" w:sz="0" w:space="0" w:color="auto"/>
        <w:left w:val="none" w:sz="0" w:space="0" w:color="auto"/>
        <w:bottom w:val="none" w:sz="0" w:space="0" w:color="auto"/>
        <w:right w:val="none" w:sz="0" w:space="0" w:color="auto"/>
      </w:divBdr>
    </w:div>
    <w:div w:id="1602179607">
      <w:bodyDiv w:val="1"/>
      <w:marLeft w:val="0"/>
      <w:marRight w:val="0"/>
      <w:marTop w:val="0"/>
      <w:marBottom w:val="0"/>
      <w:divBdr>
        <w:top w:val="none" w:sz="0" w:space="0" w:color="auto"/>
        <w:left w:val="none" w:sz="0" w:space="0" w:color="auto"/>
        <w:bottom w:val="none" w:sz="0" w:space="0" w:color="auto"/>
        <w:right w:val="none" w:sz="0" w:space="0" w:color="auto"/>
      </w:divBdr>
    </w:div>
    <w:div w:id="1607494132">
      <w:bodyDiv w:val="1"/>
      <w:marLeft w:val="0"/>
      <w:marRight w:val="0"/>
      <w:marTop w:val="0"/>
      <w:marBottom w:val="0"/>
      <w:divBdr>
        <w:top w:val="none" w:sz="0" w:space="0" w:color="auto"/>
        <w:left w:val="none" w:sz="0" w:space="0" w:color="auto"/>
        <w:bottom w:val="none" w:sz="0" w:space="0" w:color="auto"/>
        <w:right w:val="none" w:sz="0" w:space="0" w:color="auto"/>
      </w:divBdr>
    </w:div>
    <w:div w:id="1612932129">
      <w:bodyDiv w:val="1"/>
      <w:marLeft w:val="0"/>
      <w:marRight w:val="0"/>
      <w:marTop w:val="0"/>
      <w:marBottom w:val="0"/>
      <w:divBdr>
        <w:top w:val="none" w:sz="0" w:space="0" w:color="auto"/>
        <w:left w:val="none" w:sz="0" w:space="0" w:color="auto"/>
        <w:bottom w:val="none" w:sz="0" w:space="0" w:color="auto"/>
        <w:right w:val="none" w:sz="0" w:space="0" w:color="auto"/>
      </w:divBdr>
    </w:div>
    <w:div w:id="1624995712">
      <w:bodyDiv w:val="1"/>
      <w:marLeft w:val="0"/>
      <w:marRight w:val="0"/>
      <w:marTop w:val="0"/>
      <w:marBottom w:val="0"/>
      <w:divBdr>
        <w:top w:val="none" w:sz="0" w:space="0" w:color="auto"/>
        <w:left w:val="none" w:sz="0" w:space="0" w:color="auto"/>
        <w:bottom w:val="none" w:sz="0" w:space="0" w:color="auto"/>
        <w:right w:val="none" w:sz="0" w:space="0" w:color="auto"/>
      </w:divBdr>
    </w:div>
    <w:div w:id="1705329726">
      <w:bodyDiv w:val="1"/>
      <w:marLeft w:val="0"/>
      <w:marRight w:val="0"/>
      <w:marTop w:val="0"/>
      <w:marBottom w:val="0"/>
      <w:divBdr>
        <w:top w:val="none" w:sz="0" w:space="0" w:color="auto"/>
        <w:left w:val="none" w:sz="0" w:space="0" w:color="auto"/>
        <w:bottom w:val="none" w:sz="0" w:space="0" w:color="auto"/>
        <w:right w:val="none" w:sz="0" w:space="0" w:color="auto"/>
      </w:divBdr>
    </w:div>
    <w:div w:id="1794250178">
      <w:bodyDiv w:val="1"/>
      <w:marLeft w:val="0"/>
      <w:marRight w:val="0"/>
      <w:marTop w:val="0"/>
      <w:marBottom w:val="0"/>
      <w:divBdr>
        <w:top w:val="none" w:sz="0" w:space="0" w:color="auto"/>
        <w:left w:val="none" w:sz="0" w:space="0" w:color="auto"/>
        <w:bottom w:val="none" w:sz="0" w:space="0" w:color="auto"/>
        <w:right w:val="none" w:sz="0" w:space="0" w:color="auto"/>
      </w:divBdr>
    </w:div>
    <w:div w:id="1812407151">
      <w:bodyDiv w:val="1"/>
      <w:marLeft w:val="0"/>
      <w:marRight w:val="0"/>
      <w:marTop w:val="0"/>
      <w:marBottom w:val="0"/>
      <w:divBdr>
        <w:top w:val="none" w:sz="0" w:space="0" w:color="auto"/>
        <w:left w:val="none" w:sz="0" w:space="0" w:color="auto"/>
        <w:bottom w:val="none" w:sz="0" w:space="0" w:color="auto"/>
        <w:right w:val="none" w:sz="0" w:space="0" w:color="auto"/>
      </w:divBdr>
    </w:div>
    <w:div w:id="1819766894">
      <w:bodyDiv w:val="1"/>
      <w:marLeft w:val="0"/>
      <w:marRight w:val="0"/>
      <w:marTop w:val="0"/>
      <w:marBottom w:val="0"/>
      <w:divBdr>
        <w:top w:val="none" w:sz="0" w:space="0" w:color="auto"/>
        <w:left w:val="none" w:sz="0" w:space="0" w:color="auto"/>
        <w:bottom w:val="none" w:sz="0" w:space="0" w:color="auto"/>
        <w:right w:val="none" w:sz="0" w:space="0" w:color="auto"/>
      </w:divBdr>
    </w:div>
    <w:div w:id="1820222641">
      <w:bodyDiv w:val="1"/>
      <w:marLeft w:val="0"/>
      <w:marRight w:val="0"/>
      <w:marTop w:val="0"/>
      <w:marBottom w:val="0"/>
      <w:divBdr>
        <w:top w:val="none" w:sz="0" w:space="0" w:color="auto"/>
        <w:left w:val="none" w:sz="0" w:space="0" w:color="auto"/>
        <w:bottom w:val="none" w:sz="0" w:space="0" w:color="auto"/>
        <w:right w:val="none" w:sz="0" w:space="0" w:color="auto"/>
      </w:divBdr>
    </w:div>
    <w:div w:id="1833980956">
      <w:bodyDiv w:val="1"/>
      <w:marLeft w:val="0"/>
      <w:marRight w:val="0"/>
      <w:marTop w:val="0"/>
      <w:marBottom w:val="0"/>
      <w:divBdr>
        <w:top w:val="none" w:sz="0" w:space="0" w:color="auto"/>
        <w:left w:val="none" w:sz="0" w:space="0" w:color="auto"/>
        <w:bottom w:val="none" w:sz="0" w:space="0" w:color="auto"/>
        <w:right w:val="none" w:sz="0" w:space="0" w:color="auto"/>
      </w:divBdr>
    </w:div>
    <w:div w:id="1912540757">
      <w:bodyDiv w:val="1"/>
      <w:marLeft w:val="0"/>
      <w:marRight w:val="0"/>
      <w:marTop w:val="0"/>
      <w:marBottom w:val="0"/>
      <w:divBdr>
        <w:top w:val="none" w:sz="0" w:space="0" w:color="auto"/>
        <w:left w:val="none" w:sz="0" w:space="0" w:color="auto"/>
        <w:bottom w:val="none" w:sz="0" w:space="0" w:color="auto"/>
        <w:right w:val="none" w:sz="0" w:space="0" w:color="auto"/>
      </w:divBdr>
    </w:div>
    <w:div w:id="1945116166">
      <w:bodyDiv w:val="1"/>
      <w:marLeft w:val="0"/>
      <w:marRight w:val="0"/>
      <w:marTop w:val="0"/>
      <w:marBottom w:val="0"/>
      <w:divBdr>
        <w:top w:val="none" w:sz="0" w:space="0" w:color="auto"/>
        <w:left w:val="none" w:sz="0" w:space="0" w:color="auto"/>
        <w:bottom w:val="none" w:sz="0" w:space="0" w:color="auto"/>
        <w:right w:val="none" w:sz="0" w:space="0" w:color="auto"/>
      </w:divBdr>
    </w:div>
    <w:div w:id="1996101768">
      <w:bodyDiv w:val="1"/>
      <w:marLeft w:val="0"/>
      <w:marRight w:val="0"/>
      <w:marTop w:val="0"/>
      <w:marBottom w:val="0"/>
      <w:divBdr>
        <w:top w:val="none" w:sz="0" w:space="0" w:color="auto"/>
        <w:left w:val="none" w:sz="0" w:space="0" w:color="auto"/>
        <w:bottom w:val="none" w:sz="0" w:space="0" w:color="auto"/>
        <w:right w:val="none" w:sz="0" w:space="0" w:color="auto"/>
      </w:divBdr>
    </w:div>
    <w:div w:id="2009558347">
      <w:bodyDiv w:val="1"/>
      <w:marLeft w:val="0"/>
      <w:marRight w:val="0"/>
      <w:marTop w:val="0"/>
      <w:marBottom w:val="0"/>
      <w:divBdr>
        <w:top w:val="none" w:sz="0" w:space="0" w:color="auto"/>
        <w:left w:val="none" w:sz="0" w:space="0" w:color="auto"/>
        <w:bottom w:val="none" w:sz="0" w:space="0" w:color="auto"/>
        <w:right w:val="none" w:sz="0" w:space="0" w:color="auto"/>
      </w:divBdr>
    </w:div>
    <w:div w:id="2065324460">
      <w:bodyDiv w:val="1"/>
      <w:marLeft w:val="0"/>
      <w:marRight w:val="0"/>
      <w:marTop w:val="0"/>
      <w:marBottom w:val="0"/>
      <w:divBdr>
        <w:top w:val="none" w:sz="0" w:space="0" w:color="auto"/>
        <w:left w:val="none" w:sz="0" w:space="0" w:color="auto"/>
        <w:bottom w:val="none" w:sz="0" w:space="0" w:color="auto"/>
        <w:right w:val="none" w:sz="0" w:space="0" w:color="auto"/>
      </w:divBdr>
    </w:div>
    <w:div w:id="2068337227">
      <w:bodyDiv w:val="1"/>
      <w:marLeft w:val="0"/>
      <w:marRight w:val="0"/>
      <w:marTop w:val="0"/>
      <w:marBottom w:val="0"/>
      <w:divBdr>
        <w:top w:val="none" w:sz="0" w:space="0" w:color="auto"/>
        <w:left w:val="none" w:sz="0" w:space="0" w:color="auto"/>
        <w:bottom w:val="none" w:sz="0" w:space="0" w:color="auto"/>
        <w:right w:val="none" w:sz="0" w:space="0" w:color="auto"/>
      </w:divBdr>
    </w:div>
    <w:div w:id="2103406858">
      <w:bodyDiv w:val="1"/>
      <w:marLeft w:val="0"/>
      <w:marRight w:val="0"/>
      <w:marTop w:val="0"/>
      <w:marBottom w:val="0"/>
      <w:divBdr>
        <w:top w:val="none" w:sz="0" w:space="0" w:color="auto"/>
        <w:left w:val="none" w:sz="0" w:space="0" w:color="auto"/>
        <w:bottom w:val="none" w:sz="0" w:space="0" w:color="auto"/>
        <w:right w:val="none" w:sz="0" w:space="0" w:color="auto"/>
      </w:divBdr>
    </w:div>
    <w:div w:id="212974160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yperlink" Target="http://www.business.vic.gov.au/support-for-your-business/future-industries"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nhmrc.gov.au/grants-funding/outcomes-funding-roun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4DF6E-CF96-422C-86C6-BD3C604AF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2305</Words>
  <Characters>13143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Department of Transport</Company>
  <LinksUpToDate>false</LinksUpToDate>
  <CharactersWithSpaces>15418</CharactersWithSpaces>
  <SharedDoc>false</SharedDoc>
  <HLinks>
    <vt:vector size="12" baseType="variant">
      <vt:variant>
        <vt:i4>6619194</vt:i4>
      </vt:variant>
      <vt:variant>
        <vt:i4>0</vt:i4>
      </vt:variant>
      <vt:variant>
        <vt:i4>0</vt:i4>
      </vt:variant>
      <vt:variant>
        <vt:i4>5</vt:i4>
      </vt:variant>
      <vt:variant>
        <vt:lpwstr>http://www.business.vic.gov.au/support-for-your-business/future-industries</vt:lpwstr>
      </vt:variant>
      <vt:variant>
        <vt:lpwstr/>
      </vt:variant>
      <vt:variant>
        <vt:i4>6357042</vt:i4>
      </vt:variant>
      <vt:variant>
        <vt:i4>0</vt:i4>
      </vt:variant>
      <vt:variant>
        <vt:i4>0</vt:i4>
      </vt:variant>
      <vt:variant>
        <vt:i4>5</vt:i4>
      </vt:variant>
      <vt:variant>
        <vt:lpwstr>http://www.nhmrc.gov.au/grants-funding/outcomes-funding-rounds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Cugley</dc:creator>
  <cp:lastModifiedBy>Maria  Camillo</cp:lastModifiedBy>
  <cp:revision>2</cp:revision>
  <dcterms:created xsi:type="dcterms:W3CDTF">2017-08-28T04:51:00Z</dcterms:created>
  <dcterms:modified xsi:type="dcterms:W3CDTF">2017-08-28T04:51:00Z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dc4ab242-c332-450c-8c8e-38b35f302ab9</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Jacqui E Mullins (DEDJTR)</vt:lpwstr>
  </property>
  <property fmtid="{D5CDD505-2E9C-101B-9397-08002B2CF9AE}" pid="6" name="_MarkAsFinal">
    <vt:bool>true</vt:bool>
  </property>
</Properties>
</file>