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C625" w14:textId="2A31657F" w:rsidR="00D37945" w:rsidRPr="00D37945" w:rsidRDefault="00D37945" w:rsidP="00D37945">
      <w:pPr>
        <w:jc w:val="center"/>
        <w:rPr>
          <w:b/>
          <w:bCs/>
        </w:rPr>
      </w:pPr>
      <w:r w:rsidRPr="00D37945">
        <w:rPr>
          <w:b/>
          <w:bCs/>
        </w:rPr>
        <w:t>Proposed Retail Leases Regulations 2023</w:t>
      </w:r>
    </w:p>
    <w:p w14:paraId="440F75B7" w14:textId="0F79CD7B" w:rsidR="00D37945" w:rsidRPr="00D37945" w:rsidRDefault="00D37945" w:rsidP="00D37945">
      <w:pPr>
        <w:jc w:val="center"/>
        <w:rPr>
          <w:b/>
          <w:bCs/>
        </w:rPr>
      </w:pPr>
      <w:r w:rsidRPr="00D37945">
        <w:rPr>
          <w:b/>
          <w:bCs/>
        </w:rPr>
        <w:t>Summary of issues raised in submissions on the Regulatory Impact Statement Response and Statement of Reasons</w:t>
      </w:r>
    </w:p>
    <w:p w14:paraId="1A974380" w14:textId="77777777" w:rsidR="00D37945" w:rsidRDefault="00D37945">
      <w:pPr>
        <w:rPr>
          <w:b/>
          <w:bCs/>
        </w:rPr>
      </w:pPr>
    </w:p>
    <w:p w14:paraId="161C0694" w14:textId="4ECC9C5C" w:rsidR="00D37945" w:rsidRPr="00D37945" w:rsidRDefault="00D37945">
      <w:pPr>
        <w:rPr>
          <w:b/>
          <w:bCs/>
        </w:rPr>
      </w:pPr>
      <w:r w:rsidRPr="00D37945">
        <w:rPr>
          <w:b/>
          <w:bCs/>
        </w:rPr>
        <w:t xml:space="preserve">Introduction </w:t>
      </w:r>
    </w:p>
    <w:p w14:paraId="1EC701EE" w14:textId="0AB65E15" w:rsidR="00E54E6B" w:rsidRDefault="00D37945">
      <w:r>
        <w:t>On 14 February 2023, the Minister for Small Business released a Regulatory Impact Statement (RIS) and exposure draft of the proposed Retail Leases Regulations 2023 for public consultation in accordance with section 11 of the Subordinate Legislation Act 1994 (the SLA). The public submission period closed on 14 March 2023.</w:t>
      </w:r>
    </w:p>
    <w:p w14:paraId="716F8CB0" w14:textId="4C411504" w:rsidR="00D37945" w:rsidRDefault="00D37945">
      <w:r>
        <w:t xml:space="preserve">DJSIR received </w:t>
      </w:r>
      <w:r w:rsidR="004D6B49">
        <w:t>1</w:t>
      </w:r>
      <w:r w:rsidR="006163AD">
        <w:t xml:space="preserve"> written</w:t>
      </w:r>
      <w:r>
        <w:t xml:space="preserve"> submission on the proposed Regulations and the RIS from:</w:t>
      </w:r>
    </w:p>
    <w:p w14:paraId="7E954ADE" w14:textId="40D73CE0" w:rsidR="00D37945" w:rsidRDefault="00D37945" w:rsidP="00D37945">
      <w:pPr>
        <w:pStyle w:val="ListParagraph"/>
        <w:numPr>
          <w:ilvl w:val="0"/>
          <w:numId w:val="1"/>
        </w:numPr>
      </w:pPr>
      <w:r>
        <w:t>The Shopping Centre Council of Australia (SCCA)</w:t>
      </w:r>
    </w:p>
    <w:p w14:paraId="16BF2EF9" w14:textId="6FF0E567" w:rsidR="00D37945" w:rsidRDefault="00D37945" w:rsidP="00D37945">
      <w:r>
        <w:t>DJSIR also contacted the Law Institute of Victoria and the Australian Retailers Association who expressed interest in making a submission</w:t>
      </w:r>
      <w:r w:rsidR="00D2157B">
        <w:t>.</w:t>
      </w:r>
      <w:r>
        <w:t xml:space="preserve"> </w:t>
      </w:r>
      <w:r w:rsidR="00D2157B">
        <w:t>H</w:t>
      </w:r>
      <w:r>
        <w:t>owever, neither made a formal submission before public consultation closed.</w:t>
      </w:r>
      <w:r w:rsidR="006163AD">
        <w:t xml:space="preserve"> </w:t>
      </w:r>
      <w:r w:rsidR="004E4A2E">
        <w:t xml:space="preserve">Additionally, </w:t>
      </w:r>
      <w:r w:rsidR="006163AD">
        <w:t xml:space="preserve">Paul Nunan </w:t>
      </w:r>
      <w:r w:rsidR="00270234">
        <w:t xml:space="preserve">from </w:t>
      </w:r>
      <w:r w:rsidR="006163AD">
        <w:t>Eastern Bridge Lawyers</w:t>
      </w:r>
      <w:r w:rsidR="00270234">
        <w:t xml:space="preserve"> </w:t>
      </w:r>
      <w:r w:rsidR="00136571">
        <w:t>provided</w:t>
      </w:r>
      <w:r w:rsidR="00881375">
        <w:t xml:space="preserve"> a</w:t>
      </w:r>
      <w:r w:rsidR="00136571">
        <w:t>n</w:t>
      </w:r>
      <w:r w:rsidR="00881375">
        <w:t xml:space="preserve"> informal verbal submission.</w:t>
      </w:r>
    </w:p>
    <w:p w14:paraId="756CA45E" w14:textId="2250174A" w:rsidR="00D37945" w:rsidRDefault="00D37945" w:rsidP="00D37945">
      <w:r>
        <w:t>All submissions and feedback received during consultation have been considered.</w:t>
      </w:r>
      <w:r w:rsidR="00A9413B">
        <w:t xml:space="preserve"> All submissions were generally supportive of the proposed regulations.</w:t>
      </w:r>
      <w:r w:rsidR="009E2339">
        <w:t xml:space="preserve"> </w:t>
      </w:r>
      <w:r w:rsidR="008D25A1">
        <w:t xml:space="preserve">SCCA’s </w:t>
      </w:r>
      <w:r w:rsidR="00BD10BC">
        <w:t xml:space="preserve">written </w:t>
      </w:r>
      <w:r w:rsidR="008D25A1">
        <w:t>submission</w:t>
      </w:r>
      <w:r w:rsidR="00BD10BC">
        <w:t xml:space="preserve"> has been addressed below.</w:t>
      </w:r>
      <w:r w:rsidR="008D25A1">
        <w:t xml:space="preserve"> </w:t>
      </w:r>
      <w:r w:rsidR="009E2339">
        <w:t xml:space="preserve"> </w:t>
      </w:r>
    </w:p>
    <w:p w14:paraId="46C5883A" w14:textId="23080232" w:rsidR="00F321F9" w:rsidRDefault="00F321F9" w:rsidP="00D37945"/>
    <w:p w14:paraId="05490BF0" w14:textId="394AC792" w:rsidR="00F321F9" w:rsidRPr="00F321F9" w:rsidRDefault="00F321F9" w:rsidP="00D37945">
      <w:pPr>
        <w:rPr>
          <w:b/>
          <w:bCs/>
        </w:rPr>
      </w:pPr>
      <w:r w:rsidRPr="00F321F9">
        <w:rPr>
          <w:b/>
          <w:bCs/>
        </w:rPr>
        <w:t>Changes to proposed regulations</w:t>
      </w:r>
    </w:p>
    <w:p w14:paraId="2070CEA5" w14:textId="77777777" w:rsidR="00706AD5" w:rsidRDefault="00F321F9" w:rsidP="00D37945">
      <w:r>
        <w:t xml:space="preserve">There are no changes to the proposed regulations. </w:t>
      </w:r>
    </w:p>
    <w:p w14:paraId="53B2BAE3" w14:textId="40734026" w:rsidR="008261B8" w:rsidRDefault="00F321F9" w:rsidP="00D37945">
      <w:r>
        <w:t>Stakeholder submissions did not request any changes be made to the proposed regulations.</w:t>
      </w:r>
    </w:p>
    <w:p w14:paraId="45C1D4AA" w14:textId="77777777" w:rsidR="00F321F9" w:rsidRDefault="00F321F9" w:rsidP="00D37945"/>
    <w:p w14:paraId="6215025C" w14:textId="0EA2A373" w:rsidR="008261B8" w:rsidRDefault="008261B8" w:rsidP="00D37945">
      <w:r w:rsidRPr="008261B8">
        <w:rPr>
          <w:b/>
          <w:bCs/>
        </w:rPr>
        <w:t xml:space="preserve">Overview of </w:t>
      </w:r>
      <w:r>
        <w:rPr>
          <w:b/>
          <w:bCs/>
        </w:rPr>
        <w:t>c</w:t>
      </w:r>
      <w:r w:rsidRPr="008261B8">
        <w:rPr>
          <w:b/>
          <w:bCs/>
        </w:rPr>
        <w:t>omments</w:t>
      </w:r>
    </w:p>
    <w:tbl>
      <w:tblPr>
        <w:tblStyle w:val="TableGrid"/>
        <w:tblW w:w="0" w:type="auto"/>
        <w:tblLook w:val="04A0" w:firstRow="1" w:lastRow="0" w:firstColumn="1" w:lastColumn="0" w:noHBand="0" w:noVBand="1"/>
      </w:tblPr>
      <w:tblGrid>
        <w:gridCol w:w="1129"/>
        <w:gridCol w:w="7887"/>
      </w:tblGrid>
      <w:tr w:rsidR="002E40EA" w14:paraId="043F0F4E" w14:textId="77777777" w:rsidTr="00F11E97">
        <w:tc>
          <w:tcPr>
            <w:tcW w:w="9016" w:type="dxa"/>
            <w:gridSpan w:val="2"/>
          </w:tcPr>
          <w:p w14:paraId="47FB06C2" w14:textId="237B1A55" w:rsidR="002E40EA" w:rsidRPr="002E40EA" w:rsidRDefault="002E40EA" w:rsidP="002E40EA">
            <w:pPr>
              <w:jc w:val="center"/>
              <w:rPr>
                <w:b/>
                <w:bCs/>
              </w:rPr>
            </w:pPr>
            <w:r w:rsidRPr="002E40EA">
              <w:rPr>
                <w:b/>
                <w:bCs/>
              </w:rPr>
              <w:t>Disclosure Statements</w:t>
            </w:r>
          </w:p>
        </w:tc>
      </w:tr>
      <w:tr w:rsidR="009F5174" w14:paraId="132F35A4" w14:textId="77777777" w:rsidTr="00301C75">
        <w:tc>
          <w:tcPr>
            <w:tcW w:w="1129" w:type="dxa"/>
            <w:vAlign w:val="center"/>
          </w:tcPr>
          <w:p w14:paraId="0F828E90" w14:textId="30AE797F" w:rsidR="009F5174" w:rsidRDefault="002E40EA" w:rsidP="00301C75">
            <w:r>
              <w:t>Comment</w:t>
            </w:r>
          </w:p>
        </w:tc>
        <w:tc>
          <w:tcPr>
            <w:tcW w:w="7887" w:type="dxa"/>
          </w:tcPr>
          <w:p w14:paraId="1EBCAD9C" w14:textId="407C72D3" w:rsidR="002E40EA" w:rsidRDefault="002E40EA" w:rsidP="002E40EA">
            <w:pPr>
              <w:pStyle w:val="ListParagraph"/>
              <w:numPr>
                <w:ilvl w:val="0"/>
                <w:numId w:val="2"/>
              </w:numPr>
            </w:pPr>
            <w:r>
              <w:t>The current four disclosure statement model is preferred, however, the current schedules are too cumbersome and could be abbreviated (SCCA).</w:t>
            </w:r>
          </w:p>
          <w:p w14:paraId="5069B40A" w14:textId="42343DA0" w:rsidR="009F5174" w:rsidRDefault="002E40EA" w:rsidP="002E40EA">
            <w:pPr>
              <w:pStyle w:val="ListParagraph"/>
              <w:numPr>
                <w:ilvl w:val="1"/>
                <w:numId w:val="2"/>
              </w:numPr>
            </w:pPr>
            <w:r>
              <w:t>SCCA raised concerns around landlord uncertainty regarding compliance with requirements under section 28(1A)(e) of the Act. SCCA believe</w:t>
            </w:r>
            <w:r w:rsidR="006303E3">
              <w:t>s</w:t>
            </w:r>
            <w:r>
              <w:t xml:space="preserve"> this uncertainty is leading to landlords over-disclosing.</w:t>
            </w:r>
          </w:p>
          <w:p w14:paraId="1EA3F65E" w14:textId="1E4C5FD4" w:rsidR="00BB79D9" w:rsidRDefault="00BB79D9" w:rsidP="002E40EA">
            <w:pPr>
              <w:pStyle w:val="ListParagraph"/>
              <w:numPr>
                <w:ilvl w:val="1"/>
                <w:numId w:val="2"/>
              </w:numPr>
            </w:pPr>
            <w:r>
              <w:t>SCCA believe</w:t>
            </w:r>
            <w:r w:rsidR="00760D86">
              <w:t>s</w:t>
            </w:r>
            <w:r>
              <w:t xml:space="preserve"> that disclosure on renewal of a lease is redundant.</w:t>
            </w:r>
          </w:p>
        </w:tc>
      </w:tr>
      <w:tr w:rsidR="009F5174" w14:paraId="4FE8F961" w14:textId="77777777" w:rsidTr="00301C75">
        <w:tc>
          <w:tcPr>
            <w:tcW w:w="1129" w:type="dxa"/>
            <w:vAlign w:val="center"/>
          </w:tcPr>
          <w:p w14:paraId="023ADA1D" w14:textId="2F1829A5" w:rsidR="009F5174" w:rsidRDefault="009F5174" w:rsidP="00301C75">
            <w:r>
              <w:t>Response</w:t>
            </w:r>
          </w:p>
        </w:tc>
        <w:tc>
          <w:tcPr>
            <w:tcW w:w="7887" w:type="dxa"/>
          </w:tcPr>
          <w:p w14:paraId="7A7A9132" w14:textId="28998EDC" w:rsidR="009E2339" w:rsidRDefault="009E2339" w:rsidP="002E40EA">
            <w:pPr>
              <w:pStyle w:val="ListParagraph"/>
              <w:numPr>
                <w:ilvl w:val="0"/>
                <w:numId w:val="3"/>
              </w:numPr>
            </w:pPr>
            <w:r>
              <w:t xml:space="preserve">The Department of Jobs, Skills, Industry and Regions (DJSIR) acknowledges the concerns around the burdens attached to disclosure statements. </w:t>
            </w:r>
          </w:p>
          <w:p w14:paraId="1EC8A243" w14:textId="33D7FDBA" w:rsidR="009F5174" w:rsidRDefault="002E40EA" w:rsidP="009E2339">
            <w:pPr>
              <w:pStyle w:val="ListParagraph"/>
              <w:numPr>
                <w:ilvl w:val="1"/>
                <w:numId w:val="3"/>
              </w:numPr>
            </w:pPr>
            <w:r>
              <w:t>The concerns raised by SCCA about over</w:t>
            </w:r>
            <w:r w:rsidR="00A26805">
              <w:t>-</w:t>
            </w:r>
            <w:r>
              <w:t>disclosure</w:t>
            </w:r>
            <w:r w:rsidR="00C736A3">
              <w:t xml:space="preserve"> due to the Act</w:t>
            </w:r>
            <w:r>
              <w:t xml:space="preserve"> are outside the scope of the current review. Ministerial guidance or further guidance through the Victorian Small Business Commission (VSBC) may alleviate landlord uncertainty.</w:t>
            </w:r>
          </w:p>
          <w:p w14:paraId="26CE358C" w14:textId="2D43FE35" w:rsidR="00BB79D9" w:rsidRDefault="00BB79D9" w:rsidP="009E2339">
            <w:pPr>
              <w:pStyle w:val="ListParagraph"/>
              <w:numPr>
                <w:ilvl w:val="1"/>
                <w:numId w:val="3"/>
              </w:numPr>
            </w:pPr>
            <w:r>
              <w:t>This comment is outside the scope of the current review as disclosure on renewal of a lease is required by the Retail Leases Act 2003 (the Act).</w:t>
            </w:r>
          </w:p>
        </w:tc>
      </w:tr>
    </w:tbl>
    <w:p w14:paraId="3E092AD3" w14:textId="696B1C09" w:rsidR="009F5174" w:rsidRDefault="009F5174" w:rsidP="002E40EA"/>
    <w:tbl>
      <w:tblPr>
        <w:tblStyle w:val="TableGrid"/>
        <w:tblW w:w="0" w:type="auto"/>
        <w:tblLook w:val="04A0" w:firstRow="1" w:lastRow="0" w:firstColumn="1" w:lastColumn="0" w:noHBand="0" w:noVBand="1"/>
      </w:tblPr>
      <w:tblGrid>
        <w:gridCol w:w="1271"/>
        <w:gridCol w:w="7745"/>
      </w:tblGrid>
      <w:tr w:rsidR="002E40EA" w14:paraId="46230705" w14:textId="77777777" w:rsidTr="003F6BDB">
        <w:tc>
          <w:tcPr>
            <w:tcW w:w="9016" w:type="dxa"/>
            <w:gridSpan w:val="2"/>
          </w:tcPr>
          <w:p w14:paraId="49C92F29" w14:textId="5542F3B6" w:rsidR="002E40EA" w:rsidRPr="00BB79D9" w:rsidRDefault="00BB79D9" w:rsidP="00BB79D9">
            <w:pPr>
              <w:jc w:val="center"/>
              <w:rPr>
                <w:b/>
                <w:bCs/>
              </w:rPr>
            </w:pPr>
            <w:r w:rsidRPr="00BB79D9">
              <w:rPr>
                <w:b/>
                <w:bCs/>
              </w:rPr>
              <w:lastRenderedPageBreak/>
              <w:t>Apportionment of Outgoings</w:t>
            </w:r>
          </w:p>
        </w:tc>
      </w:tr>
      <w:tr w:rsidR="002E40EA" w14:paraId="310AA747" w14:textId="77777777" w:rsidTr="00301C75">
        <w:tc>
          <w:tcPr>
            <w:tcW w:w="1271" w:type="dxa"/>
            <w:vAlign w:val="center"/>
          </w:tcPr>
          <w:p w14:paraId="48D11D76" w14:textId="77777777" w:rsidR="002E40EA" w:rsidRDefault="002E40EA" w:rsidP="00301C75">
            <w:r>
              <w:t>Comment</w:t>
            </w:r>
          </w:p>
        </w:tc>
        <w:tc>
          <w:tcPr>
            <w:tcW w:w="7745" w:type="dxa"/>
          </w:tcPr>
          <w:p w14:paraId="0F68C643" w14:textId="77777777" w:rsidR="002E40EA" w:rsidRDefault="00BB79D9" w:rsidP="00BB79D9">
            <w:pPr>
              <w:pStyle w:val="ListParagraph"/>
              <w:numPr>
                <w:ilvl w:val="0"/>
                <w:numId w:val="4"/>
              </w:numPr>
            </w:pPr>
            <w:r>
              <w:t>The current apportionment formula was preferred.</w:t>
            </w:r>
          </w:p>
          <w:p w14:paraId="19641F1F" w14:textId="22BC3D34" w:rsidR="00BB79D9" w:rsidRDefault="00BB79D9" w:rsidP="00833A9E">
            <w:pPr>
              <w:pStyle w:val="ListParagraph"/>
              <w:numPr>
                <w:ilvl w:val="1"/>
                <w:numId w:val="4"/>
              </w:numPr>
            </w:pPr>
            <w:r>
              <w:t>SCCA had no comments on the apportionment formula.</w:t>
            </w:r>
          </w:p>
        </w:tc>
      </w:tr>
      <w:tr w:rsidR="002E40EA" w14:paraId="49BD2D85" w14:textId="77777777" w:rsidTr="00301C75">
        <w:tc>
          <w:tcPr>
            <w:tcW w:w="1271" w:type="dxa"/>
            <w:vAlign w:val="center"/>
          </w:tcPr>
          <w:p w14:paraId="00C01F6C" w14:textId="77777777" w:rsidR="002E40EA" w:rsidRDefault="002E40EA" w:rsidP="00301C75">
            <w:r>
              <w:t>Response</w:t>
            </w:r>
          </w:p>
        </w:tc>
        <w:tc>
          <w:tcPr>
            <w:tcW w:w="7745" w:type="dxa"/>
          </w:tcPr>
          <w:p w14:paraId="5D74BAC1" w14:textId="77777777" w:rsidR="002E40EA" w:rsidRDefault="007C02F4" w:rsidP="000D5D45">
            <w:pPr>
              <w:pStyle w:val="ListParagraph"/>
              <w:numPr>
                <w:ilvl w:val="0"/>
                <w:numId w:val="5"/>
              </w:numPr>
            </w:pPr>
            <w:r>
              <w:t>No comment</w:t>
            </w:r>
          </w:p>
          <w:p w14:paraId="6582106E" w14:textId="34CF2ABC" w:rsidR="007C02F4" w:rsidRDefault="007C02F4" w:rsidP="00833A9E">
            <w:pPr>
              <w:pStyle w:val="ListParagraph"/>
              <w:numPr>
                <w:ilvl w:val="1"/>
                <w:numId w:val="5"/>
              </w:numPr>
            </w:pPr>
            <w:r>
              <w:t>No comment</w:t>
            </w:r>
          </w:p>
        </w:tc>
      </w:tr>
    </w:tbl>
    <w:p w14:paraId="67B20FC3" w14:textId="7ABB891F" w:rsidR="002E40EA" w:rsidRDefault="002E40EA" w:rsidP="002E40EA"/>
    <w:tbl>
      <w:tblPr>
        <w:tblStyle w:val="TableGrid"/>
        <w:tblW w:w="0" w:type="auto"/>
        <w:tblLook w:val="04A0" w:firstRow="1" w:lastRow="0" w:firstColumn="1" w:lastColumn="0" w:noHBand="0" w:noVBand="1"/>
      </w:tblPr>
      <w:tblGrid>
        <w:gridCol w:w="1271"/>
        <w:gridCol w:w="7745"/>
      </w:tblGrid>
      <w:tr w:rsidR="000D5D45" w14:paraId="712E8540" w14:textId="77777777" w:rsidTr="003F6BDB">
        <w:tc>
          <w:tcPr>
            <w:tcW w:w="9016" w:type="dxa"/>
            <w:gridSpan w:val="2"/>
          </w:tcPr>
          <w:p w14:paraId="4A5670B4" w14:textId="1696D69F" w:rsidR="000D5D45" w:rsidRPr="00BB79D9" w:rsidRDefault="000D5D45" w:rsidP="003F6BDB">
            <w:pPr>
              <w:jc w:val="center"/>
              <w:rPr>
                <w:b/>
                <w:bCs/>
              </w:rPr>
            </w:pPr>
            <w:r>
              <w:rPr>
                <w:b/>
                <w:bCs/>
              </w:rPr>
              <w:t>Occupancy Cost Threshold</w:t>
            </w:r>
          </w:p>
        </w:tc>
      </w:tr>
      <w:tr w:rsidR="000D5D45" w14:paraId="20FA254E" w14:textId="77777777" w:rsidTr="00301C75">
        <w:tc>
          <w:tcPr>
            <w:tcW w:w="1271" w:type="dxa"/>
            <w:vAlign w:val="center"/>
          </w:tcPr>
          <w:p w14:paraId="20BADC9E" w14:textId="77777777" w:rsidR="000D5D45" w:rsidRDefault="000D5D45" w:rsidP="00301C75">
            <w:r>
              <w:t>Comment</w:t>
            </w:r>
          </w:p>
        </w:tc>
        <w:tc>
          <w:tcPr>
            <w:tcW w:w="7745" w:type="dxa"/>
          </w:tcPr>
          <w:p w14:paraId="3BAE5052" w14:textId="74B7A5A8" w:rsidR="000D5D45" w:rsidRDefault="000D5D45" w:rsidP="00244361">
            <w:pPr>
              <w:pStyle w:val="ListParagraph"/>
              <w:numPr>
                <w:ilvl w:val="0"/>
                <w:numId w:val="6"/>
              </w:numPr>
            </w:pPr>
            <w:r>
              <w:t>The current occupancy cost threshold was preferred.</w:t>
            </w:r>
          </w:p>
          <w:p w14:paraId="294C3919" w14:textId="60269F6C" w:rsidR="000D5D45" w:rsidRDefault="000D5D45" w:rsidP="00244361">
            <w:pPr>
              <w:pStyle w:val="ListParagraph"/>
              <w:numPr>
                <w:ilvl w:val="1"/>
                <w:numId w:val="6"/>
              </w:numPr>
            </w:pPr>
            <w:r>
              <w:t xml:space="preserve">SCCA supported the current occupancy cost threshold and provided data </w:t>
            </w:r>
            <w:r w:rsidR="00F01B3E">
              <w:t xml:space="preserve">further </w:t>
            </w:r>
            <w:r>
              <w:t>support</w:t>
            </w:r>
            <w:r w:rsidR="00F01B3E">
              <w:t xml:space="preserve">ing the position taken in the RIS and proposed </w:t>
            </w:r>
            <w:r w:rsidR="00127A9A">
              <w:t>R</w:t>
            </w:r>
            <w:r w:rsidR="00F01B3E">
              <w:t>egulations.</w:t>
            </w:r>
          </w:p>
          <w:p w14:paraId="6C374FB8" w14:textId="3BBB5575" w:rsidR="00244361" w:rsidRDefault="00F01B3E" w:rsidP="008D125C">
            <w:pPr>
              <w:pStyle w:val="ListParagraph"/>
              <w:ind w:left="746"/>
            </w:pPr>
            <w:r>
              <w:t>SCCA claimed that around 95% of businesses would fall within the scope of the Act and that any business not covered by the Act would be considered a large business.</w:t>
            </w:r>
            <w:bookmarkStart w:id="0" w:name="_Hlk129945849"/>
            <w:r w:rsidR="00244361">
              <w:t xml:space="preserve"> </w:t>
            </w:r>
            <w:bookmarkEnd w:id="0"/>
          </w:p>
        </w:tc>
      </w:tr>
      <w:tr w:rsidR="000D5D45" w14:paraId="4F5916BD" w14:textId="77777777" w:rsidTr="00301C75">
        <w:tc>
          <w:tcPr>
            <w:tcW w:w="1271" w:type="dxa"/>
            <w:vAlign w:val="center"/>
          </w:tcPr>
          <w:p w14:paraId="3775E4B3" w14:textId="77777777" w:rsidR="000D5D45" w:rsidRDefault="000D5D45" w:rsidP="00301C75">
            <w:r>
              <w:t>Response</w:t>
            </w:r>
          </w:p>
        </w:tc>
        <w:tc>
          <w:tcPr>
            <w:tcW w:w="7745" w:type="dxa"/>
          </w:tcPr>
          <w:p w14:paraId="40D365D1" w14:textId="77777777" w:rsidR="000D5D45" w:rsidRDefault="000D5D45" w:rsidP="000D5D45">
            <w:pPr>
              <w:pStyle w:val="ListParagraph"/>
              <w:numPr>
                <w:ilvl w:val="0"/>
                <w:numId w:val="7"/>
              </w:numPr>
            </w:pPr>
            <w:r>
              <w:t>No comment</w:t>
            </w:r>
          </w:p>
          <w:p w14:paraId="5C5F4EA6" w14:textId="44552ED6" w:rsidR="00C736A3" w:rsidRDefault="00F01B3E" w:rsidP="008D125C">
            <w:pPr>
              <w:pStyle w:val="ListParagraph"/>
              <w:numPr>
                <w:ilvl w:val="1"/>
                <w:numId w:val="7"/>
              </w:numPr>
            </w:pPr>
            <w:r>
              <w:t xml:space="preserve">DJSIR welcomes the data that SCCA provided supporting the proposed </w:t>
            </w:r>
            <w:r w:rsidR="005C67DC">
              <w:t>R</w:t>
            </w:r>
            <w:r>
              <w:t>egulations.</w:t>
            </w:r>
          </w:p>
        </w:tc>
      </w:tr>
    </w:tbl>
    <w:p w14:paraId="07885ACF" w14:textId="77777777" w:rsidR="000D5D45" w:rsidRPr="008261B8" w:rsidRDefault="000D5D45" w:rsidP="002E40EA"/>
    <w:sectPr w:rsidR="000D5D45" w:rsidRPr="008261B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EDE6" w14:textId="77777777" w:rsidR="007E371A" w:rsidRDefault="007E371A" w:rsidP="00A723BD">
      <w:pPr>
        <w:spacing w:after="0" w:line="240" w:lineRule="auto"/>
      </w:pPr>
      <w:r>
        <w:separator/>
      </w:r>
    </w:p>
  </w:endnote>
  <w:endnote w:type="continuationSeparator" w:id="0">
    <w:p w14:paraId="0DF4C616" w14:textId="77777777" w:rsidR="007E371A" w:rsidRDefault="007E371A" w:rsidP="00A723BD">
      <w:pPr>
        <w:spacing w:after="0" w:line="240" w:lineRule="auto"/>
      </w:pPr>
      <w:r>
        <w:continuationSeparator/>
      </w:r>
    </w:p>
  </w:endnote>
  <w:endnote w:type="continuationNotice" w:id="1">
    <w:p w14:paraId="38C37CA0" w14:textId="77777777" w:rsidR="007E371A" w:rsidRDefault="007E3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43F7" w14:textId="20D9FCA5" w:rsidR="00A723BD" w:rsidRDefault="00445BF7">
    <w:pPr>
      <w:pStyle w:val="Footer"/>
    </w:pPr>
    <w:r>
      <w:rPr>
        <w:noProof/>
      </w:rPr>
      <mc:AlternateContent>
        <mc:Choice Requires="wps">
          <w:drawing>
            <wp:anchor distT="0" distB="0" distL="114300" distR="114300" simplePos="0" relativeHeight="251657216" behindDoc="0" locked="0" layoutInCell="0" allowOverlap="1" wp14:anchorId="65BE0A33" wp14:editId="2618BB15">
              <wp:simplePos x="0" y="0"/>
              <wp:positionH relativeFrom="page">
                <wp:posOffset>0</wp:posOffset>
              </wp:positionH>
              <wp:positionV relativeFrom="page">
                <wp:posOffset>10248900</wp:posOffset>
              </wp:positionV>
              <wp:extent cx="7560310" cy="252095"/>
              <wp:effectExtent l="0" t="0" r="0" b="14605"/>
              <wp:wrapNone/>
              <wp:docPr id="7" name="MSIPCMedc343afae0fea76938341eb"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30865" w14:textId="23249BE1" w:rsidR="00445BF7" w:rsidRPr="00445BF7" w:rsidRDefault="00445BF7" w:rsidP="00445BF7">
                          <w:pPr>
                            <w:spacing w:after="0"/>
                            <w:jc w:val="center"/>
                            <w:rPr>
                              <w:rFonts w:ascii="Arial" w:hAnsi="Arial" w:cs="Arial"/>
                              <w:color w:val="000000"/>
                              <w:sz w:val="24"/>
                            </w:rPr>
                          </w:pPr>
                          <w:r w:rsidRPr="00445BF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BE0A33" id="_x0000_t202" coordsize="21600,21600" o:spt="202" path="m,l,21600r21600,l21600,xe">
              <v:stroke joinstyle="miter"/>
              <v:path gradientshapeok="t" o:connecttype="rect"/>
            </v:shapetype>
            <v:shape id="MSIPCMedc343afae0fea76938341eb"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4930865" w14:textId="23249BE1" w:rsidR="00445BF7" w:rsidRPr="00445BF7" w:rsidRDefault="00445BF7" w:rsidP="00445BF7">
                    <w:pPr>
                      <w:spacing w:after="0"/>
                      <w:jc w:val="center"/>
                      <w:rPr>
                        <w:rFonts w:ascii="Arial" w:hAnsi="Arial" w:cs="Arial"/>
                        <w:color w:val="000000"/>
                        <w:sz w:val="24"/>
                      </w:rPr>
                    </w:pPr>
                    <w:r w:rsidRPr="00445BF7">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962C" w14:textId="77777777" w:rsidR="007E371A" w:rsidRDefault="007E371A" w:rsidP="00A723BD">
      <w:pPr>
        <w:spacing w:after="0" w:line="240" w:lineRule="auto"/>
      </w:pPr>
      <w:r>
        <w:separator/>
      </w:r>
    </w:p>
  </w:footnote>
  <w:footnote w:type="continuationSeparator" w:id="0">
    <w:p w14:paraId="33D96A95" w14:textId="77777777" w:rsidR="007E371A" w:rsidRDefault="007E371A" w:rsidP="00A723BD">
      <w:pPr>
        <w:spacing w:after="0" w:line="240" w:lineRule="auto"/>
      </w:pPr>
      <w:r>
        <w:continuationSeparator/>
      </w:r>
    </w:p>
  </w:footnote>
  <w:footnote w:type="continuationNotice" w:id="1">
    <w:p w14:paraId="7FA322FE" w14:textId="77777777" w:rsidR="007E371A" w:rsidRDefault="007E37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5A07" w14:textId="7F2B6FCF" w:rsidR="00A723BD" w:rsidRDefault="00445BF7">
    <w:pPr>
      <w:pStyle w:val="Header"/>
    </w:pPr>
    <w:r>
      <w:rPr>
        <w:noProof/>
      </w:rPr>
      <mc:AlternateContent>
        <mc:Choice Requires="wps">
          <w:drawing>
            <wp:anchor distT="0" distB="0" distL="114300" distR="114300" simplePos="0" relativeHeight="251659264" behindDoc="0" locked="0" layoutInCell="0" allowOverlap="1" wp14:anchorId="406D41B3" wp14:editId="286B61CA">
              <wp:simplePos x="0" y="0"/>
              <wp:positionH relativeFrom="page">
                <wp:posOffset>0</wp:posOffset>
              </wp:positionH>
              <wp:positionV relativeFrom="page">
                <wp:posOffset>190500</wp:posOffset>
              </wp:positionV>
              <wp:extent cx="7560310" cy="252095"/>
              <wp:effectExtent l="0" t="0" r="0" b="14605"/>
              <wp:wrapNone/>
              <wp:docPr id="8" name="MSIPCM64ed44c6bccf3899734cac9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4ABE0" w14:textId="2785A2EC" w:rsidR="00445BF7" w:rsidRPr="00445BF7" w:rsidRDefault="00445BF7" w:rsidP="00445BF7">
                          <w:pPr>
                            <w:spacing w:after="0"/>
                            <w:jc w:val="center"/>
                            <w:rPr>
                              <w:rFonts w:ascii="Arial" w:hAnsi="Arial" w:cs="Arial"/>
                              <w:color w:val="000000"/>
                              <w:sz w:val="24"/>
                            </w:rPr>
                          </w:pPr>
                          <w:r w:rsidRPr="00445BF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6D41B3" id="_x0000_t202" coordsize="21600,21600" o:spt="202" path="m,l,21600r21600,l21600,xe">
              <v:stroke joinstyle="miter"/>
              <v:path gradientshapeok="t" o:connecttype="rect"/>
            </v:shapetype>
            <v:shape id="MSIPCM64ed44c6bccf3899734cac91"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874ABE0" w14:textId="2785A2EC" w:rsidR="00445BF7" w:rsidRPr="00445BF7" w:rsidRDefault="00445BF7" w:rsidP="00445BF7">
                    <w:pPr>
                      <w:spacing w:after="0"/>
                      <w:jc w:val="center"/>
                      <w:rPr>
                        <w:rFonts w:ascii="Arial" w:hAnsi="Arial" w:cs="Arial"/>
                        <w:color w:val="000000"/>
                        <w:sz w:val="24"/>
                      </w:rPr>
                    </w:pPr>
                    <w:r w:rsidRPr="00445BF7">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D27"/>
    <w:multiLevelType w:val="hybridMultilevel"/>
    <w:tmpl w:val="DA06D700"/>
    <w:lvl w:ilvl="0" w:tplc="FFFFFFFF">
      <w:start w:val="1"/>
      <w:numFmt w:val="decimal"/>
      <w:lvlText w:val="%1."/>
      <w:lvlJc w:val="left"/>
      <w:pPr>
        <w:ind w:left="360" w:hanging="360"/>
      </w:pPr>
    </w:lvl>
    <w:lvl w:ilvl="1" w:tplc="FFFFFFFF">
      <w:start w:val="1"/>
      <w:numFmt w:val="lowerLetter"/>
      <w:lvlText w:val="%2."/>
      <w:lvlJc w:val="left"/>
      <w:pPr>
        <w:ind w:left="746" w:hanging="360"/>
      </w:pPr>
    </w:lvl>
    <w:lvl w:ilvl="2" w:tplc="FFFFFFFF">
      <w:start w:val="1"/>
      <w:numFmt w:val="lowerRoman"/>
      <w:lvlText w:val="%3."/>
      <w:lvlJc w:val="right"/>
      <w:pPr>
        <w:ind w:left="103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9E65B9"/>
    <w:multiLevelType w:val="hybridMultilevel"/>
    <w:tmpl w:val="5674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412E13"/>
    <w:multiLevelType w:val="hybridMultilevel"/>
    <w:tmpl w:val="DA06D700"/>
    <w:lvl w:ilvl="0" w:tplc="FFFFFFFF">
      <w:start w:val="1"/>
      <w:numFmt w:val="decimal"/>
      <w:lvlText w:val="%1."/>
      <w:lvlJc w:val="left"/>
      <w:pPr>
        <w:ind w:left="360" w:hanging="360"/>
      </w:pPr>
    </w:lvl>
    <w:lvl w:ilvl="1" w:tplc="FFFFFFFF">
      <w:start w:val="1"/>
      <w:numFmt w:val="lowerLetter"/>
      <w:lvlText w:val="%2."/>
      <w:lvlJc w:val="left"/>
      <w:pPr>
        <w:ind w:left="7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A75FBD"/>
    <w:multiLevelType w:val="hybridMultilevel"/>
    <w:tmpl w:val="76B215FC"/>
    <w:lvl w:ilvl="0" w:tplc="FFFFFFFF">
      <w:start w:val="1"/>
      <w:numFmt w:val="decimal"/>
      <w:lvlText w:val="%1."/>
      <w:lvlJc w:val="left"/>
      <w:pPr>
        <w:ind w:left="360" w:hanging="360"/>
      </w:pPr>
    </w:lvl>
    <w:lvl w:ilvl="1" w:tplc="FFFFFFFF">
      <w:start w:val="1"/>
      <w:numFmt w:val="lowerLetter"/>
      <w:lvlText w:val="%2."/>
      <w:lvlJc w:val="left"/>
      <w:pPr>
        <w:ind w:left="75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B6117A"/>
    <w:multiLevelType w:val="hybridMultilevel"/>
    <w:tmpl w:val="DA06D700"/>
    <w:lvl w:ilvl="0" w:tplc="FFFFFFFF">
      <w:start w:val="1"/>
      <w:numFmt w:val="decimal"/>
      <w:lvlText w:val="%1."/>
      <w:lvlJc w:val="left"/>
      <w:pPr>
        <w:ind w:left="360" w:hanging="360"/>
      </w:pPr>
    </w:lvl>
    <w:lvl w:ilvl="1" w:tplc="0C090019">
      <w:start w:val="1"/>
      <w:numFmt w:val="lowerLetter"/>
      <w:lvlText w:val="%2."/>
      <w:lvlJc w:val="left"/>
      <w:pPr>
        <w:ind w:left="74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80297A"/>
    <w:multiLevelType w:val="hybridMultilevel"/>
    <w:tmpl w:val="DA06D700"/>
    <w:lvl w:ilvl="0" w:tplc="FFFFFFFF">
      <w:start w:val="1"/>
      <w:numFmt w:val="decimal"/>
      <w:lvlText w:val="%1."/>
      <w:lvlJc w:val="left"/>
      <w:pPr>
        <w:ind w:left="360" w:hanging="360"/>
      </w:pPr>
    </w:lvl>
    <w:lvl w:ilvl="1" w:tplc="FFFFFFFF">
      <w:start w:val="1"/>
      <w:numFmt w:val="lowerLetter"/>
      <w:lvlText w:val="%2."/>
      <w:lvlJc w:val="left"/>
      <w:pPr>
        <w:ind w:left="7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9C4A56"/>
    <w:multiLevelType w:val="hybridMultilevel"/>
    <w:tmpl w:val="76B215FC"/>
    <w:lvl w:ilvl="0" w:tplc="FFFFFFFF">
      <w:start w:val="1"/>
      <w:numFmt w:val="decimal"/>
      <w:lvlText w:val="%1."/>
      <w:lvlJc w:val="left"/>
      <w:pPr>
        <w:ind w:left="360" w:hanging="360"/>
      </w:p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C74CA0"/>
    <w:multiLevelType w:val="hybridMultilevel"/>
    <w:tmpl w:val="138A00A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1080371319">
    <w:abstractNumId w:val="1"/>
  </w:num>
  <w:num w:numId="2" w16cid:durableId="518082688">
    <w:abstractNumId w:val="6"/>
  </w:num>
  <w:num w:numId="3" w16cid:durableId="424151523">
    <w:abstractNumId w:val="3"/>
  </w:num>
  <w:num w:numId="4" w16cid:durableId="1074661957">
    <w:abstractNumId w:val="4"/>
  </w:num>
  <w:num w:numId="5" w16cid:durableId="1016229479">
    <w:abstractNumId w:val="2"/>
  </w:num>
  <w:num w:numId="6" w16cid:durableId="2039115323">
    <w:abstractNumId w:val="0"/>
  </w:num>
  <w:num w:numId="7" w16cid:durableId="1565065740">
    <w:abstractNumId w:val="5"/>
  </w:num>
  <w:num w:numId="8" w16cid:durableId="1400789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45"/>
    <w:rsid w:val="00004668"/>
    <w:rsid w:val="000142C0"/>
    <w:rsid w:val="0008610A"/>
    <w:rsid w:val="000D58DB"/>
    <w:rsid w:val="000D5D45"/>
    <w:rsid w:val="00127A9A"/>
    <w:rsid w:val="001364BE"/>
    <w:rsid w:val="00136571"/>
    <w:rsid w:val="001A420B"/>
    <w:rsid w:val="001D042D"/>
    <w:rsid w:val="00244361"/>
    <w:rsid w:val="00270234"/>
    <w:rsid w:val="002E40EA"/>
    <w:rsid w:val="00301C75"/>
    <w:rsid w:val="00355511"/>
    <w:rsid w:val="003618EF"/>
    <w:rsid w:val="00387077"/>
    <w:rsid w:val="00445BF7"/>
    <w:rsid w:val="004D470B"/>
    <w:rsid w:val="004D6B49"/>
    <w:rsid w:val="004E4A2E"/>
    <w:rsid w:val="005C67DC"/>
    <w:rsid w:val="006163AD"/>
    <w:rsid w:val="00623650"/>
    <w:rsid w:val="006303E3"/>
    <w:rsid w:val="00706AD5"/>
    <w:rsid w:val="00746D4D"/>
    <w:rsid w:val="00760D86"/>
    <w:rsid w:val="00787EE4"/>
    <w:rsid w:val="007C02F4"/>
    <w:rsid w:val="007C56EF"/>
    <w:rsid w:val="007E371A"/>
    <w:rsid w:val="008261B8"/>
    <w:rsid w:val="00833A9E"/>
    <w:rsid w:val="00881375"/>
    <w:rsid w:val="008B37B3"/>
    <w:rsid w:val="008D125C"/>
    <w:rsid w:val="008D25A1"/>
    <w:rsid w:val="00950575"/>
    <w:rsid w:val="009E2339"/>
    <w:rsid w:val="009F5174"/>
    <w:rsid w:val="00A26805"/>
    <w:rsid w:val="00A723BD"/>
    <w:rsid w:val="00A9413B"/>
    <w:rsid w:val="00B2283E"/>
    <w:rsid w:val="00BB79D9"/>
    <w:rsid w:val="00BD10BC"/>
    <w:rsid w:val="00C45043"/>
    <w:rsid w:val="00C736A3"/>
    <w:rsid w:val="00C80CA9"/>
    <w:rsid w:val="00C8625A"/>
    <w:rsid w:val="00D2157B"/>
    <w:rsid w:val="00D27476"/>
    <w:rsid w:val="00D37945"/>
    <w:rsid w:val="00D76200"/>
    <w:rsid w:val="00DF4ABD"/>
    <w:rsid w:val="00E777EA"/>
    <w:rsid w:val="00F01B3E"/>
    <w:rsid w:val="00F321F9"/>
    <w:rsid w:val="00F458AF"/>
    <w:rsid w:val="00FC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CCDEC"/>
  <w15:chartTrackingRefBased/>
  <w15:docId w15:val="{54AE9860-5846-4F12-B478-434D0D6B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45"/>
    <w:pPr>
      <w:ind w:left="720"/>
      <w:contextualSpacing/>
    </w:pPr>
  </w:style>
  <w:style w:type="table" w:styleId="TableGrid">
    <w:name w:val="Table Grid"/>
    <w:basedOn w:val="TableNormal"/>
    <w:uiPriority w:val="39"/>
    <w:rsid w:val="009F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3BD"/>
  </w:style>
  <w:style w:type="paragraph" w:styleId="Footer">
    <w:name w:val="footer"/>
    <w:basedOn w:val="Normal"/>
    <w:link w:val="FooterChar"/>
    <w:uiPriority w:val="99"/>
    <w:unhideWhenUsed/>
    <w:rsid w:val="00A72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8" ma:contentTypeDescription="" ma:contentTypeScope="" ma:versionID="98621e6394bc2a9e62596e5177ceaa80">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080ea77845b4c7314731aca7bf1d493d"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5b8516-1216-4929-a6bb-f7b72c32bd97" xsi:nil="true"/>
    <lcf76f155ced4ddcb4097134ff3c332f xmlns="c9aac536-7ea5-4408-b36b-f6d0753895b7">
      <Terms xmlns="http://schemas.microsoft.com/office/infopath/2007/PartnerControls"/>
    </lcf76f155ced4ddcb4097134ff3c332f>
    <Organisation xmlns="1f5b8516-1216-4929-a6bb-f7b72c32bd97">Department of Jobs, Skills, Industry and Regions</Organisation>
    <Recommender1jobtitle xmlns="1f5b8516-1216-4929-a6bb-f7b72c32bd97">Deputy Secretary, Jobs Victoria, Secure Work &amp; Inclusion</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2023-03-26T13:00:00+00:00</DecisionMakerDueDate>
    <Recommender4date xmlns="1f5b8516-1216-4929-a6bb-f7b72c32bd97" xsi:nil="true"/>
    <DecisionMaker1date xmlns="1f5b8516-1216-4929-a6bb-f7b72c32bd97">28/03/2023 04:22 PM</DecisionMaker1date>
    <RecordSubject xmlns="1f5b8516-1216-4929-a6bb-f7b72c32bd97">Approval of the Retail Leases Regulations 2023 </RecordSubject>
    <Recommender1workphone xmlns="1f5b8516-1216-4929-a6bb-f7b72c32bd97">383928062</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Small Business Victoria</OrganisationLevel3>
    <Leadauthorfullname xmlns="1f5b8516-1216-4929-a6bb-f7b72c32bd97">Bryce N McAdam (DJSIR)</Leadauthorfullname>
    <Recommender1fullname xmlns="1f5b8516-1216-4929-a6bb-f7b72c32bd97">Lisa S Buckingham (DJSIR)</Recommender1fullname>
    <Recommender4fullname xmlns="1f5b8516-1216-4929-a6bb-f7b72c32bd97" xsi:nil="true"/>
    <Recommender5jobtitle xmlns="1f5b8516-1216-4929-a6bb-f7b72c32bd97" xsi:nil="true"/>
    <DecisionMaker1fullname xmlns="1f5b8516-1216-4929-a6bb-f7b72c32bd97">The Hon. Natalie Suleyman MP</DecisionMaker1fullname>
    <DecisionMaker3jobtitle xmlns="1f5b8516-1216-4929-a6bb-f7b72c32bd97" xsi:nil="true"/>
    <VersionNumber xmlns="1f5b8516-1216-4929-a6bb-f7b72c32bd97" xsi:nil="true"/>
    <Leadauthordate xmlns="1f5b8516-1216-4929-a6bb-f7b72c32bd97">22/03/2023 05:02 PM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Graduate Policy Officer</Leadauthorjobtitle>
    <Recommender2jobtitle xmlns="1f5b8516-1216-4929-a6bb-f7b72c32bd97">Secretary</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24/03/2023 01:43 PM</Recommender1date>
    <Recommender6date xmlns="1f5b8516-1216-4929-a6bb-f7b72c32bd97" xsi:nil="true"/>
    <Recommender2workphone xmlns="1f5b8516-1216-4929-a6bb-f7b72c32bd97">96519999</Recommender2workphone>
    <DecisionMaker1workphone xmlns="1f5b8516-1216-4929-a6bb-f7b72c32bd97" xsi:nil="true"/>
    <Decisioncategory xmlns="1f5b8516-1216-4929-a6bb-f7b72c32bd97">Minister for Small Business</Decisioncategory>
    <AccountableOfficerworkphone xmlns="1f5b8516-1216-4929-a6bb-f7b72c32bd97">96599880</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25/03/2023 10:10 AM</Recommender2date>
    <Recommender7date xmlns="1f5b8516-1216-4929-a6bb-f7b72c32bd97" xsi:nil="true"/>
    <Recommender8date xmlns="1f5b8516-1216-4929-a6bb-f7b72c32bd97" xsi:nil="true"/>
    <DecisionMaker3date xmlns="1f5b8516-1216-4929-a6bb-f7b72c32bd97" xsi:nil="true"/>
    <Notifyrecommendationfullname xmlns="1f5b8516-1216-4929-a6bb-f7b72c32bd97" xsi:nil="true"/>
    <Leadauthorworkphone xmlns="1f5b8516-1216-4929-a6bb-f7b72c32bd97">96519999</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Employment and Small Business</OrganisationLevel1>
    <RequestFrom xmlns="1f5b8516-1216-4929-a6bb-f7b72c32bd97">Organisation</RequestFrom>
    <AccountableOfficerdate xmlns="1f5b8516-1216-4929-a6bb-f7b72c32bd97">23/03/2023 10:45 PM</AccountableOfficerdate>
    <Recommender2fullname xmlns="1f5b8516-1216-4929-a6bb-f7b72c32bd97">Lill Healy (DJSIR)</Recommender2fullname>
    <Recommender7jobtitle xmlns="1f5b8516-1216-4929-a6bb-f7b72c32bd97" xsi:nil="true"/>
    <DecisionMaker1jobtitle xmlns="1f5b8516-1216-4929-a6bb-f7b72c32bd97">Minister Suleyman's Office</DecisionMaker1jobtitle>
    <DecisionMaker3fullname xmlns="1f5b8516-1216-4929-a6bb-f7b72c32bd97" xsi:nil="true"/>
    <RecommenderDueDate xmlns="1f5b8516-1216-4929-a6bb-f7b72c32bd97">2023-03-23T13:00:00+00:00</RecommenderDueDate>
    <RecordSubtype xmlns="1f5b8516-1216-4929-a6bb-f7b72c32bd97">Ministerial Briefing</RecordSubtype>
    <AccountableOfficerfullname xmlns="1f5b8516-1216-4929-a6bb-f7b72c32bd97">Ylva C Carosone (DJSIR)</AccountableOfficerfullname>
    <AccountableOfficerjobtitle xmlns="1f5b8516-1216-4929-a6bb-f7b72c32bd97">Executive Director, Small Business Victoria</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2023-04-02T14:00:00+00:00</DecisionRequired>
    <DecisionMaker2decision xmlns="1f5b8516-1216-4929-a6bb-f7b72c32bd97" xsi:nil="true"/>
    <OrganisationLevel2 xmlns="1f5b8516-1216-4929-a6bb-f7b72c32bd97">Small Business Victoria</OrganisationLevel2>
    <RegistrationNumber xmlns="1f5b8516-1216-4929-a6bb-f7b72c32bd97">BMIN-2-23-28772</Registration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F2556-9F5F-4627-ACE1-F3D524E44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7A245-DFC8-4697-845B-1E60EA04F426}">
  <ds:schemaRefs>
    <ds:schemaRef ds:uri="http://schemas.microsoft.com/office/2006/metadata/properties"/>
    <ds:schemaRef ds:uri="http://schemas.microsoft.com/office/infopath/2007/PartnerControls"/>
    <ds:schemaRef ds:uri="1f5b8516-1216-4929-a6bb-f7b72c32bd97"/>
    <ds:schemaRef ds:uri="c9aac536-7ea5-4408-b36b-f6d0753895b7"/>
  </ds:schemaRefs>
</ds:datastoreItem>
</file>

<file path=customXml/itemProps3.xml><?xml version="1.0" encoding="utf-8"?>
<ds:datastoreItem xmlns:ds="http://schemas.openxmlformats.org/officeDocument/2006/customXml" ds:itemID="{B6675059-3470-4830-86E5-A15314770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N McAdam (DJPR)</dc:creator>
  <cp:keywords/>
  <dc:description/>
  <cp:lastModifiedBy>Christena P Singh (DJSIR)</cp:lastModifiedBy>
  <cp:revision>2</cp:revision>
  <dcterms:created xsi:type="dcterms:W3CDTF">2023-04-03T01:52:00Z</dcterms:created>
  <dcterms:modified xsi:type="dcterms:W3CDTF">2023-04-03T01:52:00Z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2023-04-03T01:52:28Z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b929bd44-d8e6-4962-8f11-94dd38dea601</vt:lpwstr>
  </property>
  <property fmtid="{D5CDD505-2E9C-101B-9397-08002B2CF9AE}" pid="12" name="MSIP_Label_d00a4df9-c942-4b09-b23a-6c1023f6de27_ContentBits">
    <vt:lpwstr>3</vt:lpwstr>
  </property>
</Properties>
</file>